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15A0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6E1A062" w:rsidR="0082223F" w:rsidRDefault="0082223F" w:rsidP="0082223F">
      <w:pPr>
        <w:pStyle w:val="Title"/>
      </w:pPr>
      <w:r>
        <w:t xml:space="preserve">Week </w:t>
      </w:r>
      <w:r w:rsidR="004A48E2">
        <w:t>4</w:t>
      </w:r>
      <w:r>
        <w:t xml:space="preserve">: </w:t>
      </w:r>
      <w:r w:rsidR="004A48E2">
        <w:t>Quantifying Investment Network Accuracy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32C9329C" w:rsidR="00CB25E9" w:rsidRDefault="004A48E2" w:rsidP="0082223F">
      <w:pPr>
        <w:jc w:val="center"/>
      </w:pPr>
      <w:r>
        <w:t>January 17,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7929CE7D" w14:textId="0206F739" w:rsidR="006855F0" w:rsidRDefault="004A48E2" w:rsidP="006855F0">
      <w:pPr>
        <w:pStyle w:val="Heading1"/>
      </w:pPr>
      <w:r>
        <w:lastRenderedPageBreak/>
        <w:t>Quantifying Investment Network Accuracy</w:t>
      </w:r>
    </w:p>
    <w:p w14:paraId="6046F4C3" w14:textId="7E009601" w:rsidR="00211C2C" w:rsidRPr="00211C2C" w:rsidRDefault="00211C2C" w:rsidP="00211C2C">
      <w:r>
        <w:tab/>
        <w:t>Numerous media sources are producing day-trading recommendations to an army of untrained traders.  Unlike traditional investment bankers, these personalities lack scrutiny and fiduciary responsibility to their audience.  Without regulatory oversight and third-party auditing, it is impossible to ensure these personalities provide the best information.  There are additional risks that the guidance is not generalizable, resulting in substantial financial losses for novice participants.</w:t>
      </w:r>
    </w:p>
    <w:p w14:paraId="206DF36B" w14:textId="71105537" w:rsidR="004023D2" w:rsidRDefault="004023D2" w:rsidP="004023D2">
      <w:pPr>
        <w:pStyle w:val="Heading2"/>
      </w:pPr>
      <w:r>
        <w:t>Background Context</w:t>
      </w:r>
    </w:p>
    <w:p w14:paraId="04BACB6E" w14:textId="59AB6C7E" w:rsidR="009A1296" w:rsidRDefault="004A48E2" w:rsidP="00BA3F3B">
      <w:pPr>
        <w:ind w:firstLine="720"/>
      </w:pPr>
      <w:r>
        <w:t xml:space="preserve">The number of retail customers actively </w:t>
      </w:r>
      <w:r>
        <w:t xml:space="preserve">day-trading </w:t>
      </w:r>
      <w:r>
        <w:t>is at an all-time high</w:t>
      </w:r>
      <w:sdt>
        <w:sdtPr>
          <w:id w:val="-174806540"/>
          <w:citation/>
        </w:sdtPr>
        <w:sdtContent>
          <w:r>
            <w:fldChar w:fldCharType="begin"/>
          </w:r>
          <w:r>
            <w:instrText xml:space="preserve"> CITATION Moo20 \l 1033 </w:instrText>
          </w:r>
          <w:r>
            <w:fldChar w:fldCharType="separate"/>
          </w:r>
          <w:r>
            <w:rPr>
              <w:noProof/>
            </w:rPr>
            <w:t xml:space="preserve"> (Moore, 2020)</w:t>
          </w:r>
          <w:r>
            <w:fldChar w:fldCharType="end"/>
          </w:r>
        </w:sdtContent>
      </w:sdt>
      <w:r>
        <w:t>.</w:t>
      </w:r>
      <w:r>
        <w:t xml:space="preserve">  Three distinct factors have caused this new trend.  First, trading firms like Robinhood, Fidelity, and Ameritrade have embraced zero-fee commissions.  Next, the Coronavirus pandemic is enabling young professionals more flexibility in their schedule.  Finally, the significant rise in US equity values since March is promoting speculative buying.</w:t>
      </w:r>
      <w:r w:rsidR="009F237A">
        <w:t xml:space="preserve">  </w:t>
      </w:r>
      <w:r w:rsidR="00BA3F3B">
        <w:t>While some of these participants are becoming exceedingly wealthy</w:t>
      </w:r>
      <w:sdt>
        <w:sdtPr>
          <w:id w:val="332426038"/>
          <w:citation/>
        </w:sdtPr>
        <w:sdtContent>
          <w:r w:rsidR="00BA3F3B">
            <w:fldChar w:fldCharType="begin"/>
          </w:r>
          <w:r w:rsidR="00BA3F3B">
            <w:instrText xml:space="preserve"> CITATION Lan21 \l 1033 </w:instrText>
          </w:r>
          <w:r w:rsidR="00BA3F3B">
            <w:fldChar w:fldCharType="separate"/>
          </w:r>
          <w:r w:rsidR="00BA3F3B">
            <w:rPr>
              <w:noProof/>
            </w:rPr>
            <w:t xml:space="preserve"> (Langlois, 2021)</w:t>
          </w:r>
          <w:r w:rsidR="00BA3F3B">
            <w:fldChar w:fldCharType="end"/>
          </w:r>
        </w:sdtContent>
      </w:sdt>
      <w:r w:rsidR="00C772DD">
        <w:t xml:space="preserve">—those </w:t>
      </w:r>
      <w:r w:rsidR="00BA3F3B">
        <w:t>are the edge cases, not the norm.</w:t>
      </w:r>
      <w:r w:rsidR="00C772DD">
        <w:t xml:space="preserve">  </w:t>
      </w:r>
      <w:r w:rsidR="009F237A">
        <w:t>Instead, these untrained investors are more akin to gamblers, and like gambling</w:t>
      </w:r>
      <w:r w:rsidR="00D02866">
        <w:t>,</w:t>
      </w:r>
      <w:r w:rsidR="009F237A">
        <w:t xml:space="preserve"> often encounter significant losses.</w:t>
      </w:r>
    </w:p>
    <w:p w14:paraId="0BAFEFF1" w14:textId="1AA21CA3" w:rsidR="00203944" w:rsidRDefault="00D02866" w:rsidP="00BA3F3B">
      <w:pPr>
        <w:ind w:firstLine="720"/>
      </w:pPr>
      <w:r>
        <w:t xml:space="preserve">Several organizations are capitalizing on the growing trend by selling day-trading strategies to these novice traders.  Their services are available through numerous networks like Reddit, Discord, YouTube, podcasts, and dedicated websites.  However, many of these online personalities exist without traditional regulatory oversight.  For example, </w:t>
      </w:r>
      <w:r w:rsidRPr="00D02866">
        <w:rPr>
          <w:i/>
          <w:iCs/>
        </w:rPr>
        <w:t xml:space="preserve">Karen the Super </w:t>
      </w:r>
      <w:r>
        <w:rPr>
          <w:i/>
          <w:iCs/>
        </w:rPr>
        <w:t>T</w:t>
      </w:r>
      <w:r w:rsidRPr="00D02866">
        <w:rPr>
          <w:i/>
          <w:iCs/>
        </w:rPr>
        <w:t>rader</w:t>
      </w:r>
      <w:r>
        <w:rPr>
          <w:i/>
          <w:iCs/>
        </w:rPr>
        <w:t xml:space="preserve"> </w:t>
      </w:r>
      <w:r>
        <w:t>was briefly an internet sensation after transforming $10,000 into $105MM</w:t>
      </w:r>
      <w:sdt>
        <w:sdtPr>
          <w:id w:val="-476070543"/>
          <w:citation/>
        </w:sdtPr>
        <w:sdtContent>
          <w:r>
            <w:fldChar w:fldCharType="begin"/>
          </w:r>
          <w:r>
            <w:instrText xml:space="preserve">CITATION Tas15 \l 1033 </w:instrText>
          </w:r>
          <w:r>
            <w:fldChar w:fldCharType="separate"/>
          </w:r>
          <w:r>
            <w:rPr>
              <w:noProof/>
            </w:rPr>
            <w:t xml:space="preserve"> (Tasty Trade, 2015)</w:t>
          </w:r>
          <w:r>
            <w:fldChar w:fldCharType="end"/>
          </w:r>
        </w:sdtContent>
      </w:sdt>
      <w:r>
        <w:t>.  The Security Exchange Commission (SEC) later reported irregularities that delegitimized her brand</w:t>
      </w:r>
      <w:sdt>
        <w:sdtPr>
          <w:id w:val="1857917837"/>
          <w:citation/>
        </w:sdtPr>
        <w:sdtContent>
          <w:r>
            <w:fldChar w:fldCharType="begin"/>
          </w:r>
          <w:r>
            <w:instrText xml:space="preserve"> CITATION Ste16 \l 1033 </w:instrText>
          </w:r>
          <w:r>
            <w:fldChar w:fldCharType="separate"/>
          </w:r>
          <w:r>
            <w:rPr>
              <w:noProof/>
            </w:rPr>
            <w:t xml:space="preserve"> (Steady Options, 2016)</w:t>
          </w:r>
          <w:r>
            <w:fldChar w:fldCharType="end"/>
          </w:r>
        </w:sdtContent>
      </w:sdt>
      <w:r>
        <w:t>.</w:t>
      </w:r>
    </w:p>
    <w:p w14:paraId="58316438" w14:textId="55B7D8C8" w:rsidR="004023D2" w:rsidRDefault="006F06B9" w:rsidP="004023D2">
      <w:pPr>
        <w:pStyle w:val="Heading2"/>
      </w:pPr>
      <w:r>
        <w:lastRenderedPageBreak/>
        <w:t>Potential Risk</w:t>
      </w:r>
    </w:p>
    <w:p w14:paraId="3C76DDB8" w14:textId="00E2B45C" w:rsidR="00D02866" w:rsidRDefault="00203944" w:rsidP="00BA3F3B">
      <w:pPr>
        <w:ind w:firstLine="720"/>
      </w:pPr>
      <w:r>
        <w:t xml:space="preserve">The SEC halted this fraudulent source, but countless more day-trading content providers </w:t>
      </w:r>
      <w:r w:rsidR="007B6A02">
        <w:t>lack scrutiny</w:t>
      </w:r>
      <w:r>
        <w:t>.</w:t>
      </w:r>
      <w:r w:rsidR="007B6A02">
        <w:t xml:space="preserve">  This scenario raises questions about the accuracy and consistency of these trade recommendations.  For instance, Tasty Trade releases nearly fifty hours of video every week but does not report cumulative profits and losses.  These videos also come with statistical guidance, called the probability of profit, as determined by their research team.  Until a third-party auditor reproduces their calculations, it not possible to confirm they are trustworthy.  Another risk exists that their strategies are not generalizable.  If the untrained audience blindly follows these suggestions, it could result in substantial financial loss.</w:t>
      </w:r>
    </w:p>
    <w:p w14:paraId="142DEE3D" w14:textId="77777777" w:rsidR="00125956" w:rsidRDefault="00125956" w:rsidP="00125956"/>
    <w:p w14:paraId="7C8525C5" w14:textId="77777777" w:rsidR="006F06B9" w:rsidRDefault="006F06B9" w:rsidP="00BA3F3B">
      <w:pPr>
        <w:ind w:firstLine="720"/>
      </w:pPr>
    </w:p>
    <w:sectPr w:rsidR="006F06B9"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39EF1" w14:textId="77777777" w:rsidR="00D15A0B" w:rsidRDefault="00D15A0B" w:rsidP="0082223F">
      <w:pPr>
        <w:spacing w:line="240" w:lineRule="auto"/>
      </w:pPr>
      <w:r>
        <w:separator/>
      </w:r>
    </w:p>
  </w:endnote>
  <w:endnote w:type="continuationSeparator" w:id="0">
    <w:p w14:paraId="6C385CF2" w14:textId="77777777" w:rsidR="00D15A0B" w:rsidRDefault="00D15A0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26069" w14:textId="77777777" w:rsidR="00D15A0B" w:rsidRDefault="00D15A0B" w:rsidP="0082223F">
      <w:pPr>
        <w:spacing w:line="240" w:lineRule="auto"/>
      </w:pPr>
      <w:r>
        <w:separator/>
      </w:r>
    </w:p>
  </w:footnote>
  <w:footnote w:type="continuationSeparator" w:id="0">
    <w:p w14:paraId="40B47161" w14:textId="77777777" w:rsidR="00D15A0B" w:rsidRDefault="00D15A0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25956"/>
    <w:rsid w:val="00134BF0"/>
    <w:rsid w:val="00183597"/>
    <w:rsid w:val="001B27C4"/>
    <w:rsid w:val="00203944"/>
    <w:rsid w:val="00211C2C"/>
    <w:rsid w:val="002806B7"/>
    <w:rsid w:val="003F4714"/>
    <w:rsid w:val="00401D65"/>
    <w:rsid w:val="004023D2"/>
    <w:rsid w:val="004223E8"/>
    <w:rsid w:val="00424108"/>
    <w:rsid w:val="00475624"/>
    <w:rsid w:val="004A48E2"/>
    <w:rsid w:val="004A784B"/>
    <w:rsid w:val="0052132E"/>
    <w:rsid w:val="005B7079"/>
    <w:rsid w:val="006855F0"/>
    <w:rsid w:val="006D793E"/>
    <w:rsid w:val="006F06B9"/>
    <w:rsid w:val="0073677D"/>
    <w:rsid w:val="007B6A02"/>
    <w:rsid w:val="0082223F"/>
    <w:rsid w:val="00877007"/>
    <w:rsid w:val="008B5129"/>
    <w:rsid w:val="009A1296"/>
    <w:rsid w:val="009A757D"/>
    <w:rsid w:val="009F237A"/>
    <w:rsid w:val="00B13ADF"/>
    <w:rsid w:val="00B83595"/>
    <w:rsid w:val="00BA3F3B"/>
    <w:rsid w:val="00C54DC8"/>
    <w:rsid w:val="00C73692"/>
    <w:rsid w:val="00C772DD"/>
    <w:rsid w:val="00C93BB7"/>
    <w:rsid w:val="00CB25E9"/>
    <w:rsid w:val="00D0165E"/>
    <w:rsid w:val="00D02866"/>
    <w:rsid w:val="00D15A0B"/>
    <w:rsid w:val="00D75C7B"/>
    <w:rsid w:val="00D85C7B"/>
    <w:rsid w:val="00DE2224"/>
    <w:rsid w:val="00E234E9"/>
    <w:rsid w:val="00E82898"/>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003480">
      <w:bodyDiv w:val="1"/>
      <w:marLeft w:val="0"/>
      <w:marRight w:val="0"/>
      <w:marTop w:val="0"/>
      <w:marBottom w:val="0"/>
      <w:divBdr>
        <w:top w:val="none" w:sz="0" w:space="0" w:color="auto"/>
        <w:left w:val="none" w:sz="0" w:space="0" w:color="auto"/>
        <w:bottom w:val="none" w:sz="0" w:space="0" w:color="auto"/>
        <w:right w:val="none" w:sz="0" w:space="0" w:color="auto"/>
      </w:divBdr>
    </w:div>
    <w:div w:id="831139335">
      <w:bodyDiv w:val="1"/>
      <w:marLeft w:val="0"/>
      <w:marRight w:val="0"/>
      <w:marTop w:val="0"/>
      <w:marBottom w:val="0"/>
      <w:divBdr>
        <w:top w:val="none" w:sz="0" w:space="0" w:color="auto"/>
        <w:left w:val="none" w:sz="0" w:space="0" w:color="auto"/>
        <w:bottom w:val="none" w:sz="0" w:space="0" w:color="auto"/>
        <w:right w:val="none" w:sz="0" w:space="0" w:color="auto"/>
      </w:divBdr>
    </w:div>
    <w:div w:id="859245509">
      <w:bodyDiv w:val="1"/>
      <w:marLeft w:val="0"/>
      <w:marRight w:val="0"/>
      <w:marTop w:val="0"/>
      <w:marBottom w:val="0"/>
      <w:divBdr>
        <w:top w:val="none" w:sz="0" w:space="0" w:color="auto"/>
        <w:left w:val="none" w:sz="0" w:space="0" w:color="auto"/>
        <w:bottom w:val="none" w:sz="0" w:space="0" w:color="auto"/>
        <w:right w:val="none" w:sz="0" w:space="0" w:color="auto"/>
      </w:divBdr>
    </w:div>
    <w:div w:id="1480460124">
      <w:bodyDiv w:val="1"/>
      <w:marLeft w:val="0"/>
      <w:marRight w:val="0"/>
      <w:marTop w:val="0"/>
      <w:marBottom w:val="0"/>
      <w:divBdr>
        <w:top w:val="none" w:sz="0" w:space="0" w:color="auto"/>
        <w:left w:val="none" w:sz="0" w:space="0" w:color="auto"/>
        <w:bottom w:val="none" w:sz="0" w:space="0" w:color="auto"/>
        <w:right w:val="none" w:sz="0" w:space="0" w:color="auto"/>
      </w:divBdr>
    </w:div>
    <w:div w:id="205122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Moo20</b:Tag>
    <b:SourceType>InternetSite</b:SourceType>
    <b:Guid>{96C38754-B696-4D90-89C1-E8A24E8ADC17}</b:Guid>
    <b:Title>Day trading surges In popularity, this won't end well</b:Title>
    <b:Year>2020</b:Year>
    <b:Author>
      <b:Author>
        <b:NameList>
          <b:Person>
            <b:Last>Moore</b:Last>
            <b:First>S</b:First>
          </b:Person>
        </b:NameList>
      </b:Author>
    </b:Author>
    <b:InternetSiteTitle>Forbes</b:InternetSiteTitle>
    <b:Month>June</b:Month>
    <b:Day>18</b:Day>
    <b:URL>https://www.forbes.com/sites/simonmoore/2020/06/18/day-trading-surges-in-popularity-this-wont-end-well/</b:URL>
    <b:RefOrder>1</b:RefOrder>
  </b:Source>
  <b:Source>
    <b:Tag>Lan21</b:Tag>
    <b:SourceType>InternetSite</b:SourceType>
    <b:Guid>{208CBCBF-70A7-4AE1-870D-90059F111169}</b:Guid>
    <b:Author>
      <b:Author>
        <b:NameList>
          <b:Person>
            <b:Last>Langlois</b:Last>
            <b:First>S</b:First>
          </b:Person>
        </b:NameList>
      </b:Author>
    </b:Author>
    <b:Title>He began buying Tesla at just $7.50, and now he’s retiring at 39 years old with $12 million worth — he still refuses to sell a single share</b:Title>
    <b:InternetSiteTitle>Marketwatch</b:InternetSiteTitle>
    <b:Year>2021</b:Year>
    <b:Month>January</b:Month>
    <b:Day>16</b:Day>
    <b:URL>https://www.marketwatch.com/story/he-began-buying-tesla-at-7-50-and-now-hes-retiring-at-39-years-old-with-12-million-worth-he-still-refuses-to-sell-a-single-share-11610392063</b:URL>
    <b:RefOrder>2</b:RefOrder>
  </b:Source>
  <b:Source>
    <b:Tag>Ste16</b:Tag>
    <b:SourceType>InternetSite</b:SourceType>
    <b:Guid>{B0E6D391-D426-4609-A998-A78C3A596AA8}</b:Guid>
    <b:Author>
      <b:Author>
        <b:Corporate>Steady Options</b:Corporate>
      </b:Author>
    </b:Author>
    <b:Title>Karen the supertrader: too good to be true?</b:Title>
    <b:InternetSiteTitle>Steady Options</b:InternetSiteTitle>
    <b:Year>2016</b:Year>
    <b:Month>June</b:Month>
    <b:Day>2</b:Day>
    <b:URL>https://steadyoptions.com/articles/karen-the-supertrader-too-good-to-be-true-r160/</b:URL>
    <b:RefOrder>4</b:RefOrder>
  </b:Source>
  <b:Source>
    <b:Tag>Tas15</b:Tag>
    <b:SourceType>InternetSite</b:SourceType>
    <b:Guid>{7EA47E1E-0B11-4515-B764-AD1308B46EC6}</b:Guid>
    <b:Author>
      <b:Author>
        <b:Corporate>Tasty Trade</b:Corporate>
      </b:Author>
    </b:Author>
    <b:Title>Option trader makes $105MM profit in the NDX, SPX &amp; RUT</b:Title>
    <b:InternetSiteTitle>Tasty Trade</b:InternetSiteTitle>
    <b:Year>2015</b:Year>
    <b:Month>March</b:Month>
    <b:Day>17</b:Day>
    <b:URL>https://youtu.be/BquDGE9KxZQ</b:URL>
    <b:RefOrder>3</b:RefOrder>
  </b:Source>
</b:Sources>
</file>

<file path=customXml/itemProps1.xml><?xml version="1.0" encoding="utf-8"?>
<ds:datastoreItem xmlns:ds="http://schemas.openxmlformats.org/officeDocument/2006/customXml" ds:itemID="{40807268-06BF-40D5-959D-FFB4F6C3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2021-01-18T00:55:00Z</dcterms:modified>
</cp:coreProperties>
</file>