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4066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6E1A062" w:rsidR="0082223F" w:rsidRDefault="0082223F" w:rsidP="0082223F">
      <w:pPr>
        <w:pStyle w:val="Title"/>
      </w:pPr>
      <w:r>
        <w:t xml:space="preserve">Week </w:t>
      </w:r>
      <w:r w:rsidR="004A48E2">
        <w:t>4</w:t>
      </w:r>
      <w:r>
        <w:t xml:space="preserve">: </w:t>
      </w:r>
      <w:r w:rsidR="004A48E2">
        <w:t>Quantifying Investment Network Accuracy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32C9329C" w:rsidR="00CB25E9" w:rsidRDefault="004A48E2" w:rsidP="0082223F">
      <w:pPr>
        <w:jc w:val="center"/>
      </w:pPr>
      <w:r>
        <w:t>January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7929CE7D" w14:textId="0206F739" w:rsidR="006855F0" w:rsidRDefault="004A48E2" w:rsidP="006855F0">
      <w:pPr>
        <w:pStyle w:val="Heading1"/>
      </w:pPr>
      <w:r>
        <w:lastRenderedPageBreak/>
        <w:t>Quantifying Investment Network Accuracy</w:t>
      </w:r>
    </w:p>
    <w:p w14:paraId="6046F4C3" w14:textId="5C6AA530" w:rsidR="00211C2C" w:rsidRPr="00211C2C" w:rsidRDefault="00211C2C" w:rsidP="00211C2C">
      <w:r>
        <w:tab/>
        <w:t xml:space="preserve">Numerous media sources are producing day-trading recommendations to an army of untrained traders.  Unlike traditional investment bankers, these </w:t>
      </w:r>
      <w:r w:rsidRPr="00E66768">
        <w:rPr>
          <w:i/>
          <w:iCs/>
        </w:rPr>
        <w:t>personalities</w:t>
      </w:r>
      <w:r>
        <w:t xml:space="preserve"> lack scrutiny and fiduciary responsibility to their audience.  Without regulatory oversight and third-party auditing, it is impossible to ensure these personalities provide the best information.  There are additional risks that the guidance is not generalizable, resulting in substantial financial losses for </w:t>
      </w:r>
      <w:r w:rsidR="005203D3">
        <w:t>their subscribers</w:t>
      </w:r>
      <w:r>
        <w:t>.</w:t>
      </w:r>
    </w:p>
    <w:p w14:paraId="206DF36B" w14:textId="71105537" w:rsidR="004023D2" w:rsidRDefault="004023D2" w:rsidP="004023D2">
      <w:pPr>
        <w:pStyle w:val="Heading2"/>
      </w:pPr>
      <w:r>
        <w:t>Background Context</w:t>
      </w:r>
    </w:p>
    <w:p w14:paraId="04BACB6E" w14:textId="01F5A539" w:rsidR="009A1296" w:rsidRDefault="004A48E2" w:rsidP="00BA3F3B">
      <w:pPr>
        <w:ind w:firstLine="720"/>
      </w:pPr>
      <w:r>
        <w:t xml:space="preserve">The number of retail customers actively </w:t>
      </w:r>
      <w:r>
        <w:t xml:space="preserve">day-trading </w:t>
      </w:r>
      <w:r>
        <w:t>is at an all-time high</w:t>
      </w:r>
      <w:sdt>
        <w:sdtPr>
          <w:id w:val="-174806540"/>
          <w:citation/>
        </w:sdtPr>
        <w:sdtContent>
          <w:r>
            <w:fldChar w:fldCharType="begin"/>
          </w:r>
          <w:r>
            <w:instrText xml:space="preserve"> CITATION Moo20 \l 1033 </w:instrText>
          </w:r>
          <w:r>
            <w:fldChar w:fldCharType="separate"/>
          </w:r>
          <w:r>
            <w:rPr>
              <w:noProof/>
            </w:rPr>
            <w:t xml:space="preserve"> (Moore, 2020)</w:t>
          </w:r>
          <w:r>
            <w:fldChar w:fldCharType="end"/>
          </w:r>
        </w:sdtContent>
      </w:sdt>
      <w:r>
        <w:t>.</w:t>
      </w:r>
      <w:r>
        <w:t xml:space="preserve">  Three distinct factors have caused this new trend.  First, trading firms like Robinhood, Fidelity, and Ameritrade have embraced zero-fee commissions.  Next, the Coronavirus pandemic is enabling young professionals </w:t>
      </w:r>
      <w:r w:rsidR="00E66768">
        <w:t xml:space="preserve">to enjoy </w:t>
      </w:r>
      <w:r>
        <w:t>more flexibility in their schedule.  Finally, the significant rise in US equity values since March is promoting speculative buying.</w:t>
      </w:r>
      <w:r w:rsidR="009F237A">
        <w:t xml:space="preserve">  </w:t>
      </w:r>
      <w:r w:rsidR="00BA3F3B">
        <w:t>While some of these participants are becoming exceedingly wealthy</w:t>
      </w:r>
      <w:sdt>
        <w:sdtPr>
          <w:id w:val="332426038"/>
          <w:citation/>
        </w:sdtPr>
        <w:sdtContent>
          <w:r w:rsidR="00BA3F3B">
            <w:fldChar w:fldCharType="begin"/>
          </w:r>
          <w:r w:rsidR="00BA3F3B">
            <w:instrText xml:space="preserve"> CITATION Lan21 \l 1033 </w:instrText>
          </w:r>
          <w:r w:rsidR="00BA3F3B">
            <w:fldChar w:fldCharType="separate"/>
          </w:r>
          <w:r w:rsidR="00BA3F3B">
            <w:rPr>
              <w:noProof/>
            </w:rPr>
            <w:t xml:space="preserve"> (Langlois, 2021)</w:t>
          </w:r>
          <w:r w:rsidR="00BA3F3B">
            <w:fldChar w:fldCharType="end"/>
          </w:r>
        </w:sdtContent>
      </w:sdt>
      <w:r w:rsidR="00C772DD">
        <w:t>—th</w:t>
      </w:r>
      <w:r w:rsidR="00E66768">
        <w:t>e</w:t>
      </w:r>
      <w:r w:rsidR="00C772DD">
        <w:t xml:space="preserve">se </w:t>
      </w:r>
      <w:r w:rsidR="00BA3F3B">
        <w:t>are the edge cases, not the norm.</w:t>
      </w:r>
      <w:r w:rsidR="00C772DD">
        <w:t xml:space="preserve">  </w:t>
      </w:r>
      <w:r w:rsidR="009F237A">
        <w:t>Instead, these untrained investors are more akin to gamblers, and like gambling</w:t>
      </w:r>
      <w:r w:rsidR="00D02866">
        <w:t>,</w:t>
      </w:r>
      <w:r w:rsidR="009F237A">
        <w:t xml:space="preserve"> often encounter significant losses.</w:t>
      </w:r>
    </w:p>
    <w:p w14:paraId="0BAFEFF1" w14:textId="1AA21CA3" w:rsidR="00203944" w:rsidRDefault="00D02866" w:rsidP="00BA3F3B">
      <w:pPr>
        <w:ind w:firstLine="720"/>
      </w:pPr>
      <w:r>
        <w:t xml:space="preserve">Several organizations are capitalizing on the growing trend by selling day-trading strategies to these novice traders.  Their services are available through numerous networks like Reddit, Discord, YouTube, podcasts, and dedicated websites.  However, many of these online personalities exist without traditional regulatory oversight.  For example, </w:t>
      </w:r>
      <w:r w:rsidRPr="00D02866">
        <w:rPr>
          <w:i/>
          <w:iCs/>
        </w:rPr>
        <w:t xml:space="preserve">Karen the Super </w:t>
      </w:r>
      <w:r>
        <w:rPr>
          <w:i/>
          <w:iCs/>
        </w:rPr>
        <w:t>T</w:t>
      </w:r>
      <w:r w:rsidRPr="00D02866">
        <w:rPr>
          <w:i/>
          <w:iCs/>
        </w:rPr>
        <w:t>rader</w:t>
      </w:r>
      <w:r>
        <w:rPr>
          <w:i/>
          <w:iCs/>
        </w:rPr>
        <w:t xml:space="preserve"> </w:t>
      </w:r>
      <w:r>
        <w:t>was briefly an internet sensation after transforming $10,000 into $105MM</w:t>
      </w:r>
      <w:sdt>
        <w:sdtPr>
          <w:id w:val="-476070543"/>
          <w:citation/>
        </w:sdtPr>
        <w:sdtContent>
          <w:r>
            <w:fldChar w:fldCharType="begin"/>
          </w:r>
          <w:r>
            <w:instrText xml:space="preserve">CITATION Tas15 \l 1033 </w:instrText>
          </w:r>
          <w:r>
            <w:fldChar w:fldCharType="separate"/>
          </w:r>
          <w:r>
            <w:rPr>
              <w:noProof/>
            </w:rPr>
            <w:t xml:space="preserve"> (Tasty Trade, 2015)</w:t>
          </w:r>
          <w:r>
            <w:fldChar w:fldCharType="end"/>
          </w:r>
        </w:sdtContent>
      </w:sdt>
      <w:r>
        <w:t>.  The Security Exchange Commission (SEC) later reported irregularities that delegitimized her brand</w:t>
      </w:r>
      <w:sdt>
        <w:sdtPr>
          <w:id w:val="1857917837"/>
          <w:citation/>
        </w:sdtPr>
        <w:sdtContent>
          <w:r>
            <w:fldChar w:fldCharType="begin"/>
          </w:r>
          <w:r>
            <w:instrText xml:space="preserve"> CITATION Ste16 \l 1033 </w:instrText>
          </w:r>
          <w:r>
            <w:fldChar w:fldCharType="separate"/>
          </w:r>
          <w:r>
            <w:rPr>
              <w:noProof/>
            </w:rPr>
            <w:t xml:space="preserve"> (Steady Options, 2016)</w:t>
          </w:r>
          <w:r>
            <w:fldChar w:fldCharType="end"/>
          </w:r>
        </w:sdtContent>
      </w:sdt>
      <w:r>
        <w:t>.</w:t>
      </w:r>
    </w:p>
    <w:p w14:paraId="58316438" w14:textId="4F06F19A" w:rsidR="004023D2" w:rsidRDefault="005203D3" w:rsidP="004023D2">
      <w:pPr>
        <w:pStyle w:val="Heading2"/>
      </w:pPr>
      <w:r>
        <w:lastRenderedPageBreak/>
        <w:t>Problem Statement</w:t>
      </w:r>
    </w:p>
    <w:p w14:paraId="3C76DDB8" w14:textId="230BE68B" w:rsidR="00D02866" w:rsidRDefault="00203944" w:rsidP="00BA3F3B">
      <w:pPr>
        <w:ind w:firstLine="720"/>
      </w:pPr>
      <w:r>
        <w:t xml:space="preserve">The SEC halted this fraudulent source, but countless more day-trading content providers </w:t>
      </w:r>
      <w:r w:rsidR="007B6A02">
        <w:t>lack scrutiny</w:t>
      </w:r>
      <w:r>
        <w:t>.</w:t>
      </w:r>
      <w:r w:rsidR="007B6A02">
        <w:t xml:space="preserve">  This scenario raises questions about the accuracy and consistency of these trade recommendations.  For instance, Tasty Trade releases nearly fifty hours of video every week but does not report cumulative profits and losses.  These videos also come with statistical guidance, called the </w:t>
      </w:r>
      <w:r w:rsidR="005203D3">
        <w:t>P</w:t>
      </w:r>
      <w:r w:rsidR="007B6A02">
        <w:t xml:space="preserve">robability of </w:t>
      </w:r>
      <w:r w:rsidR="005203D3">
        <w:t>P</w:t>
      </w:r>
      <w:r w:rsidR="007B6A02">
        <w:t>rofit</w:t>
      </w:r>
      <w:r w:rsidR="005203D3">
        <w:t xml:space="preserve"> (</w:t>
      </w:r>
      <w:proofErr w:type="spellStart"/>
      <w:r w:rsidR="005203D3">
        <w:t>PoP</w:t>
      </w:r>
      <w:proofErr w:type="spellEnd"/>
      <w:r w:rsidR="005203D3">
        <w:t>)</w:t>
      </w:r>
      <w:r w:rsidR="007B6A02">
        <w:t>, as determined by their research team.  Until a third-party auditor reproduces their calculations, it</w:t>
      </w:r>
      <w:r w:rsidR="00E66768">
        <w:t xml:space="preserve"> is</w:t>
      </w:r>
      <w:r w:rsidR="007B6A02">
        <w:t xml:space="preserve"> </w:t>
      </w:r>
      <w:r w:rsidR="00E66768">
        <w:t xml:space="preserve">impossible </w:t>
      </w:r>
      <w:r w:rsidR="007B6A02">
        <w:t>to confirm they are trustworthy.  Another risk exists that their strategies are not generalizable.  If the untrained audience blindly follows these suggestions, it could result in substantial financial loss.</w:t>
      </w:r>
    </w:p>
    <w:p w14:paraId="142DEE3D" w14:textId="4DE4756A" w:rsidR="00125956" w:rsidRDefault="005203D3" w:rsidP="005203D3">
      <w:pPr>
        <w:pStyle w:val="Heading2"/>
      </w:pPr>
      <w:r>
        <w:t>Purpose Statement</w:t>
      </w:r>
    </w:p>
    <w:p w14:paraId="7C8525C5" w14:textId="3114C845" w:rsidR="006F06B9" w:rsidRDefault="005203D3" w:rsidP="005203D3">
      <w:r>
        <w:tab/>
        <w:t xml:space="preserve">Businesses like Tasty Trade need an independent third-party to confirm their guidance is generalizable and accurate.  This audit needs to assess the profits and losses of historical trade recommendations from different personalities.  Nearly </w:t>
      </w:r>
      <w:proofErr w:type="gramStart"/>
      <w:r>
        <w:t>all of</w:t>
      </w:r>
      <w:proofErr w:type="gramEnd"/>
      <w:r>
        <w:t xml:space="preserve"> these strategies use margin-based leverage, which brings into consideration additional metrics.  For example, a winning trade could be prematurely </w:t>
      </w:r>
      <w:r w:rsidR="00E66768">
        <w:t xml:space="preserve">closed </w:t>
      </w:r>
      <w:r>
        <w:t>due to a margin call.  Therefore, the volatility in the performance bond (margin requirement) is of importance.</w:t>
      </w:r>
    </w:p>
    <w:p w14:paraId="0BC04E39" w14:textId="3A51E4DB" w:rsidR="005203D3" w:rsidRDefault="005203D3" w:rsidP="005203D3">
      <w:r>
        <w:tab/>
        <w:t>Official trades come with a Probability of Profit (</w:t>
      </w:r>
      <w:proofErr w:type="spellStart"/>
      <w:r>
        <w:t>PoP</w:t>
      </w:r>
      <w:proofErr w:type="spellEnd"/>
      <w:r>
        <w:t>) metric that expresses the chances of earning money.  This figure approximates the odds using the Black-Scholes 1973 option-pricing model.  However, more current research finds this approach inaccurate in practice</w:t>
      </w:r>
      <w:sdt>
        <w:sdtPr>
          <w:id w:val="-437518118"/>
          <w:citation/>
        </w:sdtPr>
        <w:sdtContent>
          <w:r>
            <w:fldChar w:fldCharType="begin"/>
          </w:r>
          <w:r>
            <w:instrText xml:space="preserve"> CITATION Sri20 \l 1033 </w:instrText>
          </w:r>
          <w:r>
            <w:fldChar w:fldCharType="separate"/>
          </w:r>
          <w:r>
            <w:rPr>
              <w:noProof/>
            </w:rPr>
            <w:t xml:space="preserve"> (Srivastava, 2020)</w:t>
          </w:r>
          <w:r>
            <w:fldChar w:fldCharType="end"/>
          </w:r>
        </w:sdtContent>
      </w:sdt>
      <w:r>
        <w:t xml:space="preserve">.  </w:t>
      </w:r>
      <w:r w:rsidR="007F5E37">
        <w:t xml:space="preserve">If a </w:t>
      </w:r>
      <w:r>
        <w:t xml:space="preserve">casino </w:t>
      </w:r>
      <w:r w:rsidR="007F5E37">
        <w:t xml:space="preserve">equally </w:t>
      </w:r>
      <w:r>
        <w:t xml:space="preserve">misrepresented the chances, then the </w:t>
      </w:r>
      <w:r w:rsidR="007F5E37">
        <w:t xml:space="preserve">State’s </w:t>
      </w:r>
      <w:r>
        <w:t>Gaming Commission issue</w:t>
      </w:r>
      <w:r w:rsidR="007F5E37">
        <w:t>s</w:t>
      </w:r>
      <w:r>
        <w:t xml:space="preserve"> severe penalties. A similar </w:t>
      </w:r>
      <w:r w:rsidR="007F5E37">
        <w:t xml:space="preserve">quality </w:t>
      </w:r>
      <w:r>
        <w:t xml:space="preserve">standard needs </w:t>
      </w:r>
      <w:r w:rsidR="00A41D4F">
        <w:t xml:space="preserve">to </w:t>
      </w:r>
      <w:r>
        <w:t xml:space="preserve">exist with this metric as it plays a critical component </w:t>
      </w:r>
      <w:r w:rsidR="007F5E37">
        <w:t xml:space="preserve">in </w:t>
      </w:r>
      <w:r>
        <w:t>financial decisions.</w:t>
      </w:r>
      <w:r w:rsidR="007F5E37">
        <w:t xml:space="preserve">  That standard needs a historical lens that confirms </w:t>
      </w:r>
      <w:r w:rsidR="00A41D4F">
        <w:t>these</w:t>
      </w:r>
      <w:r w:rsidR="007F5E37">
        <w:t xml:space="preserve"> dealer</w:t>
      </w:r>
      <w:r w:rsidR="00A41D4F">
        <w:t>s</w:t>
      </w:r>
      <w:r w:rsidR="007F5E37">
        <w:t xml:space="preserve"> use straight dice.</w:t>
      </w:r>
    </w:p>
    <w:p w14:paraId="7A15A1BF" w14:textId="64BF0A6F" w:rsidR="007F5E37" w:rsidRDefault="007F5E37" w:rsidP="007F5E37">
      <w:pPr>
        <w:pStyle w:val="Heading2"/>
      </w:pPr>
      <w:r>
        <w:lastRenderedPageBreak/>
        <w:t>Data Collection Plan</w:t>
      </w:r>
    </w:p>
    <w:p w14:paraId="7FA8B602" w14:textId="562492F1" w:rsidR="00E42641" w:rsidRDefault="00564ACE" w:rsidP="007F5E37">
      <w:r>
        <w:tab/>
        <w:t xml:space="preserve">Day-trading advisors offer various free and paid communications through Really Simple Syndication (RSS), Discord channels, and email, to name a few.  Automation can crawl through these </w:t>
      </w:r>
      <w:r w:rsidR="00E42641">
        <w:t xml:space="preserve">previous </w:t>
      </w:r>
      <w:r>
        <w:t xml:space="preserve">suggestions to </w:t>
      </w:r>
      <w:r w:rsidR="00E42641">
        <w:t xml:space="preserve">extract </w:t>
      </w:r>
      <w:r>
        <w:t xml:space="preserve">the </w:t>
      </w:r>
      <w:r w:rsidR="00E42641">
        <w:t>trade’s metadata (see Table 1).  The initial investigation focuses on Tasty Trade’s official channels, as it has numerous examples and uses schematized publications.</w:t>
      </w:r>
    </w:p>
    <w:p w14:paraId="666DE5EF" w14:textId="61B1DA41" w:rsidR="00E42641" w:rsidRDefault="00E42641" w:rsidP="00E42641">
      <w:pPr>
        <w:pStyle w:val="Caption"/>
      </w:pPr>
      <w:r>
        <w:t>Table 1: Collection Properties</w:t>
      </w:r>
    </w:p>
    <w:tbl>
      <w:tblPr>
        <w:tblStyle w:val="GridTable4"/>
        <w:tblW w:w="0" w:type="auto"/>
        <w:tblLook w:val="04A0" w:firstRow="1" w:lastRow="0" w:firstColumn="1" w:lastColumn="0" w:noHBand="0" w:noVBand="1"/>
      </w:tblPr>
      <w:tblGrid>
        <w:gridCol w:w="2155"/>
        <w:gridCol w:w="3690"/>
        <w:gridCol w:w="3505"/>
      </w:tblGrid>
      <w:tr w:rsidR="00E42641" w14:paraId="6EDD5048" w14:textId="77777777" w:rsidTr="00E42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715687F" w14:textId="44DC656D" w:rsidR="00E42641" w:rsidRDefault="00E42641" w:rsidP="00E42641">
            <w:pPr>
              <w:jc w:val="center"/>
            </w:pPr>
            <w:r>
              <w:t>Property</w:t>
            </w:r>
          </w:p>
        </w:tc>
        <w:tc>
          <w:tcPr>
            <w:tcW w:w="3690" w:type="dxa"/>
          </w:tcPr>
          <w:p w14:paraId="0B56D177" w14:textId="7C3971A4" w:rsidR="00E42641" w:rsidRDefault="00E42641" w:rsidP="00E42641">
            <w:pPr>
              <w:jc w:val="center"/>
              <w:cnfStyle w:val="100000000000" w:firstRow="1" w:lastRow="0" w:firstColumn="0" w:lastColumn="0" w:oddVBand="0" w:evenVBand="0" w:oddHBand="0" w:evenHBand="0" w:firstRowFirstColumn="0" w:firstRowLastColumn="0" w:lastRowFirstColumn="0" w:lastRowLastColumn="0"/>
            </w:pPr>
            <w:r>
              <w:t>Description</w:t>
            </w:r>
          </w:p>
        </w:tc>
        <w:tc>
          <w:tcPr>
            <w:tcW w:w="3505" w:type="dxa"/>
          </w:tcPr>
          <w:p w14:paraId="1CAE897D" w14:textId="54563DAA" w:rsidR="00E42641" w:rsidRDefault="00E42641" w:rsidP="00E42641">
            <w:pPr>
              <w:jc w:val="center"/>
              <w:cnfStyle w:val="100000000000" w:firstRow="1" w:lastRow="0" w:firstColumn="0" w:lastColumn="0" w:oddVBand="0" w:evenVBand="0" w:oddHBand="0" w:evenHBand="0" w:firstRowFirstColumn="0" w:firstRowLastColumn="0" w:lastRowFirstColumn="0" w:lastRowLastColumn="0"/>
            </w:pPr>
            <w:r>
              <w:t>Example</w:t>
            </w:r>
          </w:p>
        </w:tc>
      </w:tr>
      <w:tr w:rsidR="00E42641" w14:paraId="3E3D2EC2" w14:textId="77777777" w:rsidTr="00E4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AF41ED4" w14:textId="00115321" w:rsidR="00E42641" w:rsidRDefault="00E42641" w:rsidP="007F5E37">
            <w:r>
              <w:t>Trade Time</w:t>
            </w:r>
          </w:p>
        </w:tc>
        <w:tc>
          <w:tcPr>
            <w:tcW w:w="3690" w:type="dxa"/>
          </w:tcPr>
          <w:p w14:paraId="124F7D5D" w14:textId="027B004C" w:rsidR="00E42641" w:rsidRDefault="00E42641" w:rsidP="007F5E37">
            <w:pPr>
              <w:cnfStyle w:val="000000100000" w:firstRow="0" w:lastRow="0" w:firstColumn="0" w:lastColumn="0" w:oddVBand="0" w:evenVBand="0" w:oddHBand="1" w:evenHBand="0" w:firstRowFirstColumn="0" w:firstRowLastColumn="0" w:lastRowFirstColumn="0" w:lastRowLastColumn="0"/>
            </w:pPr>
            <w:r>
              <w:t>When was the suggestion</w:t>
            </w:r>
          </w:p>
        </w:tc>
        <w:tc>
          <w:tcPr>
            <w:tcW w:w="3505" w:type="dxa"/>
          </w:tcPr>
          <w:p w14:paraId="0E89242B" w14:textId="1617E919" w:rsidR="00E42641" w:rsidRDefault="00E42641" w:rsidP="007F5E37">
            <w:pPr>
              <w:cnfStyle w:val="000000100000" w:firstRow="0" w:lastRow="0" w:firstColumn="0" w:lastColumn="0" w:oddVBand="0" w:evenVBand="0" w:oddHBand="1" w:evenHBand="0" w:firstRowFirstColumn="0" w:firstRowLastColumn="0" w:lastRowFirstColumn="0" w:lastRowLastColumn="0"/>
            </w:pPr>
            <w:r>
              <w:t xml:space="preserve">2021-01-15 12:34:56.789 </w:t>
            </w:r>
          </w:p>
        </w:tc>
      </w:tr>
      <w:tr w:rsidR="00E42641" w14:paraId="4039AA6E" w14:textId="77777777" w:rsidTr="00E42641">
        <w:tc>
          <w:tcPr>
            <w:cnfStyle w:val="001000000000" w:firstRow="0" w:lastRow="0" w:firstColumn="1" w:lastColumn="0" w:oddVBand="0" w:evenVBand="0" w:oddHBand="0" w:evenHBand="0" w:firstRowFirstColumn="0" w:firstRowLastColumn="0" w:lastRowFirstColumn="0" w:lastRowLastColumn="0"/>
            <w:tcW w:w="2155" w:type="dxa"/>
          </w:tcPr>
          <w:p w14:paraId="055E1FAF" w14:textId="09DD94FE" w:rsidR="00E42641" w:rsidRDefault="00E42641" w:rsidP="007F5E37">
            <w:r>
              <w:t>Username</w:t>
            </w:r>
          </w:p>
        </w:tc>
        <w:tc>
          <w:tcPr>
            <w:tcW w:w="3690" w:type="dxa"/>
          </w:tcPr>
          <w:p w14:paraId="06F227E3" w14:textId="7515B43E" w:rsidR="00E42641" w:rsidRDefault="00E42641" w:rsidP="007F5E37">
            <w:pPr>
              <w:cnfStyle w:val="000000000000" w:firstRow="0" w:lastRow="0" w:firstColumn="0" w:lastColumn="0" w:oddVBand="0" w:evenVBand="0" w:oddHBand="0" w:evenHBand="0" w:firstRowFirstColumn="0" w:firstRowLastColumn="0" w:lastRowFirstColumn="0" w:lastRowLastColumn="0"/>
            </w:pPr>
            <w:r>
              <w:t>Alias of the original poster (OP)</w:t>
            </w:r>
          </w:p>
        </w:tc>
        <w:tc>
          <w:tcPr>
            <w:tcW w:w="3505" w:type="dxa"/>
          </w:tcPr>
          <w:p w14:paraId="12F0F026" w14:textId="76FD82FA" w:rsidR="00E42641" w:rsidRDefault="00E42641" w:rsidP="007F5E37">
            <w:pPr>
              <w:cnfStyle w:val="000000000000" w:firstRow="0" w:lastRow="0" w:firstColumn="0" w:lastColumn="0" w:oddVBand="0" w:evenVBand="0" w:oddHBand="0" w:evenHBand="0" w:firstRowFirstColumn="0" w:firstRowLastColumn="0" w:lastRowFirstColumn="0" w:lastRowLastColumn="0"/>
            </w:pPr>
            <w:proofErr w:type="spellStart"/>
            <w:r>
              <w:t>ted_smith</w:t>
            </w:r>
            <w:proofErr w:type="spellEnd"/>
          </w:p>
        </w:tc>
      </w:tr>
      <w:tr w:rsidR="00E42641" w14:paraId="536BAF43" w14:textId="77777777" w:rsidTr="00E42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65D5C86E" w14:textId="76641E49" w:rsidR="00E42641" w:rsidRDefault="00E42641" w:rsidP="007F5E37">
            <w:r>
              <w:t>Security Identifier</w:t>
            </w:r>
          </w:p>
        </w:tc>
        <w:tc>
          <w:tcPr>
            <w:tcW w:w="3690" w:type="dxa"/>
          </w:tcPr>
          <w:p w14:paraId="55771002" w14:textId="6C16C49A" w:rsidR="00E42641" w:rsidRDefault="00E42641" w:rsidP="007F5E37">
            <w:pPr>
              <w:cnfStyle w:val="000000100000" w:firstRow="0" w:lastRow="0" w:firstColumn="0" w:lastColumn="0" w:oddVBand="0" w:evenVBand="0" w:oddHBand="1" w:evenHBand="0" w:firstRowFirstColumn="0" w:firstRowLastColumn="0" w:lastRowFirstColumn="0" w:lastRowLastColumn="0"/>
            </w:pPr>
            <w:r>
              <w:t>Name of the stock or bond</w:t>
            </w:r>
          </w:p>
        </w:tc>
        <w:tc>
          <w:tcPr>
            <w:tcW w:w="3505" w:type="dxa"/>
          </w:tcPr>
          <w:p w14:paraId="53ADF3B8" w14:textId="57D7D563" w:rsidR="00E42641" w:rsidRDefault="00E42641" w:rsidP="007F5E37">
            <w:pPr>
              <w:cnfStyle w:val="000000100000" w:firstRow="0" w:lastRow="0" w:firstColumn="0" w:lastColumn="0" w:oddVBand="0" w:evenVBand="0" w:oddHBand="1" w:evenHBand="0" w:firstRowFirstColumn="0" w:firstRowLastColumn="0" w:lastRowFirstColumn="0" w:lastRowLastColumn="0"/>
            </w:pPr>
            <w:r>
              <w:t>AMZN (Amazon Inc.)</w:t>
            </w:r>
          </w:p>
        </w:tc>
      </w:tr>
      <w:tr w:rsidR="00E42641" w14:paraId="0572D52C" w14:textId="77777777" w:rsidTr="00E42641">
        <w:tc>
          <w:tcPr>
            <w:cnfStyle w:val="001000000000" w:firstRow="0" w:lastRow="0" w:firstColumn="1" w:lastColumn="0" w:oddVBand="0" w:evenVBand="0" w:oddHBand="0" w:evenHBand="0" w:firstRowFirstColumn="0" w:firstRowLastColumn="0" w:lastRowFirstColumn="0" w:lastRowLastColumn="0"/>
            <w:tcW w:w="2155" w:type="dxa"/>
          </w:tcPr>
          <w:p w14:paraId="77C05B2E" w14:textId="3387CAD7" w:rsidR="00E42641" w:rsidRDefault="00E42641" w:rsidP="007F5E37">
            <w:r>
              <w:t>Strategy</w:t>
            </w:r>
          </w:p>
        </w:tc>
        <w:tc>
          <w:tcPr>
            <w:tcW w:w="3690" w:type="dxa"/>
          </w:tcPr>
          <w:p w14:paraId="2976DCE9" w14:textId="03E4587A" w:rsidR="00E42641" w:rsidRDefault="00E42641" w:rsidP="007F5E37">
            <w:pPr>
              <w:cnfStyle w:val="000000000000" w:firstRow="0" w:lastRow="0" w:firstColumn="0" w:lastColumn="0" w:oddVBand="0" w:evenVBand="0" w:oddHBand="0" w:evenHBand="0" w:firstRowFirstColumn="0" w:firstRowLastColumn="0" w:lastRowFirstColumn="0" w:lastRowLastColumn="0"/>
            </w:pPr>
            <w:r>
              <w:t>Is the strategy long, short, or neutral</w:t>
            </w:r>
          </w:p>
        </w:tc>
        <w:tc>
          <w:tcPr>
            <w:tcW w:w="3505" w:type="dxa"/>
          </w:tcPr>
          <w:p w14:paraId="5005B162" w14:textId="3C4B707F" w:rsidR="00E42641" w:rsidRDefault="00E42641" w:rsidP="007F5E37">
            <w:pPr>
              <w:cnfStyle w:val="000000000000" w:firstRow="0" w:lastRow="0" w:firstColumn="0" w:lastColumn="0" w:oddVBand="0" w:evenVBand="0" w:oddHBand="0" w:evenHBand="0" w:firstRowFirstColumn="0" w:firstRowLastColumn="0" w:lastRowFirstColumn="0" w:lastRowLastColumn="0"/>
            </w:pPr>
            <w:r>
              <w:t>BUY 3260 AMZN AUG CALL</w:t>
            </w:r>
            <w:r>
              <w:br/>
              <w:t>SELL 3250 AMZN AUG CALL</w:t>
            </w:r>
          </w:p>
        </w:tc>
      </w:tr>
    </w:tbl>
    <w:p w14:paraId="10003B8A" w14:textId="481A7AF1" w:rsidR="007F5E37" w:rsidRDefault="00E42641" w:rsidP="00E42641">
      <w:r>
        <w:t xml:space="preserve"> </w:t>
      </w:r>
    </w:p>
    <w:p w14:paraId="2589D0EB" w14:textId="68504A33" w:rsidR="00E42641" w:rsidRDefault="00E42641" w:rsidP="00E42641">
      <w:r>
        <w:t>Next, a data collection process needs to find several properties that describe the strategy’s underlying instruments (see Table 2).  For instance, Table 1 contains an example short call spread consisting of two option contracts.  Information about both contracts is necessary to calculate the net position’s total performance.</w:t>
      </w:r>
    </w:p>
    <w:p w14:paraId="21105D4A" w14:textId="2DE82DAA" w:rsidR="00E42641" w:rsidRDefault="00E42641" w:rsidP="00E42641">
      <w:pPr>
        <w:pStyle w:val="Caption"/>
      </w:pPr>
      <w:r>
        <w:t xml:space="preserve">  Table 2: Security Properties</w:t>
      </w:r>
    </w:p>
    <w:tbl>
      <w:tblPr>
        <w:tblStyle w:val="GridTable4"/>
        <w:tblW w:w="0" w:type="auto"/>
        <w:tblLook w:val="04A0" w:firstRow="1" w:lastRow="0" w:firstColumn="1" w:lastColumn="0" w:noHBand="0" w:noVBand="1"/>
      </w:tblPr>
      <w:tblGrid>
        <w:gridCol w:w="3116"/>
        <w:gridCol w:w="3117"/>
        <w:gridCol w:w="3117"/>
      </w:tblGrid>
      <w:tr w:rsidR="00E42641" w14:paraId="11494663" w14:textId="77777777" w:rsidTr="008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508F11" w14:textId="7DE793BD" w:rsidR="00E42641" w:rsidRDefault="00E42641" w:rsidP="008C2924">
            <w:pPr>
              <w:jc w:val="center"/>
            </w:pPr>
            <w:r>
              <w:t>Property</w:t>
            </w:r>
          </w:p>
        </w:tc>
        <w:tc>
          <w:tcPr>
            <w:tcW w:w="3117" w:type="dxa"/>
          </w:tcPr>
          <w:p w14:paraId="2E8D7CE8" w14:textId="188B9B16" w:rsidR="00E42641" w:rsidRDefault="00E42641" w:rsidP="008C2924">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04FDA255" w14:textId="0BA92E6D" w:rsidR="00E42641" w:rsidRDefault="00E42641" w:rsidP="008C2924">
            <w:pPr>
              <w:jc w:val="center"/>
              <w:cnfStyle w:val="100000000000" w:firstRow="1" w:lastRow="0" w:firstColumn="0" w:lastColumn="0" w:oddVBand="0" w:evenVBand="0" w:oddHBand="0" w:evenHBand="0" w:firstRowFirstColumn="0" w:firstRowLastColumn="0" w:lastRowFirstColumn="0" w:lastRowLastColumn="0"/>
            </w:pPr>
            <w:r>
              <w:t>Range or Units</w:t>
            </w:r>
          </w:p>
        </w:tc>
      </w:tr>
      <w:tr w:rsidR="008C2924" w14:paraId="485AD246" w14:textId="77777777" w:rsidTr="008C2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0CB7E6" w14:textId="79B5C2AF" w:rsidR="008C2924" w:rsidRDefault="008C2924" w:rsidP="00E42641">
            <w:r>
              <w:t>Trade Identifier</w:t>
            </w:r>
          </w:p>
        </w:tc>
        <w:tc>
          <w:tcPr>
            <w:tcW w:w="3117" w:type="dxa"/>
          </w:tcPr>
          <w:p w14:paraId="2CF7B458" w14:textId="660A2281" w:rsidR="008C2924" w:rsidRDefault="008C2924" w:rsidP="00E42641">
            <w:pPr>
              <w:cnfStyle w:val="000000100000" w:firstRow="0" w:lastRow="0" w:firstColumn="0" w:lastColumn="0" w:oddVBand="0" w:evenVBand="0" w:oddHBand="1" w:evenHBand="0" w:firstRowFirstColumn="0" w:firstRowLastColumn="0" w:lastRowFirstColumn="0" w:lastRowLastColumn="0"/>
            </w:pPr>
            <w:r>
              <w:t>Unique value</w:t>
            </w:r>
          </w:p>
        </w:tc>
        <w:tc>
          <w:tcPr>
            <w:tcW w:w="3117" w:type="dxa"/>
          </w:tcPr>
          <w:p w14:paraId="35CE59E1" w14:textId="3DFA58BC" w:rsidR="008C2924" w:rsidRDefault="008C2924" w:rsidP="00E42641">
            <w:pPr>
              <w:cnfStyle w:val="000000100000" w:firstRow="0" w:lastRow="0" w:firstColumn="0" w:lastColumn="0" w:oddVBand="0" w:evenVBand="0" w:oddHBand="1" w:evenHBand="0" w:firstRowFirstColumn="0" w:firstRowLastColumn="0" w:lastRowFirstColumn="0" w:lastRowLastColumn="0"/>
            </w:pPr>
            <w:r>
              <w:t>Global Unique Identifier (GUID)</w:t>
            </w:r>
          </w:p>
        </w:tc>
      </w:tr>
      <w:tr w:rsidR="00E42641" w14:paraId="29C49B3B" w14:textId="77777777" w:rsidTr="008C2924">
        <w:tc>
          <w:tcPr>
            <w:cnfStyle w:val="001000000000" w:firstRow="0" w:lastRow="0" w:firstColumn="1" w:lastColumn="0" w:oddVBand="0" w:evenVBand="0" w:oddHBand="0" w:evenHBand="0" w:firstRowFirstColumn="0" w:firstRowLastColumn="0" w:lastRowFirstColumn="0" w:lastRowLastColumn="0"/>
            <w:tcW w:w="3116" w:type="dxa"/>
          </w:tcPr>
          <w:p w14:paraId="72CC1170" w14:textId="4A9B53C0" w:rsidR="00E42641" w:rsidRDefault="00E42641" w:rsidP="00E42641">
            <w:r>
              <w:t>Underlying Price</w:t>
            </w:r>
          </w:p>
        </w:tc>
        <w:tc>
          <w:tcPr>
            <w:tcW w:w="3117" w:type="dxa"/>
          </w:tcPr>
          <w:p w14:paraId="19C5F6F1" w14:textId="3D98A390" w:rsidR="00E42641" w:rsidRDefault="00E42641" w:rsidP="00E42641">
            <w:pPr>
              <w:cnfStyle w:val="000000000000" w:firstRow="0" w:lastRow="0" w:firstColumn="0" w:lastColumn="0" w:oddVBand="0" w:evenVBand="0" w:oddHBand="0" w:evenHBand="0" w:firstRowFirstColumn="0" w:firstRowLastColumn="0" w:lastRowFirstColumn="0" w:lastRowLastColumn="0"/>
            </w:pPr>
            <w:r>
              <w:t>Price of the stock tied to the option</w:t>
            </w:r>
          </w:p>
        </w:tc>
        <w:tc>
          <w:tcPr>
            <w:tcW w:w="3117" w:type="dxa"/>
          </w:tcPr>
          <w:p w14:paraId="5A9F3BC3" w14:textId="3EC1EC25" w:rsidR="00E42641" w:rsidRDefault="00E42641" w:rsidP="00E42641">
            <w:pPr>
              <w:cnfStyle w:val="000000000000" w:firstRow="0" w:lastRow="0" w:firstColumn="0" w:lastColumn="0" w:oddVBand="0" w:evenVBand="0" w:oddHBand="0" w:evenHBand="0" w:firstRowFirstColumn="0" w:firstRowLastColumn="0" w:lastRowFirstColumn="0" w:lastRowLastColumn="0"/>
            </w:pPr>
            <w:r>
              <w:t>Dollars</w:t>
            </w:r>
          </w:p>
        </w:tc>
      </w:tr>
      <w:tr w:rsidR="00E42641" w14:paraId="6B3782DE" w14:textId="77777777" w:rsidTr="008C2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D82AE8" w14:textId="2A0A6E98" w:rsidR="00E42641" w:rsidRDefault="00E42641" w:rsidP="00E42641">
            <w:r>
              <w:t>Implied Volatility</w:t>
            </w:r>
          </w:p>
        </w:tc>
        <w:tc>
          <w:tcPr>
            <w:tcW w:w="3117" w:type="dxa"/>
          </w:tcPr>
          <w:p w14:paraId="30F30091" w14:textId="59C650B1" w:rsidR="00E42641" w:rsidRDefault="00E42641" w:rsidP="00E42641">
            <w:pPr>
              <w:cnfStyle w:val="000000100000" w:firstRow="0" w:lastRow="0" w:firstColumn="0" w:lastColumn="0" w:oddVBand="0" w:evenVBand="0" w:oddHBand="1" w:evenHBand="0" w:firstRowFirstColumn="0" w:firstRowLastColumn="0" w:lastRowFirstColumn="0" w:lastRowLastColumn="0"/>
            </w:pPr>
            <w:r>
              <w:t>Standard deviation price movement</w:t>
            </w:r>
          </w:p>
        </w:tc>
        <w:tc>
          <w:tcPr>
            <w:tcW w:w="3117" w:type="dxa"/>
          </w:tcPr>
          <w:p w14:paraId="75697EEF" w14:textId="45C6B2D7" w:rsidR="00E42641" w:rsidRDefault="00E42641" w:rsidP="00E42641">
            <w:pPr>
              <w:cnfStyle w:val="000000100000" w:firstRow="0" w:lastRow="0" w:firstColumn="0" w:lastColumn="0" w:oddVBand="0" w:evenVBand="0" w:oddHBand="1" w:evenHBand="0" w:firstRowFirstColumn="0" w:firstRowLastColumn="0" w:lastRowFirstColumn="0" w:lastRowLastColumn="0"/>
            </w:pPr>
            <w:r>
              <w:t>Annualized Percent</w:t>
            </w:r>
          </w:p>
        </w:tc>
      </w:tr>
      <w:tr w:rsidR="00E42641" w14:paraId="5C34CCF3" w14:textId="77777777" w:rsidTr="008C2924">
        <w:tc>
          <w:tcPr>
            <w:cnfStyle w:val="001000000000" w:firstRow="0" w:lastRow="0" w:firstColumn="1" w:lastColumn="0" w:oddVBand="0" w:evenVBand="0" w:oddHBand="0" w:evenHBand="0" w:firstRowFirstColumn="0" w:firstRowLastColumn="0" w:lastRowFirstColumn="0" w:lastRowLastColumn="0"/>
            <w:tcW w:w="3116" w:type="dxa"/>
          </w:tcPr>
          <w:p w14:paraId="6972008B" w14:textId="5746EDC8" w:rsidR="00E42641" w:rsidRDefault="00E42641" w:rsidP="00E42641">
            <w:r>
              <w:t>Delta</w:t>
            </w:r>
          </w:p>
        </w:tc>
        <w:tc>
          <w:tcPr>
            <w:tcW w:w="3117" w:type="dxa"/>
          </w:tcPr>
          <w:p w14:paraId="558BB78D" w14:textId="78FC2D54" w:rsidR="00E42641" w:rsidRDefault="00E42641" w:rsidP="00E42641">
            <w:pPr>
              <w:cnfStyle w:val="000000000000" w:firstRow="0" w:lastRow="0" w:firstColumn="0" w:lastColumn="0" w:oddVBand="0" w:evenVBand="0" w:oddHBand="0" w:evenHBand="0" w:firstRowFirstColumn="0" w:firstRowLastColumn="0" w:lastRowFirstColumn="0" w:lastRowLastColumn="0"/>
            </w:pPr>
            <w:r>
              <w:t>Value per $1 increase in underlying</w:t>
            </w:r>
          </w:p>
        </w:tc>
        <w:tc>
          <w:tcPr>
            <w:tcW w:w="3117" w:type="dxa"/>
          </w:tcPr>
          <w:p w14:paraId="6C0D7B01" w14:textId="7257A14F" w:rsidR="00E42641" w:rsidRDefault="00E42641" w:rsidP="00E42641">
            <w:pPr>
              <w:cnfStyle w:val="000000000000" w:firstRow="0" w:lastRow="0" w:firstColumn="0" w:lastColumn="0" w:oddVBand="0" w:evenVBand="0" w:oddHBand="0" w:evenHBand="0" w:firstRowFirstColumn="0" w:firstRowLastColumn="0" w:lastRowFirstColumn="0" w:lastRowLastColumn="0"/>
            </w:pPr>
            <w:r>
              <w:t>0 to 100</w:t>
            </w:r>
          </w:p>
        </w:tc>
      </w:tr>
      <w:tr w:rsidR="00E42641" w14:paraId="5017198F" w14:textId="77777777" w:rsidTr="008C2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A93E7DC" w14:textId="25A59E67" w:rsidR="00E42641" w:rsidRDefault="00E42641" w:rsidP="00E42641">
            <w:r>
              <w:t>Gamma</w:t>
            </w:r>
          </w:p>
        </w:tc>
        <w:tc>
          <w:tcPr>
            <w:tcW w:w="3117" w:type="dxa"/>
          </w:tcPr>
          <w:p w14:paraId="2732BDBD" w14:textId="16B7A739" w:rsidR="00E42641" w:rsidRDefault="00E42641" w:rsidP="00E42641">
            <w:pPr>
              <w:cnfStyle w:val="000000100000" w:firstRow="0" w:lastRow="0" w:firstColumn="0" w:lastColumn="0" w:oddVBand="0" w:evenVBand="0" w:oddHBand="1" w:evenHBand="0" w:firstRowFirstColumn="0" w:firstRowLastColumn="0" w:lastRowFirstColumn="0" w:lastRowLastColumn="0"/>
            </w:pPr>
            <w:r>
              <w:t>Position growth per $1 increase in underlying</w:t>
            </w:r>
          </w:p>
        </w:tc>
        <w:tc>
          <w:tcPr>
            <w:tcW w:w="3117" w:type="dxa"/>
          </w:tcPr>
          <w:p w14:paraId="60A5B4D4" w14:textId="5E0E1237" w:rsidR="00E42641" w:rsidRDefault="00E42641" w:rsidP="00E42641">
            <w:pPr>
              <w:cnfStyle w:val="000000100000" w:firstRow="0" w:lastRow="0" w:firstColumn="0" w:lastColumn="0" w:oddVBand="0" w:evenVBand="0" w:oddHBand="1" w:evenHBand="0" w:firstRowFirstColumn="0" w:firstRowLastColumn="0" w:lastRowFirstColumn="0" w:lastRowLastColumn="0"/>
            </w:pPr>
            <w:r>
              <w:t>0 to 100</w:t>
            </w:r>
          </w:p>
        </w:tc>
      </w:tr>
      <w:tr w:rsidR="00E42641" w14:paraId="3B27F9C5" w14:textId="77777777" w:rsidTr="008C2924">
        <w:tc>
          <w:tcPr>
            <w:cnfStyle w:val="001000000000" w:firstRow="0" w:lastRow="0" w:firstColumn="1" w:lastColumn="0" w:oddVBand="0" w:evenVBand="0" w:oddHBand="0" w:evenHBand="0" w:firstRowFirstColumn="0" w:firstRowLastColumn="0" w:lastRowFirstColumn="0" w:lastRowLastColumn="0"/>
            <w:tcW w:w="3116" w:type="dxa"/>
          </w:tcPr>
          <w:p w14:paraId="5AC399F9" w14:textId="020C0A22" w:rsidR="00E42641" w:rsidRDefault="00E42641" w:rsidP="00E42641">
            <w:r>
              <w:t>Vega</w:t>
            </w:r>
          </w:p>
        </w:tc>
        <w:tc>
          <w:tcPr>
            <w:tcW w:w="3117" w:type="dxa"/>
          </w:tcPr>
          <w:p w14:paraId="1CF6C8BD" w14:textId="65D93AD5" w:rsidR="00E42641" w:rsidRDefault="00E42641" w:rsidP="00E42641">
            <w:pPr>
              <w:cnfStyle w:val="000000000000" w:firstRow="0" w:lastRow="0" w:firstColumn="0" w:lastColumn="0" w:oddVBand="0" w:evenVBand="0" w:oddHBand="0" w:evenHBand="0" w:firstRowFirstColumn="0" w:firstRowLastColumn="0" w:lastRowFirstColumn="0" w:lastRowLastColumn="0"/>
            </w:pPr>
            <w:r>
              <w:t>Value change per 1% in implied volatility</w:t>
            </w:r>
          </w:p>
        </w:tc>
        <w:tc>
          <w:tcPr>
            <w:tcW w:w="3117" w:type="dxa"/>
          </w:tcPr>
          <w:p w14:paraId="427FC7FD" w14:textId="650BE6C4" w:rsidR="00E42641" w:rsidRDefault="00E42641" w:rsidP="00E42641">
            <w:pPr>
              <w:cnfStyle w:val="000000000000" w:firstRow="0" w:lastRow="0" w:firstColumn="0" w:lastColumn="0" w:oddVBand="0" w:evenVBand="0" w:oddHBand="0" w:evenHBand="0" w:firstRowFirstColumn="0" w:firstRowLastColumn="0" w:lastRowFirstColumn="0" w:lastRowLastColumn="0"/>
            </w:pPr>
            <w:r>
              <w:t>0 to 100</w:t>
            </w:r>
          </w:p>
        </w:tc>
      </w:tr>
      <w:tr w:rsidR="00E42641" w14:paraId="0B874848" w14:textId="77777777" w:rsidTr="008C2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4AAB93" w14:textId="3D57851A" w:rsidR="00E42641" w:rsidRDefault="00E42641" w:rsidP="00E42641">
            <w:r>
              <w:t>Theta</w:t>
            </w:r>
          </w:p>
        </w:tc>
        <w:tc>
          <w:tcPr>
            <w:tcW w:w="3117" w:type="dxa"/>
          </w:tcPr>
          <w:p w14:paraId="3AA4EB30" w14:textId="7A863DD2" w:rsidR="00E42641" w:rsidRDefault="00E42641" w:rsidP="00E42641">
            <w:pPr>
              <w:cnfStyle w:val="000000100000" w:firstRow="0" w:lastRow="0" w:firstColumn="0" w:lastColumn="0" w:oddVBand="0" w:evenVBand="0" w:oddHBand="1" w:evenHBand="0" w:firstRowFirstColumn="0" w:firstRowLastColumn="0" w:lastRowFirstColumn="0" w:lastRowLastColumn="0"/>
            </w:pPr>
            <w:r>
              <w:t>Value change per 1 day passing</w:t>
            </w:r>
          </w:p>
        </w:tc>
        <w:tc>
          <w:tcPr>
            <w:tcW w:w="3117" w:type="dxa"/>
          </w:tcPr>
          <w:p w14:paraId="63DF6089" w14:textId="0B4E06AE" w:rsidR="00E42641" w:rsidRDefault="00E42641" w:rsidP="00E42641">
            <w:pPr>
              <w:cnfStyle w:val="000000100000" w:firstRow="0" w:lastRow="0" w:firstColumn="0" w:lastColumn="0" w:oddVBand="0" w:evenVBand="0" w:oddHBand="1" w:evenHBand="0" w:firstRowFirstColumn="0" w:firstRowLastColumn="0" w:lastRowFirstColumn="0" w:lastRowLastColumn="0"/>
            </w:pPr>
            <w:r>
              <w:t>0 to 100</w:t>
            </w:r>
          </w:p>
        </w:tc>
      </w:tr>
      <w:tr w:rsidR="00E42641" w14:paraId="559D766C" w14:textId="77777777" w:rsidTr="008C2924">
        <w:tc>
          <w:tcPr>
            <w:cnfStyle w:val="001000000000" w:firstRow="0" w:lastRow="0" w:firstColumn="1" w:lastColumn="0" w:oddVBand="0" w:evenVBand="0" w:oddHBand="0" w:evenHBand="0" w:firstRowFirstColumn="0" w:firstRowLastColumn="0" w:lastRowFirstColumn="0" w:lastRowLastColumn="0"/>
            <w:tcW w:w="3116" w:type="dxa"/>
          </w:tcPr>
          <w:p w14:paraId="7AD7F205" w14:textId="2C44A7FB" w:rsidR="00E42641" w:rsidRDefault="00E42641" w:rsidP="00E42641">
            <w:r>
              <w:lastRenderedPageBreak/>
              <w:t xml:space="preserve">Initial </w:t>
            </w:r>
            <w:proofErr w:type="spellStart"/>
            <w:r>
              <w:t>PoP</w:t>
            </w:r>
            <w:proofErr w:type="spellEnd"/>
          </w:p>
        </w:tc>
        <w:tc>
          <w:tcPr>
            <w:tcW w:w="3117" w:type="dxa"/>
          </w:tcPr>
          <w:p w14:paraId="496CAD9D" w14:textId="73F9B215" w:rsidR="00E42641" w:rsidRDefault="00E42641" w:rsidP="00E42641">
            <w:pPr>
              <w:cnfStyle w:val="000000000000" w:firstRow="0" w:lastRow="0" w:firstColumn="0" w:lastColumn="0" w:oddVBand="0" w:evenVBand="0" w:oddHBand="0" w:evenHBand="0" w:firstRowFirstColumn="0" w:firstRowLastColumn="0" w:lastRowFirstColumn="0" w:lastRowLastColumn="0"/>
            </w:pPr>
            <w:r>
              <w:t>Odds of profiting</w:t>
            </w:r>
          </w:p>
        </w:tc>
        <w:tc>
          <w:tcPr>
            <w:tcW w:w="3117" w:type="dxa"/>
          </w:tcPr>
          <w:p w14:paraId="694D4D5A" w14:textId="4CD279F4" w:rsidR="00E42641" w:rsidRDefault="00E42641" w:rsidP="00E42641">
            <w:pPr>
              <w:cnfStyle w:val="000000000000" w:firstRow="0" w:lastRow="0" w:firstColumn="0" w:lastColumn="0" w:oddVBand="0" w:evenVBand="0" w:oddHBand="0" w:evenHBand="0" w:firstRowFirstColumn="0" w:firstRowLastColumn="0" w:lastRowFirstColumn="0" w:lastRowLastColumn="0"/>
            </w:pPr>
            <w:r>
              <w:t>0 to 100</w:t>
            </w:r>
          </w:p>
        </w:tc>
      </w:tr>
      <w:tr w:rsidR="00E42641" w14:paraId="0C662383" w14:textId="77777777" w:rsidTr="008C2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0660D7" w14:textId="174E9419" w:rsidR="00E42641" w:rsidRDefault="008C2924" w:rsidP="00E42641">
            <w:r>
              <w:t xml:space="preserve">Daily OHLCV </w:t>
            </w:r>
            <w:r w:rsidR="00A41D4F">
              <w:t>price bars</w:t>
            </w:r>
          </w:p>
        </w:tc>
        <w:tc>
          <w:tcPr>
            <w:tcW w:w="3117" w:type="dxa"/>
          </w:tcPr>
          <w:p w14:paraId="48BDD40C" w14:textId="657226DA" w:rsidR="00E42641" w:rsidRDefault="00A41D4F" w:rsidP="00E42641">
            <w:pPr>
              <w:cnfStyle w:val="000000100000" w:firstRow="0" w:lastRow="0" w:firstColumn="0" w:lastColumn="0" w:oddVBand="0" w:evenVBand="0" w:oddHBand="1" w:evenHBand="0" w:firstRowFirstColumn="0" w:firstRowLastColumn="0" w:lastRowFirstColumn="0" w:lastRowLastColumn="0"/>
            </w:pPr>
            <w:r>
              <w:t>An array of</w:t>
            </w:r>
            <w:r w:rsidR="008C2924">
              <w:t xml:space="preserve"> Open, High, Low, Close, and Volume </w:t>
            </w:r>
            <w:r>
              <w:t xml:space="preserve">amounts </w:t>
            </w:r>
            <w:r w:rsidR="008C2924">
              <w:t>for each trading day</w:t>
            </w:r>
          </w:p>
        </w:tc>
        <w:tc>
          <w:tcPr>
            <w:tcW w:w="3117" w:type="dxa"/>
          </w:tcPr>
          <w:p w14:paraId="357CB630" w14:textId="7A681839" w:rsidR="00E42641" w:rsidRDefault="008C2924" w:rsidP="00E42641">
            <w:pPr>
              <w:cnfStyle w:val="000000100000" w:firstRow="0" w:lastRow="0" w:firstColumn="0" w:lastColumn="0" w:oddVBand="0" w:evenVBand="0" w:oddHBand="1" w:evenHBand="0" w:firstRowFirstColumn="0" w:firstRowLastColumn="0" w:lastRowFirstColumn="0" w:lastRowLastColumn="0"/>
            </w:pPr>
            <w:r>
              <w:t>5-tuples (Dollar</w:t>
            </w:r>
            <w:r w:rsidR="00A41D4F">
              <w:t>, Dollar, Dollar, Dollar, Count</w:t>
            </w:r>
            <w:r>
              <w:t>)</w:t>
            </w:r>
          </w:p>
        </w:tc>
      </w:tr>
    </w:tbl>
    <w:p w14:paraId="3177064A" w14:textId="3C023ED0" w:rsidR="008C2924" w:rsidRDefault="008C2924" w:rsidP="008C2924">
      <w:pPr>
        <w:pStyle w:val="Heading2"/>
      </w:pPr>
      <w:r>
        <w:br/>
        <w:t>Data Analysis Plan</w:t>
      </w:r>
    </w:p>
    <w:p w14:paraId="649AE41C" w14:textId="625BE16D" w:rsidR="008C2924" w:rsidRDefault="008C2924" w:rsidP="008C2924">
      <w:r>
        <w:tab/>
        <w:t>The goal of quantitative analysis is to measure the strength of the phenomenon</w:t>
      </w:r>
      <w:sdt>
        <w:sdtPr>
          <w:id w:val="-2087605632"/>
          <w:citation/>
        </w:sdtPr>
        <w:sdtContent>
          <w:r>
            <w:fldChar w:fldCharType="begin"/>
          </w:r>
          <w:r>
            <w:instrText xml:space="preserve"> CITATION Cre14 \l 1033 </w:instrText>
          </w:r>
          <w:r>
            <w:fldChar w:fldCharType="separate"/>
          </w:r>
          <w:r>
            <w:rPr>
              <w:noProof/>
            </w:rPr>
            <w:t xml:space="preserve"> (Creswell, 2014)</w:t>
          </w:r>
          <w:r>
            <w:fldChar w:fldCharType="end"/>
          </w:r>
        </w:sdtContent>
      </w:sdt>
      <w:r>
        <w:t>.  First, research needs to determine each Tasty Trade representative's trustworthiness by computing a ratio of accurate to inaccurate trade ideas.  An accurate suggestion must touch 50% max profit, not require more than three times the initial margin, and expire at least one cent profitable.</w:t>
      </w:r>
      <w:r w:rsidR="00A41D4F">
        <w:t xml:space="preserve">  </w:t>
      </w:r>
    </w:p>
    <w:p w14:paraId="0B6E6D66" w14:textId="07E96433" w:rsidR="008C2924" w:rsidRPr="008C2924" w:rsidRDefault="008C2924" w:rsidP="008C2924">
      <w:pPr>
        <w:pStyle w:val="Caption"/>
      </w:pPr>
      <w:r>
        <w:t>Table 3: Transformed Properties</w:t>
      </w:r>
    </w:p>
    <w:tbl>
      <w:tblPr>
        <w:tblStyle w:val="GridTable4"/>
        <w:tblW w:w="0" w:type="auto"/>
        <w:tblLook w:val="04A0" w:firstRow="1" w:lastRow="0" w:firstColumn="1" w:lastColumn="0" w:noHBand="0" w:noVBand="1"/>
      </w:tblPr>
      <w:tblGrid>
        <w:gridCol w:w="3116"/>
        <w:gridCol w:w="3117"/>
        <w:gridCol w:w="3117"/>
      </w:tblGrid>
      <w:tr w:rsidR="008C2924" w14:paraId="484373E3" w14:textId="77777777" w:rsidTr="008C29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F605DB2" w14:textId="700FC3B7" w:rsidR="008C2924" w:rsidRDefault="008C2924" w:rsidP="008C2924">
            <w:pPr>
              <w:jc w:val="center"/>
            </w:pPr>
            <w:r>
              <w:t>Property</w:t>
            </w:r>
          </w:p>
        </w:tc>
        <w:tc>
          <w:tcPr>
            <w:tcW w:w="3117" w:type="dxa"/>
          </w:tcPr>
          <w:p w14:paraId="4EF73F3E" w14:textId="1544EEA6" w:rsidR="008C2924" w:rsidRDefault="008C2924" w:rsidP="008C2924">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7E421598" w14:textId="3EE8C039" w:rsidR="008C2924" w:rsidRDefault="008C2924" w:rsidP="008C2924">
            <w:pPr>
              <w:jc w:val="center"/>
              <w:cnfStyle w:val="100000000000" w:firstRow="1" w:lastRow="0" w:firstColumn="0" w:lastColumn="0" w:oddVBand="0" w:evenVBand="0" w:oddHBand="0" w:evenHBand="0" w:firstRowFirstColumn="0" w:firstRowLastColumn="0" w:lastRowFirstColumn="0" w:lastRowLastColumn="0"/>
            </w:pPr>
            <w:r>
              <w:t>Units</w:t>
            </w:r>
          </w:p>
        </w:tc>
      </w:tr>
      <w:tr w:rsidR="008C2924" w14:paraId="6B5E686A" w14:textId="77777777" w:rsidTr="008C2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9D8C5D" w14:textId="77777777" w:rsidR="008C2924" w:rsidRDefault="008C2924" w:rsidP="00A219CE">
            <w:r>
              <w:t>Initial Margin Requirement</w:t>
            </w:r>
          </w:p>
        </w:tc>
        <w:tc>
          <w:tcPr>
            <w:tcW w:w="3117" w:type="dxa"/>
          </w:tcPr>
          <w:p w14:paraId="741EC5FE" w14:textId="77777777" w:rsidR="008C2924" w:rsidRDefault="008C2924" w:rsidP="00A219CE">
            <w:pPr>
              <w:cnfStyle w:val="000000100000" w:firstRow="0" w:lastRow="0" w:firstColumn="0" w:lastColumn="0" w:oddVBand="0" w:evenVBand="0" w:oddHBand="1" w:evenHBand="0" w:firstRowFirstColumn="0" w:firstRowLastColumn="0" w:lastRowFirstColumn="0" w:lastRowLastColumn="0"/>
            </w:pPr>
            <w:r>
              <w:t>Capital requirement of the trade onset</w:t>
            </w:r>
          </w:p>
        </w:tc>
        <w:tc>
          <w:tcPr>
            <w:tcW w:w="3117" w:type="dxa"/>
          </w:tcPr>
          <w:p w14:paraId="5B9E84ED" w14:textId="77777777" w:rsidR="008C2924" w:rsidRDefault="008C2924" w:rsidP="00A219CE">
            <w:pPr>
              <w:cnfStyle w:val="000000100000" w:firstRow="0" w:lastRow="0" w:firstColumn="0" w:lastColumn="0" w:oddVBand="0" w:evenVBand="0" w:oddHBand="1" w:evenHBand="0" w:firstRowFirstColumn="0" w:firstRowLastColumn="0" w:lastRowFirstColumn="0" w:lastRowLastColumn="0"/>
            </w:pPr>
            <w:r>
              <w:t>Dollars</w:t>
            </w:r>
          </w:p>
        </w:tc>
      </w:tr>
      <w:tr w:rsidR="008C2924" w14:paraId="1255FA1E" w14:textId="77777777" w:rsidTr="008C2924">
        <w:tc>
          <w:tcPr>
            <w:cnfStyle w:val="001000000000" w:firstRow="0" w:lastRow="0" w:firstColumn="1" w:lastColumn="0" w:oddVBand="0" w:evenVBand="0" w:oddHBand="0" w:evenHBand="0" w:firstRowFirstColumn="0" w:firstRowLastColumn="0" w:lastRowFirstColumn="0" w:lastRowLastColumn="0"/>
            <w:tcW w:w="3116" w:type="dxa"/>
          </w:tcPr>
          <w:p w14:paraId="1FD88F10" w14:textId="77777777" w:rsidR="008C2924" w:rsidRDefault="008C2924" w:rsidP="00A219CE">
            <w:r>
              <w:t>Max Margin Requirement</w:t>
            </w:r>
          </w:p>
        </w:tc>
        <w:tc>
          <w:tcPr>
            <w:tcW w:w="3117" w:type="dxa"/>
          </w:tcPr>
          <w:p w14:paraId="51F529A9" w14:textId="77777777" w:rsidR="008C2924" w:rsidRDefault="008C2924" w:rsidP="00A219CE">
            <w:pPr>
              <w:cnfStyle w:val="000000000000" w:firstRow="0" w:lastRow="0" w:firstColumn="0" w:lastColumn="0" w:oddVBand="0" w:evenVBand="0" w:oddHBand="0" w:evenHBand="0" w:firstRowFirstColumn="0" w:firstRowLastColumn="0" w:lastRowFirstColumn="0" w:lastRowLastColumn="0"/>
            </w:pPr>
            <w:r>
              <w:t>Capital requirements of the trade and most extreme point</w:t>
            </w:r>
          </w:p>
        </w:tc>
        <w:tc>
          <w:tcPr>
            <w:tcW w:w="3117" w:type="dxa"/>
          </w:tcPr>
          <w:p w14:paraId="454C11DC" w14:textId="77777777" w:rsidR="008C2924" w:rsidRDefault="008C2924" w:rsidP="00A219CE">
            <w:pPr>
              <w:cnfStyle w:val="000000000000" w:firstRow="0" w:lastRow="0" w:firstColumn="0" w:lastColumn="0" w:oddVBand="0" w:evenVBand="0" w:oddHBand="0" w:evenHBand="0" w:firstRowFirstColumn="0" w:firstRowLastColumn="0" w:lastRowFirstColumn="0" w:lastRowLastColumn="0"/>
            </w:pPr>
            <w:r>
              <w:t>Dollars</w:t>
            </w:r>
          </w:p>
        </w:tc>
      </w:tr>
      <w:tr w:rsidR="008C2924" w14:paraId="18F59806" w14:textId="77777777" w:rsidTr="008C29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691889" w14:textId="77777777" w:rsidR="008C2924" w:rsidRDefault="008C2924" w:rsidP="00A219CE">
            <w:r>
              <w:t>Hit 50% Max Profit</w:t>
            </w:r>
          </w:p>
        </w:tc>
        <w:tc>
          <w:tcPr>
            <w:tcW w:w="3117" w:type="dxa"/>
          </w:tcPr>
          <w:p w14:paraId="65DEE5C2" w14:textId="77777777" w:rsidR="008C2924" w:rsidRDefault="008C2924" w:rsidP="00A219CE">
            <w:pPr>
              <w:cnfStyle w:val="000000100000" w:firstRow="0" w:lastRow="0" w:firstColumn="0" w:lastColumn="0" w:oddVBand="0" w:evenVBand="0" w:oddHBand="1" w:evenHBand="0" w:firstRowFirstColumn="0" w:firstRowLastColumn="0" w:lastRowFirstColumn="0" w:lastRowLastColumn="0"/>
            </w:pPr>
            <w:r>
              <w:t>Touched 50% of the maximum profit</w:t>
            </w:r>
          </w:p>
        </w:tc>
        <w:tc>
          <w:tcPr>
            <w:tcW w:w="3117" w:type="dxa"/>
          </w:tcPr>
          <w:p w14:paraId="332120D7" w14:textId="77777777" w:rsidR="008C2924" w:rsidRDefault="008C2924" w:rsidP="00A219CE">
            <w:pPr>
              <w:cnfStyle w:val="000000100000" w:firstRow="0" w:lastRow="0" w:firstColumn="0" w:lastColumn="0" w:oddVBand="0" w:evenVBand="0" w:oddHBand="1" w:evenHBand="0" w:firstRowFirstColumn="0" w:firstRowLastColumn="0" w:lastRowFirstColumn="0" w:lastRowLastColumn="0"/>
            </w:pPr>
            <w:r>
              <w:t>Boolean</w:t>
            </w:r>
          </w:p>
        </w:tc>
      </w:tr>
      <w:tr w:rsidR="008C2924" w14:paraId="2C4A2771" w14:textId="77777777" w:rsidTr="008C2924">
        <w:tc>
          <w:tcPr>
            <w:cnfStyle w:val="001000000000" w:firstRow="0" w:lastRow="0" w:firstColumn="1" w:lastColumn="0" w:oddVBand="0" w:evenVBand="0" w:oddHBand="0" w:evenHBand="0" w:firstRowFirstColumn="0" w:firstRowLastColumn="0" w:lastRowFirstColumn="0" w:lastRowLastColumn="0"/>
            <w:tcW w:w="3116" w:type="dxa"/>
          </w:tcPr>
          <w:p w14:paraId="71C4FC6A" w14:textId="77777777" w:rsidR="008C2924" w:rsidRDefault="008C2924" w:rsidP="00A219CE">
            <w:r>
              <w:t>Winner</w:t>
            </w:r>
          </w:p>
        </w:tc>
        <w:tc>
          <w:tcPr>
            <w:tcW w:w="3117" w:type="dxa"/>
          </w:tcPr>
          <w:p w14:paraId="2D145370" w14:textId="77777777" w:rsidR="008C2924" w:rsidRDefault="008C2924" w:rsidP="00A219CE">
            <w:pPr>
              <w:cnfStyle w:val="000000000000" w:firstRow="0" w:lastRow="0" w:firstColumn="0" w:lastColumn="0" w:oddVBand="0" w:evenVBand="0" w:oddHBand="0" w:evenHBand="0" w:firstRowFirstColumn="0" w:firstRowLastColumn="0" w:lastRowFirstColumn="0" w:lastRowLastColumn="0"/>
            </w:pPr>
            <w:r>
              <w:t>The trade was profitable at the expiration</w:t>
            </w:r>
          </w:p>
        </w:tc>
        <w:tc>
          <w:tcPr>
            <w:tcW w:w="3117" w:type="dxa"/>
          </w:tcPr>
          <w:p w14:paraId="7FD1BCEF" w14:textId="77777777" w:rsidR="008C2924" w:rsidRDefault="008C2924" w:rsidP="00A219CE">
            <w:pPr>
              <w:cnfStyle w:val="000000000000" w:firstRow="0" w:lastRow="0" w:firstColumn="0" w:lastColumn="0" w:oddVBand="0" w:evenVBand="0" w:oddHBand="0" w:evenHBand="0" w:firstRowFirstColumn="0" w:firstRowLastColumn="0" w:lastRowFirstColumn="0" w:lastRowLastColumn="0"/>
            </w:pPr>
            <w:r>
              <w:t>Boolean</w:t>
            </w:r>
          </w:p>
        </w:tc>
      </w:tr>
    </w:tbl>
    <w:p w14:paraId="23B03D82" w14:textId="3726808A" w:rsidR="00951B6B" w:rsidRDefault="00951B6B" w:rsidP="00E42641"/>
    <w:p w14:paraId="5B1E0B44" w14:textId="7A510122" w:rsidR="008C2924" w:rsidRDefault="008C2924" w:rsidP="00E42641">
      <w:r>
        <w:t xml:space="preserve">After assessing the accuracy of expert humans, a Monty Carlo Simulation will compete against these personalities.  The Tasty Trade team follows a formal set of mechanics </w:t>
      </w:r>
      <w:r w:rsidR="00DA7866">
        <w:t xml:space="preserve">for trade placement, and automation can emulate these rules.  This process will continue iterating thousands of times to uncover the probability of the </w:t>
      </w:r>
      <w:proofErr w:type="spellStart"/>
      <w:r w:rsidR="00DA7866">
        <w:t>PoP</w:t>
      </w:r>
      <w:proofErr w:type="spellEnd"/>
      <w:sdt>
        <w:sdtPr>
          <w:id w:val="1298956519"/>
          <w:citation/>
        </w:sdtPr>
        <w:sdtContent>
          <w:r w:rsidR="00DA7866">
            <w:fldChar w:fldCharType="begin"/>
          </w:r>
          <w:r w:rsidR="00DA7866">
            <w:instrText xml:space="preserve"> CITATION Den15 \l 1033 </w:instrText>
          </w:r>
          <w:r w:rsidR="00DA7866">
            <w:fldChar w:fldCharType="separate"/>
          </w:r>
          <w:r w:rsidR="00DA7866">
            <w:rPr>
              <w:noProof/>
            </w:rPr>
            <w:t xml:space="preserve"> (Denis, 2015)</w:t>
          </w:r>
          <w:r w:rsidR="00DA7866">
            <w:fldChar w:fldCharType="end"/>
          </w:r>
        </w:sdtContent>
      </w:sdt>
      <w:r w:rsidR="00DA7866">
        <w:t xml:space="preserve">.  Finally, this meta statistic will address the usefulness of (1) the individual personality, (2) generalizability of the strategies, and (3) the reported </w:t>
      </w:r>
      <w:proofErr w:type="spellStart"/>
      <w:r w:rsidR="00DA7866">
        <w:t>PoP</w:t>
      </w:r>
      <w:proofErr w:type="spellEnd"/>
      <w:r w:rsidR="00DA7866">
        <w:t xml:space="preserve"> score.</w:t>
      </w:r>
    </w:p>
    <w:p w14:paraId="10A570B0" w14:textId="35E0C2D1" w:rsidR="00CD3B27" w:rsidRDefault="00CD3B27">
      <w:r>
        <w:br w:type="page"/>
      </w:r>
    </w:p>
    <w:sdt>
      <w:sdtPr>
        <w:id w:val="-207182295"/>
        <w:docPartObj>
          <w:docPartGallery w:val="Bibliographies"/>
          <w:docPartUnique/>
        </w:docPartObj>
      </w:sdtPr>
      <w:sdtEndPr>
        <w:rPr>
          <w:b w:val="0"/>
        </w:rPr>
      </w:sdtEndPr>
      <w:sdtContent>
        <w:p w14:paraId="58E4C510" w14:textId="7A6B1A11" w:rsidR="00CD3B27" w:rsidRPr="00CD3B27" w:rsidRDefault="00CD3B27">
          <w:pPr>
            <w:pStyle w:val="Heading1"/>
            <w:rPr>
              <w:b w:val="0"/>
              <w:bCs/>
            </w:rPr>
          </w:pPr>
          <w:r w:rsidRPr="00CD3B27">
            <w:rPr>
              <w:b w:val="0"/>
              <w:bCs/>
            </w:rPr>
            <w:t>References</w:t>
          </w:r>
        </w:p>
        <w:sdt>
          <w:sdtPr>
            <w:id w:val="-573587230"/>
            <w:bibliography/>
          </w:sdtPr>
          <w:sdtContent>
            <w:p w14:paraId="3231F50A" w14:textId="6AD1C70E" w:rsidR="00CD3B27" w:rsidRDefault="00CD3B27" w:rsidP="00CD3B27">
              <w:pPr>
                <w:pStyle w:val="Bibliography"/>
                <w:ind w:left="720" w:hanging="720"/>
                <w:rPr>
                  <w:noProof/>
                </w:rPr>
              </w:pPr>
              <w:r>
                <w:fldChar w:fldCharType="begin"/>
              </w:r>
              <w:r>
                <w:instrText xml:space="preserve"> BIBLIOGRAPHY </w:instrText>
              </w:r>
              <w:r>
                <w:fldChar w:fldCharType="separate"/>
              </w:r>
              <w:r>
                <w:rPr>
                  <w:noProof/>
                </w:rPr>
                <w:t xml:space="preserve">Creswell, J. (2014). </w:t>
              </w:r>
              <w:r>
                <w:rPr>
                  <w:i/>
                  <w:iCs/>
                  <w:noProof/>
                </w:rPr>
                <w:t>Research design: Qualitative, quantitative, and mixed methods approach.</w:t>
              </w:r>
              <w:r>
                <w:rPr>
                  <w:noProof/>
                </w:rPr>
                <w:t xml:space="preserve"> Thousand Oaks, CA: Sage Publishing, Inc.</w:t>
              </w:r>
            </w:p>
            <w:p w14:paraId="419245B8" w14:textId="77777777" w:rsidR="00CD3B27" w:rsidRDefault="00CD3B27" w:rsidP="00CD3B27">
              <w:pPr>
                <w:pStyle w:val="Bibliography"/>
                <w:ind w:left="720" w:hanging="720"/>
                <w:rPr>
                  <w:noProof/>
                </w:rPr>
              </w:pPr>
              <w:r>
                <w:rPr>
                  <w:noProof/>
                </w:rPr>
                <w:t xml:space="preserve">Denis, D. (2015). </w:t>
              </w:r>
              <w:r>
                <w:rPr>
                  <w:i/>
                  <w:iCs/>
                  <w:noProof/>
                </w:rPr>
                <w:t>Applied Univariate, Bivariate, and Multivariate Statistics</w:t>
              </w:r>
              <w:r>
                <w:rPr>
                  <w:noProof/>
                </w:rPr>
                <w:t xml:space="preserve"> (1st ed.). John Wiley &amp; Sons, Incorporated.</w:t>
              </w:r>
            </w:p>
            <w:p w14:paraId="23896974" w14:textId="614406BC" w:rsidR="00CD3B27" w:rsidRDefault="00CD3B27" w:rsidP="00CD3B27">
              <w:pPr>
                <w:pStyle w:val="Bibliography"/>
                <w:ind w:left="720" w:hanging="720"/>
                <w:rPr>
                  <w:noProof/>
                </w:rPr>
              </w:pPr>
              <w:r>
                <w:rPr>
                  <w:noProof/>
                </w:rPr>
                <w:t xml:space="preserve">Langlois, S. (2021, January 16). </w:t>
              </w:r>
              <w:r>
                <w:rPr>
                  <w:i/>
                  <w:iCs/>
                  <w:noProof/>
                </w:rPr>
                <w:t>He began buying Tesla at just $7.50, and now he is retiring at 39 years old with $12 million worth — he still refuses to sell a single share</w:t>
              </w:r>
              <w:r>
                <w:rPr>
                  <w:noProof/>
                </w:rPr>
                <w:t>. Retrieved from Marketwatch: https://www.marketwatch.com/story/he-began-buying-tesla-at-7-50-and-now-hes-retiring-at-39-years-old-with-12-million-worth-he-still-refuses-to-sell-a-single-share-11610392063</w:t>
              </w:r>
            </w:p>
            <w:p w14:paraId="699F5729" w14:textId="223802EE" w:rsidR="00CD3B27" w:rsidRDefault="00CD3B27" w:rsidP="00CD3B27">
              <w:pPr>
                <w:pStyle w:val="Bibliography"/>
                <w:ind w:left="720" w:hanging="720"/>
                <w:rPr>
                  <w:noProof/>
                </w:rPr>
              </w:pPr>
              <w:r>
                <w:rPr>
                  <w:noProof/>
                </w:rPr>
                <w:t xml:space="preserve">Moore, S. (2020, June 18). </w:t>
              </w:r>
              <w:r>
                <w:rPr>
                  <w:i/>
                  <w:iCs/>
                  <w:noProof/>
                </w:rPr>
                <w:t>Day trading surges In popularity, this will not end well</w:t>
              </w:r>
              <w:r>
                <w:rPr>
                  <w:noProof/>
                </w:rPr>
                <w:t>. Retrieved from Forbes: https://www.forbes.com/sites/simonmoore/2020/06/18/day-trading-surges-in-popularity-this-wont-end-well/</w:t>
              </w:r>
            </w:p>
            <w:p w14:paraId="20DFBFCD" w14:textId="77777777" w:rsidR="00CD3B27" w:rsidRDefault="00CD3B27" w:rsidP="00CD3B27">
              <w:pPr>
                <w:pStyle w:val="Bibliography"/>
                <w:ind w:left="720" w:hanging="720"/>
                <w:rPr>
                  <w:noProof/>
                </w:rPr>
              </w:pPr>
              <w:r>
                <w:rPr>
                  <w:noProof/>
                </w:rPr>
                <w:t xml:space="preserve">Srivastava, A. &amp;. (2020). A Study of Black–Scholes Model’s Applicability in Indian Capital Markets. </w:t>
              </w:r>
              <w:r>
                <w:rPr>
                  <w:i/>
                  <w:iCs/>
                  <w:noProof/>
                </w:rPr>
                <w:t>Paradigm, 24</w:t>
              </w:r>
              <w:r>
                <w:rPr>
                  <w:noProof/>
                </w:rPr>
                <w:t>(1), 73-92. doi:10.1177/0971890720914102</w:t>
              </w:r>
            </w:p>
            <w:p w14:paraId="42CDD145" w14:textId="59D52A98" w:rsidR="00CD3B27" w:rsidRDefault="00CD3B27" w:rsidP="00CD3B27">
              <w:pPr>
                <w:pStyle w:val="Bibliography"/>
                <w:ind w:left="720" w:hanging="720"/>
                <w:rPr>
                  <w:noProof/>
                </w:rPr>
              </w:pPr>
              <w:r>
                <w:rPr>
                  <w:noProof/>
                </w:rPr>
                <w:t xml:space="preserve">Steady Options. (2016, June 2). </w:t>
              </w:r>
              <w:r>
                <w:rPr>
                  <w:i/>
                  <w:iCs/>
                  <w:noProof/>
                </w:rPr>
                <w:t>Karen the super trader: too good to be true?</w:t>
              </w:r>
              <w:r>
                <w:rPr>
                  <w:noProof/>
                </w:rPr>
                <w:t xml:space="preserve"> Retrieved from Steady Options: https://steadyoptions.com/articles/karen-the-supertrader-too-good-to-be-true-r160/</w:t>
              </w:r>
            </w:p>
            <w:p w14:paraId="6CE22DF0" w14:textId="77777777" w:rsidR="00CD3B27" w:rsidRDefault="00CD3B27" w:rsidP="00CD3B27">
              <w:pPr>
                <w:pStyle w:val="Bibliography"/>
                <w:ind w:left="720" w:hanging="720"/>
                <w:rPr>
                  <w:noProof/>
                </w:rPr>
              </w:pPr>
              <w:r>
                <w:rPr>
                  <w:noProof/>
                </w:rPr>
                <w:t xml:space="preserve">Tasty Trade. (2015, March 17). </w:t>
              </w:r>
              <w:r>
                <w:rPr>
                  <w:i/>
                  <w:iCs/>
                  <w:noProof/>
                </w:rPr>
                <w:t>Option trader makes $105MM profit in the NDX, SPX &amp; RUT</w:t>
              </w:r>
              <w:r>
                <w:rPr>
                  <w:noProof/>
                </w:rPr>
                <w:t>. Retrieved from Tasty Trade: https://youtu.be/BquDGE9KxZQ</w:t>
              </w:r>
            </w:p>
            <w:p w14:paraId="5B68CFFA" w14:textId="65F81C85" w:rsidR="00CD3B27" w:rsidRDefault="00CD3B27" w:rsidP="00CD3B27">
              <w:r>
                <w:rPr>
                  <w:b/>
                  <w:bCs/>
                  <w:noProof/>
                </w:rPr>
                <w:fldChar w:fldCharType="end"/>
              </w:r>
            </w:p>
          </w:sdtContent>
        </w:sdt>
      </w:sdtContent>
    </w:sdt>
    <w:p w14:paraId="0A9E8C38" w14:textId="77777777" w:rsidR="00CD3B27" w:rsidRDefault="00CD3B27" w:rsidP="00E42641"/>
    <w:sectPr w:rsidR="00CD3B27"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FE1A4" w14:textId="77777777" w:rsidR="0074066C" w:rsidRDefault="0074066C" w:rsidP="0082223F">
      <w:pPr>
        <w:spacing w:line="240" w:lineRule="auto"/>
      </w:pPr>
      <w:r>
        <w:separator/>
      </w:r>
    </w:p>
  </w:endnote>
  <w:endnote w:type="continuationSeparator" w:id="0">
    <w:p w14:paraId="7D36E99E" w14:textId="77777777" w:rsidR="0074066C" w:rsidRDefault="0074066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4A9FE" w14:textId="77777777" w:rsidR="0074066C" w:rsidRDefault="0074066C" w:rsidP="0082223F">
      <w:pPr>
        <w:spacing w:line="240" w:lineRule="auto"/>
      </w:pPr>
      <w:r>
        <w:separator/>
      </w:r>
    </w:p>
  </w:footnote>
  <w:footnote w:type="continuationSeparator" w:id="0">
    <w:p w14:paraId="2B090FF6" w14:textId="77777777" w:rsidR="0074066C" w:rsidRDefault="0074066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0D2C0A"/>
    <w:rsid w:val="00125956"/>
    <w:rsid w:val="00134BF0"/>
    <w:rsid w:val="00183597"/>
    <w:rsid w:val="001B27C4"/>
    <w:rsid w:val="00203944"/>
    <w:rsid w:val="00211C2C"/>
    <w:rsid w:val="002806B7"/>
    <w:rsid w:val="003F4714"/>
    <w:rsid w:val="00401D65"/>
    <w:rsid w:val="004023D2"/>
    <w:rsid w:val="004223E8"/>
    <w:rsid w:val="00424108"/>
    <w:rsid w:val="00475624"/>
    <w:rsid w:val="004A48E2"/>
    <w:rsid w:val="004A784B"/>
    <w:rsid w:val="005203D3"/>
    <w:rsid w:val="0052132E"/>
    <w:rsid w:val="00564ACE"/>
    <w:rsid w:val="005B7079"/>
    <w:rsid w:val="006855F0"/>
    <w:rsid w:val="006D793E"/>
    <w:rsid w:val="006F06B9"/>
    <w:rsid w:val="0073677D"/>
    <w:rsid w:val="0074066C"/>
    <w:rsid w:val="007B6A02"/>
    <w:rsid w:val="007F5E37"/>
    <w:rsid w:val="0082223F"/>
    <w:rsid w:val="00877007"/>
    <w:rsid w:val="008B5129"/>
    <w:rsid w:val="008C2924"/>
    <w:rsid w:val="00951B6B"/>
    <w:rsid w:val="009A1296"/>
    <w:rsid w:val="009A757D"/>
    <w:rsid w:val="009F237A"/>
    <w:rsid w:val="00A41D4F"/>
    <w:rsid w:val="00B13ADF"/>
    <w:rsid w:val="00B83595"/>
    <w:rsid w:val="00BA3F3B"/>
    <w:rsid w:val="00C54DC8"/>
    <w:rsid w:val="00C73692"/>
    <w:rsid w:val="00C772DD"/>
    <w:rsid w:val="00C93BB7"/>
    <w:rsid w:val="00CB25E9"/>
    <w:rsid w:val="00CD3B27"/>
    <w:rsid w:val="00D0165E"/>
    <w:rsid w:val="00D02866"/>
    <w:rsid w:val="00D75C7B"/>
    <w:rsid w:val="00D85C7B"/>
    <w:rsid w:val="00DA7866"/>
    <w:rsid w:val="00DE2224"/>
    <w:rsid w:val="00E234E9"/>
    <w:rsid w:val="00E42641"/>
    <w:rsid w:val="00E66768"/>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E4264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E4264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CD3B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29068">
      <w:bodyDiv w:val="1"/>
      <w:marLeft w:val="0"/>
      <w:marRight w:val="0"/>
      <w:marTop w:val="0"/>
      <w:marBottom w:val="0"/>
      <w:divBdr>
        <w:top w:val="none" w:sz="0" w:space="0" w:color="auto"/>
        <w:left w:val="none" w:sz="0" w:space="0" w:color="auto"/>
        <w:bottom w:val="none" w:sz="0" w:space="0" w:color="auto"/>
        <w:right w:val="none" w:sz="0" w:space="0" w:color="auto"/>
      </w:divBdr>
    </w:div>
    <w:div w:id="696003480">
      <w:bodyDiv w:val="1"/>
      <w:marLeft w:val="0"/>
      <w:marRight w:val="0"/>
      <w:marTop w:val="0"/>
      <w:marBottom w:val="0"/>
      <w:divBdr>
        <w:top w:val="none" w:sz="0" w:space="0" w:color="auto"/>
        <w:left w:val="none" w:sz="0" w:space="0" w:color="auto"/>
        <w:bottom w:val="none" w:sz="0" w:space="0" w:color="auto"/>
        <w:right w:val="none" w:sz="0" w:space="0" w:color="auto"/>
      </w:divBdr>
    </w:div>
    <w:div w:id="831139335">
      <w:bodyDiv w:val="1"/>
      <w:marLeft w:val="0"/>
      <w:marRight w:val="0"/>
      <w:marTop w:val="0"/>
      <w:marBottom w:val="0"/>
      <w:divBdr>
        <w:top w:val="none" w:sz="0" w:space="0" w:color="auto"/>
        <w:left w:val="none" w:sz="0" w:space="0" w:color="auto"/>
        <w:bottom w:val="none" w:sz="0" w:space="0" w:color="auto"/>
        <w:right w:val="none" w:sz="0" w:space="0" w:color="auto"/>
      </w:divBdr>
    </w:div>
    <w:div w:id="859245509">
      <w:bodyDiv w:val="1"/>
      <w:marLeft w:val="0"/>
      <w:marRight w:val="0"/>
      <w:marTop w:val="0"/>
      <w:marBottom w:val="0"/>
      <w:divBdr>
        <w:top w:val="none" w:sz="0" w:space="0" w:color="auto"/>
        <w:left w:val="none" w:sz="0" w:space="0" w:color="auto"/>
        <w:bottom w:val="none" w:sz="0" w:space="0" w:color="auto"/>
        <w:right w:val="none" w:sz="0" w:space="0" w:color="auto"/>
      </w:divBdr>
    </w:div>
    <w:div w:id="1369140137">
      <w:bodyDiv w:val="1"/>
      <w:marLeft w:val="0"/>
      <w:marRight w:val="0"/>
      <w:marTop w:val="0"/>
      <w:marBottom w:val="0"/>
      <w:divBdr>
        <w:top w:val="none" w:sz="0" w:space="0" w:color="auto"/>
        <w:left w:val="none" w:sz="0" w:space="0" w:color="auto"/>
        <w:bottom w:val="none" w:sz="0" w:space="0" w:color="auto"/>
        <w:right w:val="none" w:sz="0" w:space="0" w:color="auto"/>
      </w:divBdr>
    </w:div>
    <w:div w:id="1480460124">
      <w:bodyDiv w:val="1"/>
      <w:marLeft w:val="0"/>
      <w:marRight w:val="0"/>
      <w:marTop w:val="0"/>
      <w:marBottom w:val="0"/>
      <w:divBdr>
        <w:top w:val="none" w:sz="0" w:space="0" w:color="auto"/>
        <w:left w:val="none" w:sz="0" w:space="0" w:color="auto"/>
        <w:bottom w:val="none" w:sz="0" w:space="0" w:color="auto"/>
        <w:right w:val="none" w:sz="0" w:space="0" w:color="auto"/>
      </w:divBdr>
    </w:div>
    <w:div w:id="1593707595">
      <w:bodyDiv w:val="1"/>
      <w:marLeft w:val="0"/>
      <w:marRight w:val="0"/>
      <w:marTop w:val="0"/>
      <w:marBottom w:val="0"/>
      <w:divBdr>
        <w:top w:val="none" w:sz="0" w:space="0" w:color="auto"/>
        <w:left w:val="none" w:sz="0" w:space="0" w:color="auto"/>
        <w:bottom w:val="none" w:sz="0" w:space="0" w:color="auto"/>
        <w:right w:val="none" w:sz="0" w:space="0" w:color="auto"/>
      </w:divBdr>
    </w:div>
    <w:div w:id="1869683750">
      <w:bodyDiv w:val="1"/>
      <w:marLeft w:val="0"/>
      <w:marRight w:val="0"/>
      <w:marTop w:val="0"/>
      <w:marBottom w:val="0"/>
      <w:divBdr>
        <w:top w:val="none" w:sz="0" w:space="0" w:color="auto"/>
        <w:left w:val="none" w:sz="0" w:space="0" w:color="auto"/>
        <w:bottom w:val="none" w:sz="0" w:space="0" w:color="auto"/>
        <w:right w:val="none" w:sz="0" w:space="0" w:color="auto"/>
      </w:divBdr>
    </w:div>
    <w:div w:id="1894927972">
      <w:bodyDiv w:val="1"/>
      <w:marLeft w:val="0"/>
      <w:marRight w:val="0"/>
      <w:marTop w:val="0"/>
      <w:marBottom w:val="0"/>
      <w:divBdr>
        <w:top w:val="none" w:sz="0" w:space="0" w:color="auto"/>
        <w:left w:val="none" w:sz="0" w:space="0" w:color="auto"/>
        <w:bottom w:val="none" w:sz="0" w:space="0" w:color="auto"/>
        <w:right w:val="none" w:sz="0" w:space="0" w:color="auto"/>
      </w:divBdr>
    </w:div>
    <w:div w:id="205122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Moo20</b:Tag>
    <b:SourceType>InternetSite</b:SourceType>
    <b:Guid>{96C38754-B696-4D90-89C1-E8A24E8ADC17}</b:Guid>
    <b:Title>Day trading surges In popularity, this won't end well</b:Title>
    <b:Year>2020</b:Year>
    <b:Author>
      <b:Author>
        <b:NameList>
          <b:Person>
            <b:Last>Moore</b:Last>
            <b:First>S</b:First>
          </b:Person>
        </b:NameList>
      </b:Author>
    </b:Author>
    <b:InternetSiteTitle>Forbes</b:InternetSiteTitle>
    <b:Month>June</b:Month>
    <b:Day>18</b:Day>
    <b:URL>https://www.forbes.com/sites/simonmoore/2020/06/18/day-trading-surges-in-popularity-this-wont-end-well/</b:URL>
    <b:RefOrder>1</b:RefOrder>
  </b:Source>
  <b:Source>
    <b:Tag>Lan21</b:Tag>
    <b:SourceType>InternetSite</b:SourceType>
    <b:Guid>{208CBCBF-70A7-4AE1-870D-90059F111169}</b:Guid>
    <b:Author>
      <b:Author>
        <b:NameList>
          <b:Person>
            <b:Last>Langlois</b:Last>
            <b:First>S</b:First>
          </b:Person>
        </b:NameList>
      </b:Author>
    </b:Author>
    <b:Title>He began buying Tesla at just $7.50, and now he’s retiring at 39 years old with $12 million worth — he still refuses to sell a single share</b:Title>
    <b:InternetSiteTitle>Marketwatch</b:InternetSiteTitle>
    <b:Year>2021</b:Year>
    <b:Month>January</b:Month>
    <b:Day>16</b:Day>
    <b:URL>https://www.marketwatch.com/story/he-began-buying-tesla-at-7-50-and-now-hes-retiring-at-39-years-old-with-12-million-worth-he-still-refuses-to-sell-a-single-share-11610392063</b:URL>
    <b:RefOrder>2</b:RefOrder>
  </b:Source>
  <b:Source>
    <b:Tag>Ste16</b:Tag>
    <b:SourceType>InternetSite</b:SourceType>
    <b:Guid>{B0E6D391-D426-4609-A998-A78C3A596AA8}</b:Guid>
    <b:Author>
      <b:Author>
        <b:Corporate>Steady Options</b:Corporate>
      </b:Author>
    </b:Author>
    <b:Title>Karen the supertrader: too good to be true?</b:Title>
    <b:InternetSiteTitle>Steady Options</b:InternetSiteTitle>
    <b:Year>2016</b:Year>
    <b:Month>June</b:Month>
    <b:Day>2</b:Day>
    <b:URL>https://steadyoptions.com/articles/karen-the-supertrader-too-good-to-be-true-r160/</b:URL>
    <b:RefOrder>4</b:RefOrder>
  </b:Source>
  <b:Source>
    <b:Tag>Tas15</b:Tag>
    <b:SourceType>InternetSite</b:SourceType>
    <b:Guid>{7EA47E1E-0B11-4515-B764-AD1308B46EC6}</b:Guid>
    <b:Author>
      <b:Author>
        <b:Corporate>Tasty Trade</b:Corporate>
      </b:Author>
    </b:Author>
    <b:Title>Option trader makes $105MM profit in the NDX, SPX &amp; RUT</b:Title>
    <b:InternetSiteTitle>Tasty Trade</b:InternetSiteTitle>
    <b:Year>2015</b:Year>
    <b:Month>March</b:Month>
    <b:Day>17</b:Day>
    <b:URL>https://youtu.be/BquDGE9KxZQ</b:URL>
    <b:RefOrder>3</b:RefOrder>
  </b:Source>
  <b:Source>
    <b:Tag>Sri20</b:Tag>
    <b:SourceType>JournalArticle</b:SourceType>
    <b:Guid>{121B1121-C1A7-4F02-B53E-D0A103282B98}</b:Guid>
    <b:Title>A Study of Black–Scholes Model’s Applicability in Indian Capital Markets</b:Title>
    <b:Year>2020</b:Year>
    <b:Author>
      <b:Author>
        <b:NameList>
          <b:Person>
            <b:Last>Srivastava</b:Last>
            <b:First>A.,</b:First>
            <b:Middle>&amp; Shastri, M.</b:Middle>
          </b:Person>
        </b:NameList>
      </b:Author>
    </b:Author>
    <b:JournalName>Paradigm</b:JournalName>
    <b:Pages>73-92</b:Pages>
    <b:Volume>24</b:Volume>
    <b:Issue>1</b:Issue>
    <b:DOI>10.1177/0971890720914102</b:DOI>
    <b:RefOrder>5</b:RefOrder>
  </b:Source>
  <b:Source>
    <b:Tag>Cre14</b:Tag>
    <b:SourceType>Book</b:SourceType>
    <b:Guid>{ABAC41CF-F207-4B91-A6A4-E23EF5676AD8}</b:Guid>
    <b:Author>
      <b:Author>
        <b:NameList>
          <b:Person>
            <b:Last>Creswell</b:Last>
            <b:First>J</b:First>
          </b:Person>
        </b:NameList>
      </b:Author>
    </b:Author>
    <b:Title>Research design: Qualitative, quantitative, and mixed methods approaches</b:Title>
    <b:Year>2014</b:Year>
    <b:City>Thousand Oaks, CA</b:City>
    <b:Publisher>Sage Publishing, Inc</b:Publisher>
    <b:RefOrder>6</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7</b:RefOrder>
  </b:Source>
</b:Sources>
</file>

<file path=customXml/itemProps1.xml><?xml version="1.0" encoding="utf-8"?>
<ds:datastoreItem xmlns:ds="http://schemas.openxmlformats.org/officeDocument/2006/customXml" ds:itemID="{C3195C9E-E49A-4873-8B75-82095B8F8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6</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2021-01-18T03:38:00Z</dcterms:modified>
</cp:coreProperties>
</file>