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632A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528A31BF" w:rsidR="00C34440" w:rsidRDefault="00C34440" w:rsidP="00C34440">
      <w:r>
        <w:tab/>
      </w:r>
      <w:bookmarkStart w:id="0" w:name="_Hlk70251766"/>
      <w:r>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rsidR="0063185C">
        <w:t>n</w:t>
      </w:r>
      <w:r>
        <w:t>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existing infrastructure.  Typically, these results</w:t>
      </w:r>
      <w:r w:rsidR="004A46E2">
        <w:t xml:space="preserve"> (artifacts)</w:t>
      </w:r>
      <w:r>
        <w:t xml:space="preserve"> originate from specific Proof-Of-Concept (POCs) or directed case</w:t>
      </w:r>
      <w:r w:rsidR="00544E13">
        <w:t xml:space="preserve"> </w:t>
      </w:r>
      <w:r>
        <w:t>studies.</w:t>
      </w:r>
      <w:bookmarkEnd w:id="0"/>
    </w:p>
    <w:p w14:paraId="190E2B14" w14:textId="62436D7C" w:rsidR="004A46E2" w:rsidRDefault="004A46E2" w:rsidP="004A46E2">
      <w:pPr>
        <w:pStyle w:val="Heading1"/>
      </w:pPr>
      <w:r>
        <w:t>Literature Review</w:t>
      </w:r>
    </w:p>
    <w:p w14:paraId="033A245F" w14:textId="1E70C86C" w:rsidR="004A46E2" w:rsidRDefault="004A46E2" w:rsidP="004A46E2">
      <w:r>
        <w:tab/>
      </w:r>
      <w:bookmarkStart w:id="1" w:name="_Hlk70251927"/>
      <w:r w:rsidR="00E93760">
        <w:t xml:space="preserve">Five constructive design articles from </w:t>
      </w:r>
      <w:r>
        <w:t>Northcentral University’s Library</w:t>
      </w:r>
      <w:r w:rsidR="00E93760">
        <w:t xml:space="preserve"> were selected</w:t>
      </w:r>
      <w:r>
        <w:t xml:space="preserve"> </w:t>
      </w:r>
      <w:r w:rsidR="00405558">
        <w:t>(see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bookmarkEnd w:id="1"/>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036B4BFD" w:rsidR="004A46E2" w:rsidRDefault="00405558" w:rsidP="004A46E2">
      <w:r>
        <w:tab/>
        <w:t xml:space="preserve">Recently political and natural events have disrupted </w:t>
      </w:r>
      <w:r w:rsidR="00E93760">
        <w:t xml:space="preserve">network </w:t>
      </w:r>
      <w:r>
        <w:t xml:space="preserve">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long</w:t>
      </w:r>
      <w:r w:rsidR="00544E13">
        <w:t xml:space="preserve"> </w:t>
      </w:r>
      <w:r>
        <w:t>ranges.</w:t>
      </w:r>
      <w:r w:rsidR="000F4A46">
        <w:t xml:space="preserve">  They propose modifying conventional smartphones to</w:t>
      </w:r>
      <w:r w:rsidR="00E93760">
        <w:t xml:space="preserve"> include</w:t>
      </w:r>
      <w:r w:rsidR="000F4A46">
        <w:t xml:space="preserve"> short wave radio transmitters</w:t>
      </w:r>
      <w:r w:rsidR="00E93760">
        <w:t xml:space="preserve"> that pair </w:t>
      </w:r>
      <w:r w:rsidR="000F4A46">
        <w:t xml:space="preserve">with receiving towers.  </w:t>
      </w:r>
      <w:r w:rsidR="00E93760">
        <w:t xml:space="preserve">Each </w:t>
      </w:r>
      <w:proofErr w:type="gramStart"/>
      <w:r w:rsidR="00E93760">
        <w:t>short wave</w:t>
      </w:r>
      <w:proofErr w:type="gramEnd"/>
      <w:r w:rsidR="00E93760">
        <w:t xml:space="preserve"> broadcast’s bandwidth </w:t>
      </w:r>
      <w:r w:rsidR="000F4A46">
        <w:t>is relatively low compared to other existing standards</w:t>
      </w:r>
      <w:r w:rsidR="00E93760">
        <w:t xml:space="preserve"> (e.g., 4G </w:t>
      </w:r>
      <w:proofErr w:type="spellStart"/>
      <w:r w:rsidR="00E93760">
        <w:t>WiFi</w:t>
      </w:r>
      <w:proofErr w:type="spellEnd"/>
      <w:r w:rsidR="00E93760">
        <w:t>)</w:t>
      </w:r>
      <w:r w:rsidR="000F4A46">
        <w:t xml:space="preserve">.  However, in an emergency, the networking requirements are substantially </w:t>
      </w:r>
      <w:r w:rsidR="00E93760">
        <w:t xml:space="preserve">lower than traditional </w:t>
      </w:r>
      <w:r w:rsidR="000F4A46">
        <w:t xml:space="preserve">multimedia </w:t>
      </w:r>
      <w:r w:rsidR="00E93760">
        <w:t>use-cases</w:t>
      </w:r>
      <w:r w:rsidR="000F4A46">
        <w:t>.</w:t>
      </w:r>
    </w:p>
    <w:p w14:paraId="0EFDE59D" w14:textId="7AD8C25A" w:rsidR="008E1E14" w:rsidRDefault="008E1E14" w:rsidP="008E1E14">
      <w:pPr>
        <w:pStyle w:val="Heading2"/>
      </w:pPr>
      <w:r>
        <w:t>Artifacts Produced</w:t>
      </w:r>
    </w:p>
    <w:p w14:paraId="1D514024" w14:textId="3517460E"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w:t>
      </w:r>
      <w:r w:rsidR="00E93760">
        <w:t>production</w:t>
      </w:r>
      <w:r w:rsidR="00544E13">
        <w:t xml:space="preserve"> </w:t>
      </w:r>
      <w:r w:rsidR="00E93760">
        <w:t>version</w:t>
      </w:r>
      <w:r>
        <w:t xml:space="preserve"> </w:t>
      </w:r>
      <w:r w:rsidR="00544E13">
        <w:t xml:space="preserve">that </w:t>
      </w:r>
      <w:r w:rsidR="00E93760">
        <w:t>would</w:t>
      </w:r>
      <w:r w:rsidR="008E1E14">
        <w:t xml:space="preserve"> </w:t>
      </w:r>
      <w:r>
        <w:t xml:space="preserve">be </w:t>
      </w:r>
      <w:proofErr w:type="gramStart"/>
      <w:r>
        <w:t>battery</w:t>
      </w:r>
      <w:r w:rsidR="008E1E14">
        <w:t>-</w:t>
      </w:r>
      <w:r>
        <w:t>powered</w:t>
      </w:r>
      <w:proofErr w:type="gramEnd"/>
      <w:r>
        <w:t>.</w:t>
      </w:r>
      <w:r w:rsidR="008E1E14">
        <w:t xml:space="preserve">  </w:t>
      </w:r>
    </w:p>
    <w:p w14:paraId="1BEE43E3" w14:textId="7F806927" w:rsidR="008E1E14" w:rsidRDefault="008E1E14" w:rsidP="008E1E14">
      <w:pPr>
        <w:pStyle w:val="Heading2"/>
      </w:pPr>
      <w:r>
        <w:t>Effectiveness of Design</w:t>
      </w:r>
    </w:p>
    <w:p w14:paraId="408BEEB4" w14:textId="29FC5DAF" w:rsidR="008E1E14" w:rsidRDefault="008E1E14" w:rsidP="008E1E14">
      <w:pPr>
        <w:ind w:firstLine="720"/>
      </w:pPr>
      <w:r>
        <w:t xml:space="preserve">External risks exist with the practicality of this system.  First, it requires receivers deployed across vast geographic spaces, necessitating multiple governments working together.  </w:t>
      </w:r>
      <w:r>
        <w:lastRenderedPageBreak/>
        <w:t>Second, military forces could disrupt the signal and reduce its effectiveness during political 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4EB533D5"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rsidR="00715265">
        <w:t xml:space="preserve"> </w:t>
      </w:r>
      <w:r>
        <w:t xml:space="preserve">2018).  Many industry standards, like ISO 27001, attempt to solve this problem through vital sign metrics.  However, the quantitative metric values use </w:t>
      </w:r>
      <w:r w:rsidR="00715265">
        <w:t xml:space="preserve">internal business risk </w:t>
      </w:r>
      <w:r>
        <w:t xml:space="preserve">calculations that are meaningless </w:t>
      </w:r>
      <w:r w:rsidR="00715265">
        <w:t xml:space="preserve">to </w:t>
      </w:r>
      <w:r>
        <w:t>external</w:t>
      </w:r>
      <w:r w:rsidR="00715265">
        <w:t xml:space="preserve"> audiences</w:t>
      </w:r>
      <w:r>
        <w:t>.  These standards also focus heavily on top-down policies, making it challenging to identify</w:t>
      </w:r>
      <w:r w:rsidR="00715265">
        <w:t xml:space="preserve"> all problem areas</w:t>
      </w:r>
      <w:r>
        <w:t>.</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The researchers propose a framework for assessing the maturity level of security-critical functions (e.g., monitoring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consistently compare itself against other businesses.</w:t>
      </w:r>
    </w:p>
    <w:p w14:paraId="1DEBCBE3" w14:textId="486AF837" w:rsidR="00875FE2" w:rsidRDefault="00875FE2" w:rsidP="00875FE2">
      <w:pPr>
        <w:pStyle w:val="Heading2"/>
      </w:pPr>
      <w:r>
        <w:t>Effectiveness of Design</w:t>
      </w:r>
    </w:p>
    <w:p w14:paraId="4AC137B0" w14:textId="58E76592"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w:t>
      </w:r>
      <w:r w:rsidR="00544E13">
        <w:t xml:space="preserve">that </w:t>
      </w:r>
      <w:r>
        <w:t>this framework is superior to the numerous internationally recognized standard</w:t>
      </w:r>
      <w:r w:rsidR="00715265">
        <w:t xml:space="preserve"> bodies</w:t>
      </w:r>
      <w:r>
        <w:t xml:space="preserve"> (e.g., ISO and NIST).  Another challenge comes from </w:t>
      </w:r>
      <w:r w:rsidR="00715265">
        <w:t xml:space="preserve">calibrating </w:t>
      </w:r>
      <w:r>
        <w:t xml:space="preserve">the definitions </w:t>
      </w:r>
      <w:r w:rsidR="00715265">
        <w:t xml:space="preserve">with </w:t>
      </w:r>
      <w:r>
        <w:t xml:space="preserve">twenty similar institutions.  Without sufficient sampling entropy, there is a risk that other industries produce misleading </w:t>
      </w:r>
      <w:r>
        <w:lastRenderedPageBreak/>
        <w:t xml:space="preserve">results.  For instance, a nuclear power plant versus a public blog has different expectations </w:t>
      </w:r>
      <w:r w:rsidR="00715265">
        <w:t>of what constitutes</w:t>
      </w:r>
      <w:r>
        <w:t xml:space="preserve">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7CF49342" w14:textId="633C6EC8" w:rsidR="00823A06" w:rsidRDefault="005E4580" w:rsidP="00715265">
      <w:r>
        <w:tab/>
        <w:t xml:space="preserve">Students that spend more time studying receive higher grades in school.  This relationship encourages educational facilitators to promote extracurricular engagements.  However, there are limits to the student’s attention and desire to complete additional work.  </w:t>
      </w:r>
      <w:r w:rsidR="00823A06">
        <w:t xml:space="preserve">Modern instructional training needs to incorporate </w:t>
      </w:r>
      <w:r w:rsidR="00715265">
        <w:t xml:space="preserve">Industrial </w:t>
      </w:r>
      <w:r w:rsidR="00823A06">
        <w:t xml:space="preserve">Revolution 4.0 </w:t>
      </w:r>
      <w:r>
        <w:t>technolog</w:t>
      </w:r>
      <w:r w:rsidR="00715265">
        <w:t>ies</w:t>
      </w:r>
      <w:r>
        <w:t xml:space="preserve"> </w:t>
      </w:r>
      <w:r w:rsidR="00715265">
        <w:t xml:space="preserve">that </w:t>
      </w:r>
      <w:r w:rsidR="00823A06">
        <w:t>promot</w:t>
      </w:r>
      <w:r>
        <w:t>e</w:t>
      </w:r>
      <w:r w:rsidR="00823A06">
        <w:t xml:space="preserve"> student engagement</w:t>
      </w:r>
      <w:r>
        <w:t xml:space="preserve"> (</w:t>
      </w:r>
      <w:r w:rsidR="00823A06">
        <w:t>Luna et al.</w:t>
      </w:r>
      <w:r>
        <w:t xml:space="preserve">, </w:t>
      </w:r>
      <w:r w:rsidR="00823A06">
        <w:t>2018)</w:t>
      </w:r>
      <w:r>
        <w:t>.</w:t>
      </w:r>
    </w:p>
    <w:p w14:paraId="2363EB14" w14:textId="5A41BB20" w:rsidR="00C350B9" w:rsidRDefault="00C350B9" w:rsidP="00C350B9">
      <w:pPr>
        <w:pStyle w:val="Heading2"/>
      </w:pPr>
      <w:r>
        <w:t>Artifacts Produced</w:t>
      </w:r>
    </w:p>
    <w:p w14:paraId="4C0EF721" w14:textId="59FA64E4" w:rsidR="00715265" w:rsidRPr="00823A06" w:rsidRDefault="00715265" w:rsidP="00715265">
      <w:pPr>
        <w:ind w:firstLine="720"/>
      </w:pPr>
      <w:r>
        <w:t xml:space="preserve">The researchers expand their solution-first approach to mean gamification of learning technologies.  Luna et al. (2018) 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06E575B4" w:rsidR="005E4580" w:rsidRDefault="005E4580" w:rsidP="005E4580">
      <w:pPr>
        <w:ind w:firstLine="720"/>
      </w:pPr>
      <w:r>
        <w:t xml:space="preserve">Each iteration of the course takes roughly fifteen weeks to complete with ten to twenty learners.  The researchers evaluated test scores from before (2013 to 2016) and after the program (2016 to 2017).  They found that cohorts </w:t>
      </w:r>
      <w:r w:rsidR="00715265">
        <w:t xml:space="preserve">using the interactive material </w:t>
      </w:r>
      <w:r>
        <w:t xml:space="preserve">received a full letter grade higher and reduced the standard deviation of scores by 50%.  These results suggest that the pupils are spending more time studying and </w:t>
      </w:r>
      <w:r w:rsidR="00715265">
        <w:t>gaining more value from the course</w:t>
      </w:r>
      <w:r>
        <w:t>.</w:t>
      </w:r>
    </w:p>
    <w:p w14:paraId="17B1CF31" w14:textId="7695A73E" w:rsidR="00272332" w:rsidRPr="005E4580" w:rsidRDefault="00272332" w:rsidP="005E4580">
      <w:pPr>
        <w:ind w:firstLine="720"/>
      </w:pPr>
      <w:r>
        <w:t xml:space="preserve">Their experiment and its results are rational, but there are risks that external factors are skewing the data.  Luna et al. do not provide any information about the amount of time students </w:t>
      </w:r>
      <w:r>
        <w:lastRenderedPageBreak/>
        <w:t xml:space="preserve">spend with the online content.  Additionally, there is no evidence that the complexity of the test is consistent between 2013 to 2017.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450A0891"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w:t>
      </w:r>
      <w:r w:rsidR="00715265">
        <w:t xml:space="preserve">and </w:t>
      </w:r>
      <w:r>
        <w:t>inspir</w:t>
      </w:r>
      <w:r w:rsidR="00715265">
        <w:t>e</w:t>
      </w:r>
      <w:r>
        <w:t xml:space="preserve"> larger orders across repeat business.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1CEF452E" w:rsidR="007F6FA8" w:rsidRPr="00574C8C" w:rsidRDefault="00444EE9" w:rsidP="007F6FA8">
      <w:pPr>
        <w:ind w:firstLine="720"/>
      </w:pPr>
      <w:proofErr w:type="spellStart"/>
      <w:r>
        <w:t>Nemeschansky</w:t>
      </w:r>
      <w:proofErr w:type="spellEnd"/>
      <w:r>
        <w:t xml:space="preserve"> et al. </w:t>
      </w:r>
      <w:r w:rsidR="007F6FA8">
        <w:t xml:space="preserve">also offer procedures for combining customer feedback with internal inventory data.  For example, after the weekend, a business has left-over meats that can become a </w:t>
      </w:r>
      <w:r w:rsidR="00715265">
        <w:t>“</w:t>
      </w:r>
      <w:r w:rsidR="007F6FA8">
        <w:t xml:space="preserve">Tuesday </w:t>
      </w:r>
      <w:r w:rsidR="00715265">
        <w:t xml:space="preserve">meal </w:t>
      </w:r>
      <w:r w:rsidR="007F6FA8">
        <w:t>special.</w:t>
      </w:r>
      <w:r w:rsidR="00715265">
        <w:t>”</w:t>
      </w:r>
      <w:r w:rsidR="007F6FA8">
        <w:t xml:space="preserve">  </w:t>
      </w:r>
      <w:r w:rsidR="00715265" w:rsidRPr="00715265">
        <w:t>Then, promoting the relaxing atmosphere with alcoholic beverages further improves customer</w:t>
      </w:r>
      <w:r w:rsidR="00544E13">
        <w:t xml:space="preserve"> </w:t>
      </w:r>
      <w:r w:rsidR="00715265" w:rsidRPr="00715265">
        <w:t>value and offsets the discount.</w:t>
      </w:r>
    </w:p>
    <w:p w14:paraId="482353D5" w14:textId="260DBBC8" w:rsidR="00463D1B" w:rsidRPr="00463D1B" w:rsidRDefault="00463D1B" w:rsidP="00463D1B">
      <w:pPr>
        <w:pStyle w:val="Heading2"/>
      </w:pPr>
      <w:r>
        <w:lastRenderedPageBreak/>
        <w:t>Effectiveness of Design</w:t>
      </w:r>
    </w:p>
    <w:p w14:paraId="091264A2" w14:textId="7FC54ADA" w:rsidR="002B1316" w:rsidRDefault="002B1316" w:rsidP="002B1316">
      <w:r>
        <w:tab/>
      </w:r>
      <w:r w:rsidR="003832D0">
        <w:t>Th</w:t>
      </w:r>
      <w:r w:rsidR="00715265">
        <w:t>is</w:t>
      </w:r>
      <w:r w:rsidR="003832D0">
        <w:t xml:space="preserve"> constructive research measures progress in terms of weekly revenue at their restaurant.  This location in Auckland, New Zealand, can host 90-guests and averages seventy-five thousand </w:t>
      </w:r>
      <w:r w:rsidR="00715265">
        <w:t xml:space="preserve">per </w:t>
      </w:r>
      <w:r w:rsidR="003832D0">
        <w:t>week.  Over the two years of experimentation, approximately four thousand customers have participated in their survey.  During this time, they decreased waste from 22 to 12.5% and increased profit margins from 18 to 26%.  These results demonstrate that their system is delivering the desired outcomes.</w:t>
      </w:r>
    </w:p>
    <w:p w14:paraId="424B71CE" w14:textId="7CBD568D" w:rsidR="003832D0" w:rsidRPr="00574C8C" w:rsidRDefault="003832D0" w:rsidP="002B1316">
      <w:r>
        <w:tab/>
        <w:t>Their strategy of including the customer’s voice applies to numerous supply-chain scenarios.  Other organizations that follow this iterative process will find its data-driven format consistently removes waste and focuses resources on improving the customer experience.</w:t>
      </w:r>
    </w:p>
    <w:p w14:paraId="1BBA3F87" w14:textId="06AE6340" w:rsidR="004A46E2" w:rsidRDefault="004A46E2" w:rsidP="00B05C90">
      <w:pPr>
        <w:pStyle w:val="Heading1"/>
      </w:pPr>
      <w:r>
        <w:t>Self-Service Analytics (2018)</w:t>
      </w:r>
    </w:p>
    <w:p w14:paraId="6B2243D2" w14:textId="72D5F5ED" w:rsidR="003832D0" w:rsidRDefault="003832D0" w:rsidP="003832D0">
      <w:pPr>
        <w:pStyle w:val="Heading2"/>
      </w:pPr>
      <w:r>
        <w:t>Problem Statement</w:t>
      </w:r>
    </w:p>
    <w:p w14:paraId="154880F5" w14:textId="2977D53B" w:rsidR="00A74749" w:rsidRPr="00A74749" w:rsidRDefault="00A74749" w:rsidP="00A74749">
      <w:r>
        <w:tab/>
        <w:t>Manufacturing processes are turning to Lean</w:t>
      </w:r>
      <w:r w:rsidR="00755136">
        <w:t xml:space="preserve"> Six Sigma</w:t>
      </w:r>
      <w:r>
        <w:t xml:space="preserve"> methodologies to reduce waste and improve efficiencies.  A fundamental principle of Lean design requires a mechanism to measure processes before they can be improved.  Traditionally, organizations utilized centralized teams that collect and analyze these metrics.  However, this approach creates bottlenecks, causing those same businesses to pivot toward Self-Service Analytics (SSA).  Despite a broad adoption of SSA, there is little research into its accuracy and effectiveness</w:t>
      </w:r>
      <w:sdt>
        <w:sdtPr>
          <w:id w:val="995142838"/>
          <w:citation/>
        </w:sdtPr>
        <w:sdtEndPr/>
        <w:sdtContent>
          <w:r w:rsidR="00093FCD">
            <w:fldChar w:fldCharType="begin"/>
          </w:r>
          <w:r w:rsidR="00093FCD">
            <w:instrText xml:space="preserve"> CITATION Liz18 \l 1033 </w:instrText>
          </w:r>
          <w:r w:rsidR="00093FCD">
            <w:fldChar w:fldCharType="separate"/>
          </w:r>
          <w:r w:rsidR="00093FCD">
            <w:rPr>
              <w:noProof/>
            </w:rPr>
            <w:t xml:space="preserve"> (Lizotte-Latendresse &amp; Beauregard, 2018)</w:t>
          </w:r>
          <w:r w:rsidR="00093FCD">
            <w:fldChar w:fldCharType="end"/>
          </w:r>
        </w:sdtContent>
      </w:sdt>
      <w:r>
        <w:t>.  This lack of formal training produce</w:t>
      </w:r>
      <w:r w:rsidR="00F41141">
        <w:t>s risks that</w:t>
      </w:r>
      <w:r>
        <w:t xml:space="preserve"> garbage-in</w:t>
      </w:r>
      <w:r w:rsidR="00F41141">
        <w:t>-</w:t>
      </w:r>
      <w:r>
        <w:t>garbage-out</w:t>
      </w:r>
      <w:r w:rsidR="00F41141">
        <w:t xml:space="preserve"> analysis occurs</w:t>
      </w:r>
      <w:r>
        <w:t>.</w:t>
      </w:r>
    </w:p>
    <w:p w14:paraId="297D5FBE" w14:textId="0A659860" w:rsidR="003832D0" w:rsidRDefault="003832D0" w:rsidP="003832D0">
      <w:pPr>
        <w:pStyle w:val="Heading2"/>
      </w:pPr>
      <w:r>
        <w:t>Artifacts Produced</w:t>
      </w:r>
    </w:p>
    <w:p w14:paraId="76935C96" w14:textId="344DF411" w:rsidR="00755136" w:rsidRPr="00755136" w:rsidRDefault="00755136" w:rsidP="00755136">
      <w:r>
        <w:tab/>
        <w:t>Two manufacturing plants required a formal measurement system, but their workers lacked the necessary training.  Lizotte-</w:t>
      </w:r>
      <w:proofErr w:type="spellStart"/>
      <w:r>
        <w:t>Latendresse</w:t>
      </w:r>
      <w:proofErr w:type="spellEnd"/>
      <w:r>
        <w:t xml:space="preserve"> and </w:t>
      </w:r>
      <w:proofErr w:type="spellStart"/>
      <w:r>
        <w:t>Beuregard</w:t>
      </w:r>
      <w:proofErr w:type="spellEnd"/>
      <w:r>
        <w:t xml:space="preserve"> (2018) assisted those workers </w:t>
      </w:r>
      <w:r w:rsidR="00544E13">
        <w:lastRenderedPageBreak/>
        <w:t>in implementing</w:t>
      </w:r>
      <w:r>
        <w:t xml:space="preserve"> and verify these SSA use-cases.  The researchers noticed repeatable patterns and began documenting their guidance as an official process.  They iteratively refined the process into an effective workflow for general decisions, such as defining Key Performance Indicators (KPIs) and dashboard layouts.</w:t>
      </w:r>
    </w:p>
    <w:p w14:paraId="1FF37770" w14:textId="52BEAA26" w:rsidR="003832D0" w:rsidRDefault="003832D0" w:rsidP="003832D0">
      <w:pPr>
        <w:pStyle w:val="Heading2"/>
      </w:pPr>
      <w:r>
        <w:t>Effectiveness of Design</w:t>
      </w:r>
    </w:p>
    <w:p w14:paraId="64287FDB" w14:textId="30A9471C" w:rsidR="004A46E2" w:rsidRDefault="00755136" w:rsidP="004A46E2">
      <w:r>
        <w:tab/>
        <w:t xml:space="preserve">The decision process is generic and applicable to </w:t>
      </w:r>
      <w:r w:rsidR="00093FCD">
        <w:t xml:space="preserve">measuring </w:t>
      </w:r>
      <w:r>
        <w:t>any supply chain.  However, the authors do not provide any metrics or quantitative values.  Instead, they should have included data around the decrease in support tickets or the number of SSA-driven improvements.  While these changes likely occurred favorably, a failure to validate results introduces risk.  For instance, individuals could be missing critical issues due to inaccurately following the process.</w:t>
      </w:r>
    </w:p>
    <w:p w14:paraId="58CC527E" w14:textId="31858491" w:rsidR="00A9242A" w:rsidRDefault="00A9242A" w:rsidP="004A46E2"/>
    <w:p w14:paraId="6A3B6B84" w14:textId="049893AE" w:rsidR="00A9242A" w:rsidRDefault="00A9242A">
      <w:r>
        <w:br w:type="page"/>
      </w:r>
    </w:p>
    <w:sdt>
      <w:sdtPr>
        <w:rPr>
          <w:b w:val="0"/>
        </w:rPr>
        <w:id w:val="-248513511"/>
        <w:docPartObj>
          <w:docPartGallery w:val="Bibliographies"/>
          <w:docPartUnique/>
        </w:docPartObj>
      </w:sdtPr>
      <w:sdtEndPr/>
      <w:sdtContent>
        <w:p w14:paraId="44D5817C" w14:textId="17718215" w:rsidR="00A9242A" w:rsidRPr="00A9242A" w:rsidRDefault="00A9242A">
          <w:pPr>
            <w:pStyle w:val="Heading1"/>
            <w:rPr>
              <w:b w:val="0"/>
              <w:bCs/>
            </w:rPr>
          </w:pPr>
          <w:r w:rsidRPr="00A9242A">
            <w:rPr>
              <w:b w:val="0"/>
              <w:bCs/>
            </w:rPr>
            <w:t>References</w:t>
          </w:r>
        </w:p>
        <w:sdt>
          <w:sdtPr>
            <w:id w:val="-573587230"/>
            <w:bibliography/>
          </w:sdtPr>
          <w:sdtEndPr/>
          <w:sdtContent>
            <w:p w14:paraId="619E6A8D" w14:textId="11C563D5" w:rsidR="00A9242A" w:rsidRDefault="00A9242A" w:rsidP="00A9242A">
              <w:pPr>
                <w:pStyle w:val="Bibliography"/>
                <w:ind w:left="720" w:hanging="720"/>
                <w:rPr>
                  <w:noProof/>
                </w:rPr>
              </w:pPr>
              <w:r>
                <w:fldChar w:fldCharType="begin"/>
              </w:r>
              <w:r>
                <w:instrText xml:space="preserve"> BIBLIOGRAPHY </w:instrText>
              </w:r>
              <w:r>
                <w:fldChar w:fldCharType="separate"/>
              </w:r>
              <w:r>
                <w:rPr>
                  <w:noProof/>
                </w:rPr>
                <w:t xml:space="preserve">Aburawi, A., Salic, S., &amp; Krampell, M. (2016). A new model of emergency communication for disaster relief in remote areas. </w:t>
              </w:r>
              <w:r>
                <w:rPr>
                  <w:i/>
                  <w:iCs/>
                  <w:noProof/>
                </w:rPr>
                <w:t>International Conference on Innovations in Information Technology</w:t>
              </w:r>
              <w:r>
                <w:rPr>
                  <w:noProof/>
                </w:rPr>
                <w:t xml:space="preserve">, </w:t>
              </w:r>
              <w:r>
                <w:rPr>
                  <w:i/>
                  <w:iCs/>
                  <w:noProof/>
                </w:rPr>
                <w:t>12</w:t>
              </w:r>
              <w:r>
                <w:rPr>
                  <w:noProof/>
                </w:rPr>
                <w:t>, pp. 1-5. Al-Ain, Omen. doi:10.1109/INNOVATIONS.2016</w:t>
              </w:r>
            </w:p>
            <w:p w14:paraId="156A9FD5" w14:textId="77777777" w:rsidR="00A9242A" w:rsidRDefault="00A9242A" w:rsidP="00A9242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682647A" w14:textId="77777777" w:rsidR="00A9242A" w:rsidRDefault="00A9242A" w:rsidP="00A9242A">
              <w:pPr>
                <w:pStyle w:val="Bibliography"/>
                <w:ind w:left="720" w:hanging="720"/>
                <w:rPr>
                  <w:noProof/>
                </w:rPr>
              </w:pPr>
              <w:r>
                <w:rPr>
                  <w:noProof/>
                </w:rPr>
                <w:t xml:space="preserve">Jazri, H., Zakaria, O., &amp; Chiohora, E. (2018). Measuring Cybersecurity Wellness Index of Critical Organisations. </w:t>
              </w:r>
              <w:r>
                <w:rPr>
                  <w:i/>
                  <w:iCs/>
                  <w:noProof/>
                </w:rPr>
                <w:t>IST-Africa Week Conference</w:t>
              </w:r>
              <w:r>
                <w:rPr>
                  <w:noProof/>
                </w:rPr>
                <w:t>, (pp. 1-8). Gaborone, Botswana. Retrieved from https://search-ebscohost-com.proxy1.ncu.edu/login.aspx?direct=true&amp;db=edseee&amp;AN=edseee.8417299&amp;site=eds-live</w:t>
              </w:r>
            </w:p>
            <w:p w14:paraId="43557BB4" w14:textId="77777777" w:rsidR="00A9242A" w:rsidRDefault="00A9242A" w:rsidP="00A9242A">
              <w:pPr>
                <w:pStyle w:val="Bibliography"/>
                <w:ind w:left="720" w:hanging="720"/>
                <w:rPr>
                  <w:noProof/>
                </w:rPr>
              </w:pPr>
              <w:r>
                <w:rPr>
                  <w:noProof/>
                </w:rPr>
                <w:t xml:space="preserve">Lizotte-Latendresse, S., &amp; Beauregard, Y. (2018). Implementing self-service business analytics supporting lean manufacturing: A state-of-the-art review. </w:t>
              </w:r>
              <w:r>
                <w:rPr>
                  <w:i/>
                  <w:iCs/>
                  <w:noProof/>
                </w:rPr>
                <w:t>IFAC PapersOnLine, 51</w:t>
              </w:r>
              <w:r>
                <w:rPr>
                  <w:noProof/>
                </w:rPr>
                <w:t>(11), 1143-1148. doi:10.1016/j.ifacol.2018.08.436</w:t>
              </w:r>
            </w:p>
            <w:p w14:paraId="41778AFF" w14:textId="268F5139" w:rsidR="00A9242A" w:rsidRDefault="00A9242A" w:rsidP="00A9242A">
              <w:pPr>
                <w:pStyle w:val="Bibliography"/>
                <w:ind w:left="720" w:hanging="720"/>
                <w:rPr>
                  <w:noProof/>
                </w:rPr>
              </w:pPr>
              <w:r>
                <w:rPr>
                  <w:noProof/>
                </w:rPr>
                <w:t xml:space="preserve">Luna, A., Chong, M., &amp; Jurburg, D. (2018). Learning Strategies to Optimize the Assimilation of ITC2 Competencies for Business Engineering Programs. </w:t>
              </w:r>
              <w:r>
                <w:rPr>
                  <w:i/>
                  <w:iCs/>
                  <w:noProof/>
                </w:rPr>
                <w:t>International Conference on Teaching, Assessment, and Learning for Engineering (TALE)</w:t>
              </w:r>
              <w:r>
                <w:rPr>
                  <w:noProof/>
                </w:rPr>
                <w:t xml:space="preserve"> (pp. 616-623). Wollongong, North-South Wales: IEEE. doi:10.1109/TALE.2018.8615444</w:t>
              </w:r>
            </w:p>
            <w:p w14:paraId="221C33FA" w14:textId="77777777" w:rsidR="00A9242A" w:rsidRDefault="00A9242A" w:rsidP="00A9242A">
              <w:pPr>
                <w:pStyle w:val="Bibliography"/>
                <w:ind w:left="720" w:hanging="720"/>
                <w:rPr>
                  <w:noProof/>
                </w:rPr>
              </w:pPr>
              <w:r>
                <w:rPr>
                  <w:noProof/>
                </w:rPr>
                <w:t xml:space="preserve">Nemeschansky, B., v. d., &amp; Kim, P. (2020). Customer-driven menu analysis (CDMA): Capturing customer voice in menu management. </w:t>
              </w:r>
              <w:r>
                <w:rPr>
                  <w:i/>
                  <w:iCs/>
                  <w:noProof/>
                </w:rPr>
                <w:t>International Journal of Hospitality Management, 91</w:t>
              </w:r>
              <w:r>
                <w:rPr>
                  <w:noProof/>
                </w:rPr>
                <w:t>, 1-14. doi:10.1016/j.ijhm.2019.102417</w:t>
              </w:r>
            </w:p>
            <w:p w14:paraId="2F02C168" w14:textId="77777777" w:rsidR="00A9242A" w:rsidRDefault="00A9242A" w:rsidP="00A924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DD54451" w14:textId="52796DAE" w:rsidR="00A9242A" w:rsidRDefault="00A9242A" w:rsidP="00A9242A">
              <w:r>
                <w:rPr>
                  <w:b/>
                  <w:bCs/>
                  <w:noProof/>
                </w:rPr>
                <w:fldChar w:fldCharType="end"/>
              </w:r>
            </w:p>
          </w:sdtContent>
        </w:sdt>
      </w:sdtContent>
    </w:sdt>
    <w:p w14:paraId="6C661CD3" w14:textId="77777777" w:rsidR="00A9242A" w:rsidRPr="004A46E2" w:rsidRDefault="00A9242A" w:rsidP="004A46E2"/>
    <w:sectPr w:rsidR="00A9242A"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5895" w14:textId="77777777" w:rsidR="004632A5" w:rsidRDefault="004632A5" w:rsidP="0082223F">
      <w:pPr>
        <w:spacing w:line="240" w:lineRule="auto"/>
      </w:pPr>
      <w:r>
        <w:separator/>
      </w:r>
    </w:p>
  </w:endnote>
  <w:endnote w:type="continuationSeparator" w:id="0">
    <w:p w14:paraId="18DD33C0" w14:textId="77777777" w:rsidR="004632A5" w:rsidRDefault="004632A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3212" w14:textId="77777777" w:rsidR="004632A5" w:rsidRDefault="004632A5" w:rsidP="0082223F">
      <w:pPr>
        <w:spacing w:line="240" w:lineRule="auto"/>
      </w:pPr>
      <w:r>
        <w:separator/>
      </w:r>
    </w:p>
  </w:footnote>
  <w:footnote w:type="continuationSeparator" w:id="0">
    <w:p w14:paraId="417AF433" w14:textId="77777777" w:rsidR="004632A5" w:rsidRDefault="004632A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52304"/>
    <w:rsid w:val="00093FCD"/>
    <w:rsid w:val="000C5A06"/>
    <w:rsid w:val="000E39A1"/>
    <w:rsid w:val="000F4A46"/>
    <w:rsid w:val="00134BF0"/>
    <w:rsid w:val="00183597"/>
    <w:rsid w:val="001B1340"/>
    <w:rsid w:val="001B27C4"/>
    <w:rsid w:val="00263D2D"/>
    <w:rsid w:val="00272332"/>
    <w:rsid w:val="002806B7"/>
    <w:rsid w:val="002A323F"/>
    <w:rsid w:val="002B1316"/>
    <w:rsid w:val="002B18D1"/>
    <w:rsid w:val="00355356"/>
    <w:rsid w:val="003832D0"/>
    <w:rsid w:val="003F4714"/>
    <w:rsid w:val="00401D65"/>
    <w:rsid w:val="00405558"/>
    <w:rsid w:val="004223E8"/>
    <w:rsid w:val="00424108"/>
    <w:rsid w:val="00444EE9"/>
    <w:rsid w:val="004632A5"/>
    <w:rsid w:val="00463D1B"/>
    <w:rsid w:val="00475624"/>
    <w:rsid w:val="004A46E2"/>
    <w:rsid w:val="004A784B"/>
    <w:rsid w:val="0052132E"/>
    <w:rsid w:val="00533A82"/>
    <w:rsid w:val="00544E13"/>
    <w:rsid w:val="00574C8C"/>
    <w:rsid w:val="005B7079"/>
    <w:rsid w:val="005E4580"/>
    <w:rsid w:val="0063185C"/>
    <w:rsid w:val="00661627"/>
    <w:rsid w:val="006D793E"/>
    <w:rsid w:val="00715265"/>
    <w:rsid w:val="0073677D"/>
    <w:rsid w:val="00755136"/>
    <w:rsid w:val="007A2D72"/>
    <w:rsid w:val="007F4FA0"/>
    <w:rsid w:val="007F6FA8"/>
    <w:rsid w:val="0082223F"/>
    <w:rsid w:val="00823A06"/>
    <w:rsid w:val="00875FE2"/>
    <w:rsid w:val="00877007"/>
    <w:rsid w:val="008B5129"/>
    <w:rsid w:val="008E1E14"/>
    <w:rsid w:val="0092122A"/>
    <w:rsid w:val="009A757D"/>
    <w:rsid w:val="00A32BA5"/>
    <w:rsid w:val="00A74749"/>
    <w:rsid w:val="00A9242A"/>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93760"/>
    <w:rsid w:val="00ED3713"/>
    <w:rsid w:val="00F3143F"/>
    <w:rsid w:val="00F41141"/>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 w:id="162166505">
      <w:bodyDiv w:val="1"/>
      <w:marLeft w:val="0"/>
      <w:marRight w:val="0"/>
      <w:marTop w:val="0"/>
      <w:marBottom w:val="0"/>
      <w:divBdr>
        <w:top w:val="none" w:sz="0" w:space="0" w:color="auto"/>
        <w:left w:val="none" w:sz="0" w:space="0" w:color="auto"/>
        <w:bottom w:val="none" w:sz="0" w:space="0" w:color="auto"/>
        <w:right w:val="none" w:sz="0" w:space="0" w:color="auto"/>
      </w:divBdr>
    </w:div>
    <w:div w:id="12976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4</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5</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6</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7</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1</b:RefOrder>
  </b:Source>
</b:Sources>
</file>

<file path=customXml/itemProps1.xml><?xml version="1.0" encoding="utf-8"?>
<ds:datastoreItem xmlns:ds="http://schemas.openxmlformats.org/officeDocument/2006/customXml" ds:itemID="{ACE6025F-C3D3-496E-9BE3-C047F617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10</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2021-04-25T18:41:00Z</dcterms:modified>
</cp:coreProperties>
</file>