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EE34B3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1285995" w:rsidR="0082223F" w:rsidRDefault="0082223F" w:rsidP="0082223F">
      <w:pPr>
        <w:pStyle w:val="Title"/>
      </w:pPr>
      <w:r>
        <w:t xml:space="preserve">Week </w:t>
      </w:r>
      <w:r w:rsidR="006761DC">
        <w:t>8</w:t>
      </w:r>
      <w:r>
        <w:t xml:space="preserve">: </w:t>
      </w:r>
      <w:r w:rsidR="006761DC">
        <w:t>Video Editing With AI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370E2CBB" w:rsidR="00CB25E9" w:rsidRDefault="006761DC" w:rsidP="0082223F">
      <w:pPr>
        <w:jc w:val="center"/>
      </w:pPr>
      <w:r>
        <w:t>February 14,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B6DF5D" w:rsidR="0082223F" w:rsidRDefault="006761DC" w:rsidP="005B7079">
      <w:pPr>
        <w:pStyle w:val="Heading1"/>
      </w:pPr>
      <w:r>
        <w:lastRenderedPageBreak/>
        <w:t>Video Editing with AI</w:t>
      </w:r>
    </w:p>
    <w:p w14:paraId="2C3A69EE" w14:textId="0146E375" w:rsidR="0017336C" w:rsidRDefault="006761DC" w:rsidP="0017336C">
      <w:r>
        <w:tab/>
        <w:t>Movie and television studios spend millions of dollars annually removing objects from videos</w:t>
      </w:r>
      <w:r w:rsidR="00753EA3">
        <w:t xml:space="preserve"> (Shimamura et al., 2020)</w:t>
      </w:r>
      <w:r>
        <w:t>.  This painstaking process requires humans to transpose pixels between different shots and then offset any difference</w:t>
      </w:r>
      <w:r w:rsidR="00753EA3">
        <w:t>s, such as variations of lighting or color pallets</w:t>
      </w:r>
      <w:r>
        <w:t xml:space="preserve">.  Businesses </w:t>
      </w:r>
      <w:r w:rsidR="00753EA3">
        <w:t xml:space="preserve">require </w:t>
      </w:r>
      <w:r>
        <w:t xml:space="preserve">a mechanism to automate this challenging process.  </w:t>
      </w:r>
      <w:r w:rsidR="0017336C">
        <w:t>This constructive research seeks to produce an algorithm that serves as that mechanism.</w:t>
      </w:r>
    </w:p>
    <w:p w14:paraId="193F1FD7" w14:textId="2A1CD8A7" w:rsidR="0017336C" w:rsidRDefault="0017336C" w:rsidP="0017336C">
      <w:pPr>
        <w:pStyle w:val="Heading1"/>
      </w:pPr>
      <w:r>
        <w:t>Problem Statement</w:t>
      </w:r>
    </w:p>
    <w:p w14:paraId="2B69A9DB" w14:textId="665122EB" w:rsidR="00753EA3" w:rsidRDefault="00753EA3" w:rsidP="00753EA3">
      <w:r>
        <w:tab/>
        <w:t xml:space="preserve">Production studios </w:t>
      </w:r>
      <w:r w:rsidR="00393036">
        <w:t>enjoy</w:t>
      </w:r>
      <w:r>
        <w:t xml:space="preserve"> shooting video in the real world because it </w:t>
      </w:r>
      <w:r w:rsidR="00393036">
        <w:t xml:space="preserve">creates an authentic feeling and </w:t>
      </w:r>
      <w:r>
        <w:t>saves money.  However, the camera also records licensed content, pedestrians, and other distracting objects within the</w:t>
      </w:r>
      <w:r w:rsidR="00393036">
        <w:t>se</w:t>
      </w:r>
      <w:r>
        <w:t xml:space="preserve"> shot</w:t>
      </w:r>
      <w:r w:rsidR="00393036">
        <w:t>s</w:t>
      </w:r>
      <w:r>
        <w:t xml:space="preserve">.  Video Effects (VFX) teams clean up </w:t>
      </w:r>
      <w:r w:rsidR="00393036">
        <w:t xml:space="preserve">the </w:t>
      </w:r>
      <w:r>
        <w:t xml:space="preserve">shots by carefully transposing pixels between different frames (Trinh et al., 2019).  When the scene contains fast-paced action, a compounding of effort is required.  </w:t>
      </w:r>
      <w:r w:rsidR="00393036">
        <w:t xml:space="preserve">For instance, VFX teams need to </w:t>
      </w:r>
      <w:r>
        <w:t>account for different lighting, object orientation, and non-static positioning.</w:t>
      </w:r>
    </w:p>
    <w:p w14:paraId="51B591DF" w14:textId="0D75F4C8" w:rsidR="00393036" w:rsidRDefault="00393036" w:rsidP="00753EA3">
      <w:r>
        <w:tab/>
        <w:t xml:space="preserve">Today, VFX teams meet these requirements through painstaking manual processes that require 3-D modeling and sophisticated software projects.  These programs are complex and come with a </w:t>
      </w:r>
      <w:proofErr w:type="gramStart"/>
      <w:r>
        <w:t>high-barrier</w:t>
      </w:r>
      <w:proofErr w:type="gramEnd"/>
      <w:r>
        <w:t xml:space="preserve"> to entry, which in turn increases costs.  Businesses would prefer to have artificial intelligence solutions manage these tasks.  This capability would reduce costs, enable faster time-to-market, and free-up VFX resources for value-differentiating services.</w:t>
      </w:r>
    </w:p>
    <w:p w14:paraId="7987E2FB" w14:textId="45D9B1AE" w:rsidR="00393036" w:rsidRDefault="00393036" w:rsidP="00393036">
      <w:pPr>
        <w:ind w:firstLine="720"/>
      </w:pPr>
      <w:r>
        <w:t>The most powerful artificial intelligence applications use machines to enhance human capabilities rather than replace them (</w:t>
      </w:r>
      <w:proofErr w:type="spellStart"/>
      <w:r>
        <w:t>Heer</w:t>
      </w:r>
      <w:proofErr w:type="spellEnd"/>
      <w:r>
        <w:t xml:space="preserve">, 2019; </w:t>
      </w:r>
      <w:proofErr w:type="spellStart"/>
      <w:r>
        <w:t>Boire</w:t>
      </w:r>
      <w:proofErr w:type="spellEnd"/>
      <w:r>
        <w:t xml:space="preserve">, 2017).  For instance, a person can write a more profound business case than a machine; however, the same machine will have fewer misspellings and grammatical errors.  This </w:t>
      </w:r>
      <w:r w:rsidRPr="00246BD9">
        <w:t>dichotomy</w:t>
      </w:r>
      <w:r>
        <w:t xml:space="preserve"> exists because humans specialize in </w:t>
      </w:r>
      <w:r>
        <w:lastRenderedPageBreak/>
        <w:t>contextualizing thought versus automation uses patterns to make predictions (</w:t>
      </w:r>
      <w:proofErr w:type="spellStart"/>
      <w:r>
        <w:t>Schleer</w:t>
      </w:r>
      <w:proofErr w:type="spellEnd"/>
      <w:r>
        <w:t xml:space="preserve"> et al., 2019).</w:t>
      </w:r>
    </w:p>
    <w:p w14:paraId="31B4E838" w14:textId="4D9212D6" w:rsidR="0017336C" w:rsidRDefault="0017336C" w:rsidP="0017336C">
      <w:pPr>
        <w:pStyle w:val="Heading1"/>
      </w:pPr>
      <w:r>
        <w:t>Methodological Approach</w:t>
      </w:r>
    </w:p>
    <w:p w14:paraId="09DD32C9" w14:textId="49219472" w:rsidR="0017336C" w:rsidRPr="006761DC" w:rsidRDefault="0017336C" w:rsidP="0017336C">
      <w:pPr>
        <w:pStyle w:val="Heading1"/>
      </w:pPr>
      <w:r>
        <w:t>Ethical Issues</w:t>
      </w:r>
    </w:p>
    <w:sectPr w:rsidR="0017336C" w:rsidRPr="006761DC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541E7" w14:textId="77777777" w:rsidR="00EE34B3" w:rsidRDefault="00EE34B3" w:rsidP="0082223F">
      <w:pPr>
        <w:spacing w:line="240" w:lineRule="auto"/>
      </w:pPr>
      <w:r>
        <w:separator/>
      </w:r>
    </w:p>
  </w:endnote>
  <w:endnote w:type="continuationSeparator" w:id="0">
    <w:p w14:paraId="1896B860" w14:textId="77777777" w:rsidR="00EE34B3" w:rsidRDefault="00EE34B3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99B10" w14:textId="77777777" w:rsidR="00EE34B3" w:rsidRDefault="00EE34B3" w:rsidP="0082223F">
      <w:pPr>
        <w:spacing w:line="240" w:lineRule="auto"/>
      </w:pPr>
      <w:r>
        <w:separator/>
      </w:r>
    </w:p>
  </w:footnote>
  <w:footnote w:type="continuationSeparator" w:id="0">
    <w:p w14:paraId="55071FC9" w14:textId="77777777" w:rsidR="00EE34B3" w:rsidRDefault="00EE34B3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7336C"/>
    <w:rsid w:val="00183597"/>
    <w:rsid w:val="001B27C4"/>
    <w:rsid w:val="002806B7"/>
    <w:rsid w:val="00393036"/>
    <w:rsid w:val="003F4714"/>
    <w:rsid w:val="00401D65"/>
    <w:rsid w:val="004223E8"/>
    <w:rsid w:val="00424108"/>
    <w:rsid w:val="00475624"/>
    <w:rsid w:val="004A784B"/>
    <w:rsid w:val="0052132E"/>
    <w:rsid w:val="005B7079"/>
    <w:rsid w:val="006761DC"/>
    <w:rsid w:val="006D793E"/>
    <w:rsid w:val="0073677D"/>
    <w:rsid w:val="00753EA3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  <w:rsid w:val="00E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Hee19</b:Tag>
    <b:SourceType>JournalArticle</b:SourceType>
    <b:Guid>{65CEF17F-FC4C-4698-AEC5-F2EB2FC02FBA}</b:Guid>
    <b:Title>Agency plus automation</b:Title>
    <b:Year>2019</b:Year>
    <b:JournalName>Proceedings of the National Academy of Sciences of the United States of America</b:JournalName>
    <b:Pages>1844-1850</b:Pages>
    <b:Author>
      <b:Author>
        <b:NameList>
          <b:Person>
            <b:Last>Heer</b:Last>
            <b:First>J</b:First>
          </b:Person>
        </b:NameList>
      </b:Author>
    </b:Author>
    <b:Volume>116</b:Volume>
    <b:Issue>6</b:Issue>
    <b:DOI>10.1073/pnas.1807184115</b:DOI>
    <b:RefOrder>1</b:RefOrder>
  </b:Source>
  <b:Source>
    <b:Tag>Boi17</b:Tag>
    <b:SourceType>ConferenceProceedings</b:SourceType>
    <b:Guid>{D92B08D0-80E1-4B1E-88DF-B9A8C023B8DC}</b:Guid>
    <b:Title>Artificial Intelligence, automation, and its impact on data science</b:Title>
    <b:Year>2017</b:Year>
    <b:Pages>3571-3574</b:Pages>
    <b:City>Boston, MA</b:City>
    <b:Publisher>Institute of Electrical and Electronics Engineers</b:Publisher>
    <b:Author>
      <b:Author>
        <b:NameList>
          <b:Person>
            <b:Last>Boire</b:Last>
            <b:First>R</b:First>
          </b:Person>
        </b:NameList>
      </b:Author>
    </b:Author>
    <b:ConferenceName>IEEE International Conference on Big Data</b:ConferenceName>
    <b:DOI>10.1109/BigData.2017.8258349</b:DOI>
    <b:RefOrder>2</b:RefOrder>
  </b:Source>
  <b:Source>
    <b:Tag>Sch191</b:Tag>
    <b:SourceType>JournalArticle</b:SourceType>
    <b:Guid>{7C12F483-8BF0-42C3-84A2-71C76FE0FD08}</b:Guid>
    <b:Title>Toward versatile cooperative surgical robotics: a review and future challenges</b:Title>
    <b:Pages>1673-1686</b:Pages>
    <b:Year>2019</b:Year>
    <b:Author>
      <b:Author>
        <b:NameList>
          <b:Person>
            <b:Last>Schleer</b:Last>
            <b:First>P</b:First>
          </b:Person>
          <b:Person>
            <b:Last>Drobinsky</b:Last>
            <b:First>S</b:First>
          </b:Person>
          <b:Person>
            <b:Last>de la Fuente</b:Last>
            <b:First>M</b:First>
          </b:Person>
          <b:Person>
            <b:Last>Radermacher</b:Last>
            <b:First>K</b:First>
          </b:Person>
        </b:NameList>
      </b:Author>
    </b:Author>
    <b:JournalName>International Journal of Computer Assisted Radiology and Surgery</b:JournalName>
    <b:Volume>14</b:Volume>
    <b:Issue>10</b:Issue>
    <b:DOI>10.1007/s11548-019-01927-z</b:DOI>
    <b:RefOrder>3</b:RefOrder>
  </b:Source>
  <b:Source>
    <b:Tag>Shi20</b:Tag>
    <b:SourceType>JournalArticle</b:SourceType>
    <b:Guid>{FB9A81F9-835F-4047-A272-CC2F5738C805}</b:Guid>
    <b:Author>
      <b:Author>
        <b:NameList>
          <b:Person>
            <b:Last>Shimamura</b:Last>
            <b:First>R.,</b:First>
            <b:Middle>Feng, Q.,Koyama, Y., Nakatsuka, T., Fukayama, S., Hamasaki, M., Goto, M., &amp; Morishima, S.</b:Middle>
          </b:Person>
        </b:NameList>
      </b:Author>
    </b:Author>
    <b:Title>Audio–visual object removal in 360-degree videos</b:Title>
    <b:JournalName>The Visual Computer: International Journal of Computer Graphics</b:JournalName>
    <b:Year>2020</b:Year>
    <b:Publisher>36</b:Publisher>
    <b:Volume>10-12</b:Volume>
    <b:DOI>10.1007/s00371-020-01918-1</b:DOI>
    <b:RefOrder>4</b:RefOrder>
  </b:Source>
  <b:Source>
    <b:Tag>LeT19</b:Tag>
    <b:SourceType>JournalArticle</b:SourceType>
    <b:Guid>{C50DC4A9-A239-4D9F-AB24-A772FC0B76E8}</b:Guid>
    <b:Author>
      <b:Author>
        <b:NameList>
          <b:Person>
            <b:Last>Le</b:Last>
            <b:First>T</b:First>
          </b:Person>
          <b:Person>
            <b:Last>Almansa</b:Last>
            <b:First>A</b:First>
          </b:Person>
          <b:Person>
            <b:Last>Gousseau</b:Last>
            <b:First>Y</b:First>
          </b:Person>
          <b:Person>
            <b:Last>Masnou</b:Last>
            <b:First>S</b:First>
          </b:Person>
        </b:NameList>
      </b:Author>
    </b:Author>
    <b:Title>Object removal from complex videos using a few annotations</b:Title>
    <b:JournalName>Computational Visual Media</b:JournalName>
    <b:Year>2019</b:Year>
    <b:Pages>267-291</b:Pages>
    <b:Volume>5</b:Volume>
    <b:Issue>3</b:Issue>
    <b:DOI>10.1007/s41095-019-0145-0</b:DOI>
    <b:RefOrder>5</b:RefOrder>
  </b:Source>
</b:Sources>
</file>

<file path=customXml/itemProps1.xml><?xml version="1.0" encoding="utf-8"?>
<ds:datastoreItem xmlns:ds="http://schemas.openxmlformats.org/officeDocument/2006/customXml" ds:itemID="{0107CB60-D28E-4DA8-BB46-1583E04F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2021-02-14T19:58:00Z</dcterms:modified>
</cp:coreProperties>
</file>