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C2D7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386711C4" w:rsidR="00183DA7" w:rsidRDefault="00183DA7" w:rsidP="00183DA7">
      <w: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w:t>
      </w:r>
      <w:r>
        <w:t xml:space="preserve">  The methodology revolves around building artifacts, studying outcomes, and then deriving novel observations.  During this process, the researcher needs to be cognizant of ethical and quality challenges.  When the authors fail to address those risks, their efforts conclude with unacceptable and unused results.</w:t>
      </w:r>
    </w:p>
    <w:p w14:paraId="65214C0A" w14:textId="42C1B123" w:rsidR="00183DA7" w:rsidRDefault="00183DA7" w:rsidP="00183DA7">
      <w:pPr>
        <w:pStyle w:val="Heading1"/>
      </w:pPr>
      <w:r>
        <w:t>Ethical Challenges</w:t>
      </w:r>
    </w:p>
    <w:p w14:paraId="1BB56D93" w14:textId="49F8FA8F" w:rsidR="00183DA7"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then infer a concept’s value</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6FB124CD" w14:textId="693C31FC" w:rsidR="00183DA7" w:rsidRDefault="00183DA7" w:rsidP="00183DA7">
      <w:r>
        <w:tab/>
      </w:r>
      <w:r w:rsidR="005424D5">
        <w:t xml:space="preserve">Researchers need to understand their internal biases, in addition to </w:t>
      </w:r>
      <w:r w:rsidR="00D76FF6">
        <w:t xml:space="preserve">the </w:t>
      </w:r>
      <w:r w:rsidR="005424D5">
        <w:t>audience</w:t>
      </w:r>
      <w:r w:rsidR="00D76FF6">
        <w:t>’s norms</w:t>
      </w:r>
      <w:r w:rsidR="005424D5">
        <w:t xml:space="preserve">.  Everyone has historical and cultural defaults that lead to prejudices.  These subtle </w:t>
      </w:r>
      <w:r w:rsidR="005424D5">
        <w:t>classification</w:t>
      </w:r>
      <w:r w:rsidR="005424D5">
        <w:t xml:space="preserve"> differences influence our language, which constructs reality</w:t>
      </w:r>
      <w:sdt>
        <w:sdtPr>
          <w:id w:val="556896386"/>
          <w:citation/>
        </w:sdt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5424D5">
        <w:t>.  Picture two people, one fat another thin.  Then change those definitions to obese and anorexic.  Did all four imagined people have the same gender and race?</w:t>
      </w:r>
      <w:r w:rsidR="00261D19">
        <w:t xml:space="preserve">  Words matter and one needs to choose them carefully.</w:t>
      </w:r>
    </w:p>
    <w:p w14:paraId="6BB018FE" w14:textId="77777777" w:rsidR="001547F9" w:rsidRDefault="00D76FF6" w:rsidP="001547F9">
      <w:r>
        <w:tab/>
        <w:t>Numerous professional, regulatory, and advisory groups create frameworks that outline strategies for approaching ethical designs.</w:t>
      </w:r>
      <w:r w:rsidR="001547F9">
        <w:t xml:space="preserve">  These professional standards can contain conflicts of interest, hidden agendas, and inconsistent moral standards</w:t>
      </w:r>
      <w:sdt>
        <w:sdtPr>
          <w:id w:val="1972707840"/>
          <w:citation/>
        </w:sdtPr>
        <w:sdtContent>
          <w:r w:rsidR="001547F9">
            <w:fldChar w:fldCharType="begin"/>
          </w:r>
          <w:r w:rsidR="001547F9">
            <w:instrText xml:space="preserve"> CITATION Tan21 \l 1033 </w:instrText>
          </w:r>
          <w:r w:rsidR="001547F9">
            <w:fldChar w:fldCharType="separate"/>
          </w:r>
          <w:r w:rsidR="001547F9">
            <w:rPr>
              <w:noProof/>
            </w:rPr>
            <w:t xml:space="preserve"> (Tan, 2021)</w:t>
          </w:r>
          <w:r w:rsidR="001547F9">
            <w:fldChar w:fldCharType="end"/>
          </w:r>
        </w:sdtContent>
      </w:sdt>
      <w:r w:rsidR="001547F9">
        <w:t xml:space="preserve">. </w:t>
      </w:r>
      <w:r>
        <w:t xml:space="preserve">  The Belmont Report (1979) famously defines three core principles: respect for persons, beneficence, and justice.  </w:t>
      </w:r>
      <w:r>
        <w:lastRenderedPageBreak/>
        <w:t xml:space="preserve">These tenants ask researchers to treat everyone fairly and avoid harm.  However, even this simple statement has ambiguity.  </w:t>
      </w:r>
    </w:p>
    <w:p w14:paraId="43A60FC9" w14:textId="053B0259" w:rsidR="001547F9" w:rsidRDefault="001547F9" w:rsidP="001547F9">
      <w:pPr>
        <w:ind w:firstLine="720"/>
      </w:pPr>
      <w:r>
        <w:t xml:space="preserve">After fourth years, the ethical code requires modernization to align with the evolving worldviews.  </w:t>
      </w:r>
      <w:proofErr w:type="spellStart"/>
      <w:r w:rsidR="00D76FF6">
        <w:t>Adashi</w:t>
      </w:r>
      <w:proofErr w:type="spellEnd"/>
      <w:r w:rsidR="00D76FF6">
        <w:t xml:space="preserve"> et al. (2018) argue that the Belmont Report’s “distinction between research and practice is disappearing within the commercialization of present-day research (pg. 1347).”  </w:t>
      </w:r>
    </w:p>
    <w:p w14:paraId="70A4B365" w14:textId="5B0766DF" w:rsidR="00D76FF6" w:rsidRDefault="001547F9" w:rsidP="001547F9">
      <w:r>
        <w:t>Debates around the notion of “harm versus setback” demonstrate the need for more clarity.   Roberts (2021) states that researchers “must focus on risks of the research process itself, not outcome-related risks as downstream consequences are beyond the purview of ethical gatekeeping (pg. 15).”  Under this framework, an organization like Facebook can ethically track relationships between billions of people.  It has a moral (and potentially legal) mandate to protect its user’s privacy.  However, it is not bound to prevent malicious use-cases (e.g., election interference).  While this position resonates with specific cohorts, it faces fierce opposition from others.</w:t>
      </w:r>
    </w:p>
    <w:p w14:paraId="38BADF59" w14:textId="61F45519" w:rsidR="00261D19" w:rsidRDefault="00F03FC2" w:rsidP="00F03FC2">
      <w:pPr>
        <w:pStyle w:val="Heading1"/>
      </w:pPr>
      <w:r>
        <w:t>Quality Challenges</w:t>
      </w:r>
    </w:p>
    <w:p w14:paraId="757189E1" w14:textId="77777777" w:rsidR="007F26B3" w:rsidRPr="007F26B3" w:rsidRDefault="007F26B3" w:rsidP="007F26B3"/>
    <w:sectPr w:rsidR="007F26B3" w:rsidRPr="007F26B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A96A9" w14:textId="77777777" w:rsidR="00BC2D78" w:rsidRDefault="00BC2D78" w:rsidP="0082223F">
      <w:pPr>
        <w:spacing w:line="240" w:lineRule="auto"/>
      </w:pPr>
      <w:r>
        <w:separator/>
      </w:r>
    </w:p>
  </w:endnote>
  <w:endnote w:type="continuationSeparator" w:id="0">
    <w:p w14:paraId="58048E31" w14:textId="77777777" w:rsidR="00BC2D78" w:rsidRDefault="00BC2D7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255D" w14:textId="77777777" w:rsidR="00BC2D78" w:rsidRDefault="00BC2D78" w:rsidP="0082223F">
      <w:pPr>
        <w:spacing w:line="240" w:lineRule="auto"/>
      </w:pPr>
      <w:r>
        <w:separator/>
      </w:r>
    </w:p>
  </w:footnote>
  <w:footnote w:type="continuationSeparator" w:id="0">
    <w:p w14:paraId="30463523" w14:textId="77777777" w:rsidR="00BC2D78" w:rsidRDefault="00BC2D7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547F9"/>
    <w:rsid w:val="00183597"/>
    <w:rsid w:val="00183DA7"/>
    <w:rsid w:val="001B27C4"/>
    <w:rsid w:val="002516A9"/>
    <w:rsid w:val="00261D19"/>
    <w:rsid w:val="002806B7"/>
    <w:rsid w:val="002F2E59"/>
    <w:rsid w:val="003F4714"/>
    <w:rsid w:val="00401D65"/>
    <w:rsid w:val="004223E8"/>
    <w:rsid w:val="00424108"/>
    <w:rsid w:val="004A784B"/>
    <w:rsid w:val="005424D5"/>
    <w:rsid w:val="005B7079"/>
    <w:rsid w:val="005C39BA"/>
    <w:rsid w:val="006D793E"/>
    <w:rsid w:val="0073677D"/>
    <w:rsid w:val="007F26B3"/>
    <w:rsid w:val="0082223F"/>
    <w:rsid w:val="00877007"/>
    <w:rsid w:val="008B5129"/>
    <w:rsid w:val="009A757D"/>
    <w:rsid w:val="00B13ADF"/>
    <w:rsid w:val="00B83595"/>
    <w:rsid w:val="00BC2D78"/>
    <w:rsid w:val="00C54DC8"/>
    <w:rsid w:val="00C73692"/>
    <w:rsid w:val="00C93BB7"/>
    <w:rsid w:val="00CB25E9"/>
    <w:rsid w:val="00CD0F5B"/>
    <w:rsid w:val="00D0165E"/>
    <w:rsid w:val="00D75C7B"/>
    <w:rsid w:val="00D76FF6"/>
    <w:rsid w:val="00D85C7B"/>
    <w:rsid w:val="00DE2224"/>
    <w:rsid w:val="00E234E9"/>
    <w:rsid w:val="00ED3713"/>
    <w:rsid w:val="00F0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 w:id="9840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8</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9</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b:RefOrder>
  </b:Source>
</b:Sources>
</file>

<file path=customXml/itemProps1.xml><?xml version="1.0" encoding="utf-8"?>
<ds:datastoreItem xmlns:ds="http://schemas.openxmlformats.org/officeDocument/2006/customXml" ds:itemID="{B6FA8C07-0BD3-43D5-9474-245F4ADF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2021-05-02T18:34:00Z</dcterms:modified>
</cp:coreProperties>
</file>