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70ED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386711C4"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and unused results.</w:t>
      </w:r>
    </w:p>
    <w:p w14:paraId="65214C0A" w14:textId="42C1B123" w:rsidR="00183DA7" w:rsidRDefault="00183DA7" w:rsidP="00183DA7">
      <w:pPr>
        <w:pStyle w:val="Heading1"/>
      </w:pPr>
      <w:r>
        <w:t>Ethical Challenges</w:t>
      </w:r>
    </w:p>
    <w:p w14:paraId="1BB56D93" w14:textId="49F8FA8F" w:rsidR="00183DA7"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then infer a concept’s value</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6FB124CD" w14:textId="693C31FC" w:rsidR="00183DA7" w:rsidRDefault="00183DA7" w:rsidP="00183DA7">
      <w:r>
        <w:tab/>
      </w:r>
      <w:r w:rsidR="005424D5">
        <w:t xml:space="preserve">Researchers need to understand their internal biases, in addition to </w:t>
      </w:r>
      <w:r w:rsidR="00D76FF6">
        <w:t xml:space="preserve">the </w:t>
      </w:r>
      <w:r w:rsidR="005424D5">
        <w:t>audience</w:t>
      </w:r>
      <w:r w:rsidR="00D76FF6">
        <w:t>’s norms</w:t>
      </w:r>
      <w:r w:rsidR="005424D5">
        <w:t xml:space="preserve">.  Everyone has historical and cultural defaults that lead to prejudices.  These subtle </w:t>
      </w:r>
      <w:r w:rsidR="005424D5">
        <w:t>classification</w:t>
      </w:r>
      <w:r w:rsidR="005424D5">
        <w:t xml:space="preserve"> differences influence our language, which constructs 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Picture two people, one fat another thin.  Then change those definitions to obese and anorexic.  Did all four imagined people have the same gender and race?</w:t>
      </w:r>
      <w:r w:rsidR="00261D19">
        <w:t xml:space="preserve">  Words matter and one needs to choose them carefully.</w:t>
      </w:r>
    </w:p>
    <w:p w14:paraId="70A4B365" w14:textId="5B9241DC" w:rsidR="00D76FF6" w:rsidRDefault="00D76FF6" w:rsidP="00183DA7">
      <w:r>
        <w:tab/>
        <w:t xml:space="preserve">Numerous professional, regulatory, and advisory groups create frameworks that outline strategies for approaching ethical designs.  The Belmont Report (1979) famously defines three core principles: respect for persons, beneficence, and justice.  These tenants ask researchers to treat everyone fairly and avoid harm.  However, even this simple statement has ambiguity.  </w:t>
      </w:r>
      <w:proofErr w:type="spellStart"/>
      <w:r>
        <w:lastRenderedPageBreak/>
        <w:t>Adashi</w:t>
      </w:r>
      <w:proofErr w:type="spellEnd"/>
      <w:r>
        <w:t xml:space="preserve"> et al. (2018) argue that the Belmont Report’s “distinction between research and practice is disappearing within the commercialization of present-day research (pg. 1347).”  After fourth years, the ethical code requires modernization to align with the evolving worldviews.  Roberts (2021) proposes that ethical behavior focus further examine discrepancies of “harm versus setback.”  </w:t>
      </w:r>
    </w:p>
    <w:p w14:paraId="38BADF59" w14:textId="61AA8AF0" w:rsidR="00261D19" w:rsidRPr="00183DA7" w:rsidRDefault="00261D19" w:rsidP="00183DA7">
      <w:r>
        <w:tab/>
      </w:r>
    </w:p>
    <w:sectPr w:rsidR="00261D19" w:rsidRPr="00183DA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2F70A" w14:textId="77777777" w:rsidR="00F70ED6" w:rsidRDefault="00F70ED6" w:rsidP="0082223F">
      <w:pPr>
        <w:spacing w:line="240" w:lineRule="auto"/>
      </w:pPr>
      <w:r>
        <w:separator/>
      </w:r>
    </w:p>
  </w:endnote>
  <w:endnote w:type="continuationSeparator" w:id="0">
    <w:p w14:paraId="6C8A135D" w14:textId="77777777" w:rsidR="00F70ED6" w:rsidRDefault="00F70ED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87D7" w14:textId="77777777" w:rsidR="00F70ED6" w:rsidRDefault="00F70ED6" w:rsidP="0082223F">
      <w:pPr>
        <w:spacing w:line="240" w:lineRule="auto"/>
      </w:pPr>
      <w:r>
        <w:separator/>
      </w:r>
    </w:p>
  </w:footnote>
  <w:footnote w:type="continuationSeparator" w:id="0">
    <w:p w14:paraId="1FCC6F2B" w14:textId="77777777" w:rsidR="00F70ED6" w:rsidRDefault="00F70ED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83DA7"/>
    <w:rsid w:val="001B27C4"/>
    <w:rsid w:val="002516A9"/>
    <w:rsid w:val="00261D19"/>
    <w:rsid w:val="002806B7"/>
    <w:rsid w:val="002F2E59"/>
    <w:rsid w:val="003F4714"/>
    <w:rsid w:val="00401D65"/>
    <w:rsid w:val="004223E8"/>
    <w:rsid w:val="00424108"/>
    <w:rsid w:val="004A784B"/>
    <w:rsid w:val="005424D5"/>
    <w:rsid w:val="005B7079"/>
    <w:rsid w:val="005C39BA"/>
    <w:rsid w:val="006D793E"/>
    <w:rsid w:val="0073677D"/>
    <w:rsid w:val="0082223F"/>
    <w:rsid w:val="00877007"/>
    <w:rsid w:val="008B5129"/>
    <w:rsid w:val="009A757D"/>
    <w:rsid w:val="00B13ADF"/>
    <w:rsid w:val="00B83595"/>
    <w:rsid w:val="00C54DC8"/>
    <w:rsid w:val="00C73692"/>
    <w:rsid w:val="00C93BB7"/>
    <w:rsid w:val="00CB25E9"/>
    <w:rsid w:val="00CD0F5B"/>
    <w:rsid w:val="00D0165E"/>
    <w:rsid w:val="00D75C7B"/>
    <w:rsid w:val="00D76FF6"/>
    <w:rsid w:val="00D85C7B"/>
    <w:rsid w:val="00DE2224"/>
    <w:rsid w:val="00E234E9"/>
    <w:rsid w:val="00ED3713"/>
    <w:rsid w:val="00F7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6</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8</b:RefOrder>
  </b:Source>
</b:Sources>
</file>

<file path=customXml/itemProps1.xml><?xml version="1.0" encoding="utf-8"?>
<ds:datastoreItem xmlns:ds="http://schemas.openxmlformats.org/officeDocument/2006/customXml" ds:itemID="{C433A1C5-020B-41F8-8D4F-2F69AD3C4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2021-05-02T17:39:00Z</dcterms:modified>
</cp:coreProperties>
</file>