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3B2C9E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03B8E4D6" w:rsidR="0082223F" w:rsidRDefault="0082223F" w:rsidP="0082223F">
      <w:pPr>
        <w:pStyle w:val="Title"/>
      </w:pPr>
      <w:r>
        <w:t xml:space="preserve">Week </w:t>
      </w:r>
      <w:r w:rsidR="009D787D">
        <w:t>3</w:t>
      </w:r>
      <w:r>
        <w:t xml:space="preserve">: </w:t>
      </w:r>
      <w:r w:rsidR="002F2E59">
        <w:t>Constructive Research</w:t>
      </w:r>
      <w:r w:rsidR="009D787D">
        <w:t xml:space="preserve"> Problems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612E699C" w:rsidR="0082223F" w:rsidRDefault="0082223F" w:rsidP="0082223F">
      <w:pPr>
        <w:jc w:val="center"/>
      </w:pPr>
      <w:r>
        <w:t>TIM-</w:t>
      </w:r>
      <w:proofErr w:type="gramStart"/>
      <w:r w:rsidR="005C39BA">
        <w:t>7</w:t>
      </w:r>
      <w:r w:rsidR="002F2E59">
        <w:t>2</w:t>
      </w:r>
      <w:r w:rsidR="005C39BA">
        <w:t>4</w:t>
      </w:r>
      <w:r w:rsidR="002F2E59">
        <w:t>1</w:t>
      </w:r>
      <w:r>
        <w:t>:</w:t>
      </w:r>
      <w:r w:rsidR="002F2E59">
        <w:t>Constructive</w:t>
      </w:r>
      <w:proofErr w:type="gramEnd"/>
      <w:r w:rsidR="002F2E59">
        <w:t xml:space="preserve"> Research Design</w:t>
      </w:r>
    </w:p>
    <w:p w14:paraId="13BFFB78" w14:textId="5CEAD933" w:rsidR="00CB25E9" w:rsidRDefault="009D787D" w:rsidP="0082223F">
      <w:pPr>
        <w:jc w:val="center"/>
      </w:pPr>
      <w:r>
        <w:t>May 9,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5177B4A7" w:rsidR="0082223F" w:rsidRDefault="009D787D" w:rsidP="005B7079">
      <w:pPr>
        <w:pStyle w:val="Heading1"/>
      </w:pPr>
      <w:r>
        <w:lastRenderedPageBreak/>
        <w:t>Constructive Research Problems</w:t>
      </w:r>
    </w:p>
    <w:p w14:paraId="785A5B0F" w14:textId="31DE1ECD" w:rsidR="00690918" w:rsidRPr="00690918" w:rsidRDefault="00690918" w:rsidP="00690918">
      <w:pPr>
        <w:ind w:firstLine="720"/>
      </w:pPr>
      <w:r w:rsidRPr="00690918">
        <w:t>For this assignment, examine three constructive research studies published in peer-reviewed journals to evaluate the alignment of the research questions to the research problem and purpose.</w:t>
      </w:r>
    </w:p>
    <w:p w14:paraId="477FF55C" w14:textId="75463343" w:rsidR="00690918" w:rsidRDefault="00690918" w:rsidP="00690918">
      <w:pPr>
        <w:pStyle w:val="Caption"/>
      </w:pPr>
      <w:r>
        <w:t>Table 1: Outline of Constructive Research Papers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2787"/>
        <w:gridCol w:w="2338"/>
      </w:tblGrid>
      <w:tr w:rsidR="00690918" w14:paraId="0EDD057F" w14:textId="77777777" w:rsidTr="00690918">
        <w:tc>
          <w:tcPr>
            <w:tcW w:w="1615" w:type="dxa"/>
          </w:tcPr>
          <w:p w14:paraId="3E1B7346" w14:textId="77777777" w:rsidR="00690918" w:rsidRDefault="00690918" w:rsidP="00690918"/>
        </w:tc>
        <w:tc>
          <w:tcPr>
            <w:tcW w:w="2610" w:type="dxa"/>
          </w:tcPr>
          <w:p w14:paraId="3E22222A" w14:textId="79E7D721" w:rsidR="00690918" w:rsidRDefault="00690918" w:rsidP="00690918">
            <w:r>
              <w:t>E-Cig (2021)</w:t>
            </w:r>
          </w:p>
        </w:tc>
        <w:tc>
          <w:tcPr>
            <w:tcW w:w="2787" w:type="dxa"/>
          </w:tcPr>
          <w:p w14:paraId="3E858804" w14:textId="54A50EE3" w:rsidR="00690918" w:rsidRDefault="00690918" w:rsidP="00690918">
            <w:r>
              <w:t>Electric Distr. (2021)</w:t>
            </w:r>
          </w:p>
        </w:tc>
        <w:tc>
          <w:tcPr>
            <w:tcW w:w="2338" w:type="dxa"/>
          </w:tcPr>
          <w:p w14:paraId="23BFC45E" w14:textId="763CF7D2" w:rsidR="00690918" w:rsidRDefault="00690918" w:rsidP="00690918">
            <w:r>
              <w:t>Power People (2018)</w:t>
            </w:r>
          </w:p>
        </w:tc>
      </w:tr>
      <w:tr w:rsidR="00690918" w14:paraId="1EE5B34F" w14:textId="77777777" w:rsidTr="00690918">
        <w:tc>
          <w:tcPr>
            <w:tcW w:w="1615" w:type="dxa"/>
          </w:tcPr>
          <w:p w14:paraId="50288738" w14:textId="29B798CF" w:rsidR="00690918" w:rsidRDefault="00690918" w:rsidP="00690918">
            <w:r>
              <w:t>Problem</w:t>
            </w:r>
          </w:p>
        </w:tc>
        <w:tc>
          <w:tcPr>
            <w:tcW w:w="2610" w:type="dxa"/>
          </w:tcPr>
          <w:p w14:paraId="3DD83E05" w14:textId="77743222" w:rsidR="00690918" w:rsidRDefault="00690918" w:rsidP="00690918">
            <w:r>
              <w:t>Regulating electronic cigarettes – 29% of Indonesia smokes</w:t>
            </w:r>
          </w:p>
        </w:tc>
        <w:tc>
          <w:tcPr>
            <w:tcW w:w="2787" w:type="dxa"/>
          </w:tcPr>
          <w:p w14:paraId="2BD01504" w14:textId="493B9E11" w:rsidR="00690918" w:rsidRDefault="00690918" w:rsidP="00690918">
            <w:r>
              <w:t>Forecasting failures in electric power grids</w:t>
            </w:r>
          </w:p>
        </w:tc>
        <w:tc>
          <w:tcPr>
            <w:tcW w:w="2338" w:type="dxa"/>
          </w:tcPr>
          <w:p w14:paraId="68C31411" w14:textId="7C70DCED" w:rsidR="00690918" w:rsidRDefault="00690918" w:rsidP="00690918">
            <w:r>
              <w:t>Indian Villagers have low adoption rates of Prepaid electric</w:t>
            </w:r>
          </w:p>
        </w:tc>
      </w:tr>
      <w:tr w:rsidR="00690918" w14:paraId="335EFCDE" w14:textId="77777777" w:rsidTr="00690918">
        <w:tc>
          <w:tcPr>
            <w:tcW w:w="1615" w:type="dxa"/>
          </w:tcPr>
          <w:p w14:paraId="6D1C9D16" w14:textId="180E7AB9" w:rsidR="00690918" w:rsidRDefault="00690918" w:rsidP="00690918">
            <w:r>
              <w:t>Questions</w:t>
            </w:r>
          </w:p>
        </w:tc>
        <w:tc>
          <w:tcPr>
            <w:tcW w:w="2610" w:type="dxa"/>
          </w:tcPr>
          <w:p w14:paraId="67DF80A7" w14:textId="77777777" w:rsidR="00690918" w:rsidRDefault="00690918" w:rsidP="00690918">
            <w:pPr>
              <w:pStyle w:val="ListParagraph"/>
              <w:numPr>
                <w:ilvl w:val="0"/>
                <w:numId w:val="3"/>
              </w:numPr>
            </w:pPr>
            <w:r>
              <w:t>Are people for/against regulation?</w:t>
            </w:r>
          </w:p>
          <w:p w14:paraId="7DC34874" w14:textId="52A2FC45" w:rsidR="00690918" w:rsidRDefault="00690918" w:rsidP="00690918">
            <w:pPr>
              <w:pStyle w:val="ListParagraph"/>
              <w:numPr>
                <w:ilvl w:val="0"/>
                <w:numId w:val="3"/>
              </w:numPr>
            </w:pPr>
            <w:r>
              <w:t>What reasons</w:t>
            </w:r>
          </w:p>
        </w:tc>
        <w:tc>
          <w:tcPr>
            <w:tcW w:w="2787" w:type="dxa"/>
          </w:tcPr>
          <w:p w14:paraId="2ACB4521" w14:textId="063720CD" w:rsidR="00690918" w:rsidRDefault="00690918" w:rsidP="00690918">
            <w:pPr>
              <w:pStyle w:val="ListParagraph"/>
              <w:numPr>
                <w:ilvl w:val="0"/>
                <w:numId w:val="5"/>
              </w:numPr>
            </w:pPr>
            <w:r>
              <w:t xml:space="preserve">How can we use NoSQL stores to centralize data from </w:t>
            </w:r>
            <w:proofErr w:type="gramStart"/>
            <w:r>
              <w:t>heterogeneous sensors</w:t>
            </w:r>
            <w:proofErr w:type="gramEnd"/>
          </w:p>
          <w:p w14:paraId="47BF86E5" w14:textId="19EA442F" w:rsidR="00690918" w:rsidRDefault="00690918" w:rsidP="00690918">
            <w:pPr>
              <w:pStyle w:val="ListParagraph"/>
              <w:numPr>
                <w:ilvl w:val="0"/>
                <w:numId w:val="5"/>
              </w:numPr>
            </w:pPr>
            <w:r>
              <w:t>Can we build a forecasting model to predict reliability issues</w:t>
            </w:r>
          </w:p>
        </w:tc>
        <w:tc>
          <w:tcPr>
            <w:tcW w:w="2338" w:type="dxa"/>
          </w:tcPr>
          <w:p w14:paraId="4303A022" w14:textId="77777777" w:rsidR="00690918" w:rsidRDefault="00690918" w:rsidP="00690918">
            <w:pPr>
              <w:pStyle w:val="ListParagraph"/>
              <w:numPr>
                <w:ilvl w:val="0"/>
                <w:numId w:val="9"/>
              </w:numPr>
            </w:pPr>
            <w:r>
              <w:t xml:space="preserve">Why aren’t they using the </w:t>
            </w:r>
            <w:proofErr w:type="gramStart"/>
            <w:r>
              <w:t>service</w:t>
            </w:r>
            <w:proofErr w:type="gramEnd"/>
          </w:p>
          <w:p w14:paraId="19A6E9AB" w14:textId="08B8E7B3" w:rsidR="00690918" w:rsidRDefault="00690918" w:rsidP="00690918">
            <w:pPr>
              <w:pStyle w:val="ListParagraph"/>
              <w:numPr>
                <w:ilvl w:val="0"/>
                <w:numId w:val="9"/>
              </w:numPr>
            </w:pPr>
            <w:r>
              <w:t>Are there design changes to promote engagement</w:t>
            </w:r>
          </w:p>
        </w:tc>
      </w:tr>
      <w:tr w:rsidR="00690918" w14:paraId="1A9B5C52" w14:textId="77777777" w:rsidTr="00690918">
        <w:tc>
          <w:tcPr>
            <w:tcW w:w="1615" w:type="dxa"/>
          </w:tcPr>
          <w:p w14:paraId="5E17AFE1" w14:textId="330727B6" w:rsidR="00690918" w:rsidRDefault="00690918" w:rsidP="00690918">
            <w:r>
              <w:t>Design</w:t>
            </w:r>
          </w:p>
        </w:tc>
        <w:tc>
          <w:tcPr>
            <w:tcW w:w="2610" w:type="dxa"/>
          </w:tcPr>
          <w:p w14:paraId="0C421D5B" w14:textId="77777777" w:rsidR="00690918" w:rsidRDefault="00690918" w:rsidP="00690918">
            <w:pPr>
              <w:pStyle w:val="ListParagraph"/>
              <w:numPr>
                <w:ilvl w:val="0"/>
                <w:numId w:val="7"/>
              </w:numPr>
            </w:pPr>
            <w:r>
              <w:t>Collect Tweets</w:t>
            </w:r>
          </w:p>
          <w:p w14:paraId="1F743EAF" w14:textId="77777777" w:rsidR="00690918" w:rsidRDefault="00690918" w:rsidP="00690918">
            <w:pPr>
              <w:pStyle w:val="ListParagraph"/>
              <w:numPr>
                <w:ilvl w:val="0"/>
                <w:numId w:val="7"/>
              </w:numPr>
            </w:pPr>
            <w:r>
              <w:t xml:space="preserve">Apply clustering </w:t>
            </w:r>
            <w:proofErr w:type="gramStart"/>
            <w:r>
              <w:t>algorithms</w:t>
            </w:r>
            <w:proofErr w:type="gramEnd"/>
          </w:p>
          <w:p w14:paraId="4DC345C5" w14:textId="7EC33B1D" w:rsidR="00690918" w:rsidRDefault="00690918" w:rsidP="00690918">
            <w:pPr>
              <w:pStyle w:val="ListParagraph"/>
              <w:numPr>
                <w:ilvl w:val="0"/>
                <w:numId w:val="7"/>
              </w:numPr>
            </w:pPr>
            <w:r>
              <w:t>Compare the performance</w:t>
            </w:r>
          </w:p>
        </w:tc>
        <w:tc>
          <w:tcPr>
            <w:tcW w:w="2787" w:type="dxa"/>
          </w:tcPr>
          <w:p w14:paraId="31D9AE5A" w14:textId="77777777" w:rsidR="00690918" w:rsidRDefault="00690918" w:rsidP="00690918">
            <w:pPr>
              <w:pStyle w:val="ListParagraph"/>
              <w:numPr>
                <w:ilvl w:val="0"/>
                <w:numId w:val="10"/>
              </w:numPr>
            </w:pPr>
            <w:r>
              <w:t xml:space="preserve">Collect and simulate different usage requirements.  </w:t>
            </w:r>
          </w:p>
          <w:p w14:paraId="41488C0A" w14:textId="77777777" w:rsidR="00690918" w:rsidRDefault="00690918" w:rsidP="00690918">
            <w:pPr>
              <w:pStyle w:val="ListParagraph"/>
              <w:numPr>
                <w:ilvl w:val="0"/>
                <w:numId w:val="10"/>
              </w:numPr>
            </w:pPr>
            <w:r>
              <w:t xml:space="preserve">Build a forecasting </w:t>
            </w:r>
            <w:proofErr w:type="gramStart"/>
            <w:r>
              <w:t>model</w:t>
            </w:r>
            <w:proofErr w:type="gramEnd"/>
          </w:p>
          <w:p w14:paraId="57587A25" w14:textId="70539A96" w:rsidR="00690918" w:rsidRDefault="00690918" w:rsidP="00690918">
            <w:pPr>
              <w:pStyle w:val="ListParagraph"/>
              <w:numPr>
                <w:ilvl w:val="0"/>
                <w:numId w:val="10"/>
              </w:numPr>
            </w:pPr>
            <w:r>
              <w:t>Assess performance using historical data</w:t>
            </w:r>
          </w:p>
        </w:tc>
        <w:tc>
          <w:tcPr>
            <w:tcW w:w="2338" w:type="dxa"/>
          </w:tcPr>
          <w:p w14:paraId="426C4A42" w14:textId="77777777" w:rsidR="00690918" w:rsidRDefault="00690918" w:rsidP="00690918">
            <w:pPr>
              <w:pStyle w:val="ListParagraph"/>
              <w:numPr>
                <w:ilvl w:val="0"/>
                <w:numId w:val="11"/>
              </w:numPr>
            </w:pPr>
            <w:r>
              <w:t xml:space="preserve">Build disposable </w:t>
            </w:r>
            <w:proofErr w:type="gramStart"/>
            <w:r>
              <w:t>prototype</w:t>
            </w:r>
            <w:proofErr w:type="gramEnd"/>
          </w:p>
          <w:p w14:paraId="56497E14" w14:textId="77777777" w:rsidR="00690918" w:rsidRDefault="00690918" w:rsidP="00690918">
            <w:pPr>
              <w:pStyle w:val="ListParagraph"/>
              <w:numPr>
                <w:ilvl w:val="0"/>
                <w:numId w:val="11"/>
              </w:numPr>
            </w:pPr>
            <w:r>
              <w:t xml:space="preserve">Iterate with rural </w:t>
            </w:r>
            <w:proofErr w:type="gramStart"/>
            <w:r>
              <w:t>Indians</w:t>
            </w:r>
            <w:proofErr w:type="gramEnd"/>
          </w:p>
          <w:p w14:paraId="7852C6A3" w14:textId="47CC3CFC" w:rsidR="00690918" w:rsidRDefault="00690918" w:rsidP="00690918">
            <w:pPr>
              <w:pStyle w:val="ListParagraph"/>
              <w:numPr>
                <w:ilvl w:val="0"/>
                <w:numId w:val="11"/>
              </w:numPr>
            </w:pPr>
            <w:r>
              <w:t>Assess the suitability of the system</w:t>
            </w:r>
          </w:p>
        </w:tc>
      </w:tr>
      <w:tr w:rsidR="00690918" w14:paraId="4F78254F" w14:textId="77777777" w:rsidTr="00690918">
        <w:tc>
          <w:tcPr>
            <w:tcW w:w="1615" w:type="dxa"/>
          </w:tcPr>
          <w:p w14:paraId="55316811" w14:textId="3BD65B07" w:rsidR="00690918" w:rsidRDefault="00690918" w:rsidP="00690918">
            <w:r>
              <w:t>Study Purpose</w:t>
            </w:r>
          </w:p>
        </w:tc>
        <w:tc>
          <w:tcPr>
            <w:tcW w:w="2610" w:type="dxa"/>
          </w:tcPr>
          <w:p w14:paraId="63722971" w14:textId="6F8E4C28" w:rsidR="00690918" w:rsidRDefault="00690918" w:rsidP="00690918">
            <w:r>
              <w:t>Understand the impact of increased taxes and marketing</w:t>
            </w:r>
          </w:p>
        </w:tc>
        <w:tc>
          <w:tcPr>
            <w:tcW w:w="2787" w:type="dxa"/>
          </w:tcPr>
          <w:p w14:paraId="2DACC904" w14:textId="0C1C0C15" w:rsidR="00690918" w:rsidRDefault="00690918" w:rsidP="00690918">
            <w:r>
              <w:t>Improve efficiencies in the spot market and reduce customer costs</w:t>
            </w:r>
          </w:p>
        </w:tc>
        <w:tc>
          <w:tcPr>
            <w:tcW w:w="2338" w:type="dxa"/>
          </w:tcPr>
          <w:p w14:paraId="58A866AF" w14:textId="77D0948F" w:rsidR="00690918" w:rsidRDefault="00690918" w:rsidP="00690918">
            <w:r>
              <w:t xml:space="preserve">Prepaid electric business models require “enough” customers to be sustainable </w:t>
            </w:r>
          </w:p>
        </w:tc>
      </w:tr>
      <w:tr w:rsidR="00690918" w14:paraId="7CEE5358" w14:textId="77777777" w:rsidTr="00690918">
        <w:tc>
          <w:tcPr>
            <w:tcW w:w="1615" w:type="dxa"/>
          </w:tcPr>
          <w:p w14:paraId="4F3C2A74" w14:textId="54033919" w:rsidR="00690918" w:rsidRDefault="00690918" w:rsidP="00690918">
            <w:r>
              <w:t>Conclusions</w:t>
            </w:r>
          </w:p>
        </w:tc>
        <w:tc>
          <w:tcPr>
            <w:tcW w:w="2610" w:type="dxa"/>
          </w:tcPr>
          <w:p w14:paraId="2772B89A" w14:textId="77777777" w:rsidR="00690918" w:rsidRDefault="00690918" w:rsidP="00690918">
            <w:pPr>
              <w:pStyle w:val="ListParagraph"/>
              <w:numPr>
                <w:ilvl w:val="0"/>
                <w:numId w:val="4"/>
              </w:numPr>
            </w:pPr>
            <w:r>
              <w:t>The classifier reliably detects e-cig preferences.</w:t>
            </w:r>
          </w:p>
          <w:p w14:paraId="52358D6A" w14:textId="11D87093" w:rsidR="00690918" w:rsidRDefault="00690918" w:rsidP="00690918">
            <w:pPr>
              <w:pStyle w:val="ListParagraph"/>
              <w:numPr>
                <w:ilvl w:val="0"/>
                <w:numId w:val="4"/>
              </w:numPr>
            </w:pPr>
            <w:r>
              <w:t>Improvements exist across demographic tags, resampling, only uses Twitter</w:t>
            </w:r>
          </w:p>
        </w:tc>
        <w:tc>
          <w:tcPr>
            <w:tcW w:w="2787" w:type="dxa"/>
          </w:tcPr>
          <w:p w14:paraId="6F3319A0" w14:textId="77777777" w:rsidR="00690918" w:rsidRDefault="00690918" w:rsidP="00690918">
            <w:pPr>
              <w:pStyle w:val="ListParagraph"/>
              <w:numPr>
                <w:ilvl w:val="0"/>
                <w:numId w:val="8"/>
              </w:numPr>
            </w:pPr>
            <w:r>
              <w:t>The discharge model saves 2.5% daily ($10k on 375k)</w:t>
            </w:r>
          </w:p>
          <w:p w14:paraId="6B7EFD36" w14:textId="28FCD5BC" w:rsidR="00690918" w:rsidRDefault="00690918" w:rsidP="00690918">
            <w:pPr>
              <w:pStyle w:val="ListParagraph"/>
              <w:numPr>
                <w:ilvl w:val="0"/>
                <w:numId w:val="8"/>
              </w:numPr>
            </w:pPr>
            <w:r>
              <w:t>Deploying more broadly would be desirable</w:t>
            </w:r>
          </w:p>
        </w:tc>
        <w:tc>
          <w:tcPr>
            <w:tcW w:w="2338" w:type="dxa"/>
          </w:tcPr>
          <w:p w14:paraId="06071453" w14:textId="77777777" w:rsidR="00690918" w:rsidRDefault="00690918" w:rsidP="00690918">
            <w:pPr>
              <w:pStyle w:val="ListParagraph"/>
              <w:numPr>
                <w:ilvl w:val="0"/>
                <w:numId w:val="12"/>
              </w:numPr>
            </w:pPr>
            <w:r>
              <w:t xml:space="preserve">Technical details were </w:t>
            </w:r>
            <w:proofErr w:type="gramStart"/>
            <w:r>
              <w:t>confusing</w:t>
            </w:r>
            <w:proofErr w:type="gramEnd"/>
          </w:p>
          <w:p w14:paraId="35D213A3" w14:textId="77777777" w:rsidR="00690918" w:rsidRDefault="00690918" w:rsidP="00690918">
            <w:pPr>
              <w:pStyle w:val="ListParagraph"/>
              <w:numPr>
                <w:ilvl w:val="0"/>
                <w:numId w:val="12"/>
              </w:numPr>
            </w:pPr>
            <w:r>
              <w:t xml:space="preserve">Most rural people cannot read </w:t>
            </w:r>
            <w:proofErr w:type="gramStart"/>
            <w:r>
              <w:t>English</w:t>
            </w:r>
            <w:proofErr w:type="gramEnd"/>
          </w:p>
          <w:p w14:paraId="01C4FB6E" w14:textId="0286A950" w:rsidR="00690918" w:rsidRDefault="00690918" w:rsidP="00690918">
            <w:pPr>
              <w:pStyle w:val="ListParagraph"/>
              <w:numPr>
                <w:ilvl w:val="0"/>
                <w:numId w:val="12"/>
              </w:numPr>
            </w:pPr>
            <w:r>
              <w:t xml:space="preserve">Including the balance on the home screen was most useful </w:t>
            </w:r>
          </w:p>
        </w:tc>
      </w:tr>
    </w:tbl>
    <w:p w14:paraId="4E03B360" w14:textId="34284739" w:rsidR="00690918" w:rsidRDefault="00690918" w:rsidP="00690918">
      <w:pPr>
        <w:ind w:firstLine="720"/>
      </w:pPr>
    </w:p>
    <w:p w14:paraId="08412057" w14:textId="458259C9" w:rsidR="00BB3468" w:rsidRDefault="00BB3468">
      <w:r>
        <w:br w:type="page"/>
      </w:r>
    </w:p>
    <w:p w14:paraId="34BB45FE" w14:textId="012B8B82" w:rsidR="00BB3468" w:rsidRDefault="00BB3468" w:rsidP="00EB1417">
      <w:pPr>
        <w:pStyle w:val="Heading1"/>
      </w:pPr>
      <w:r>
        <w:lastRenderedPageBreak/>
        <w:t>Analyzing E-Cigarette Conversations on Twitter (2021)</w:t>
      </w:r>
    </w:p>
    <w:p w14:paraId="7E93B57E" w14:textId="088A78C5" w:rsidR="00EB1417" w:rsidRPr="00EB1417" w:rsidRDefault="00EB1417" w:rsidP="00EB1417">
      <w:pPr>
        <w:pStyle w:val="Heading2"/>
      </w:pPr>
      <w:r>
        <w:t>Problem</w:t>
      </w:r>
    </w:p>
    <w:p w14:paraId="291FEEBD" w14:textId="51401493" w:rsidR="00BB3468" w:rsidRDefault="00BB3468" w:rsidP="00BB3468">
      <w:r>
        <w:tab/>
        <w:t xml:space="preserve">Indonesia has one of the highest smoking populations (28.9%).  Regulators and lobbyists have </w:t>
      </w:r>
      <w:proofErr w:type="gramStart"/>
      <w:r>
        <w:t>concerns</w:t>
      </w:r>
      <w:proofErr w:type="gramEnd"/>
      <w:r>
        <w:t xml:space="preserve"> that e-cigarettes (e-cigs) will increase this value and create burdens on its public </w:t>
      </w:r>
      <w:r w:rsidRPr="00BB3468">
        <w:t>health</w:t>
      </w:r>
      <w:r>
        <w:t xml:space="preserve"> </w:t>
      </w:r>
      <w:r w:rsidRPr="00BB3468">
        <w:t>care</w:t>
      </w:r>
      <w:r>
        <w:t xml:space="preserve"> system.  They need to understand the population’s perspective on the safety, taxation, and regulation of e-cigs.</w:t>
      </w:r>
    </w:p>
    <w:p w14:paraId="35D21D2B" w14:textId="049D08A3" w:rsidR="00EB1417" w:rsidRDefault="00EB1417" w:rsidP="00EB1417">
      <w:pPr>
        <w:pStyle w:val="Heading2"/>
      </w:pPr>
      <w:r>
        <w:t>Approach</w:t>
      </w:r>
    </w:p>
    <w:p w14:paraId="441252E4" w14:textId="1761053F" w:rsidR="00AF0F4F" w:rsidRDefault="00BB3468" w:rsidP="00BB3468">
      <w:pPr>
        <w:ind w:firstLine="720"/>
      </w:pPr>
      <w:proofErr w:type="spellStart"/>
      <w:r>
        <w:t>Kaunag</w:t>
      </w:r>
      <w:proofErr w:type="spellEnd"/>
      <w:r>
        <w:t xml:space="preserve"> et al. (2021) approach this problem by training classification models with 8079 tweets discussing vaping (e.g., Favor or Against smoking).  Each tweet goes through a pre-processing pipeline to remove punctuation, duplicate words, and common keywords (e.g., lol).  After cleaning, the messages are tagged and clustered.  Finally, they tease</w:t>
      </w:r>
      <w:r w:rsidR="00C8473F">
        <w:t xml:space="preserve"> </w:t>
      </w:r>
      <w:r>
        <w:t>out the user’s decision rationale</w:t>
      </w:r>
      <w:r w:rsidR="002C29BF">
        <w:t xml:space="preserve"> using topic modeling (e.g., NMF and LDA).</w:t>
      </w:r>
    </w:p>
    <w:p w14:paraId="001305ED" w14:textId="5619D2A3" w:rsidR="00EB1417" w:rsidRDefault="00EB1417" w:rsidP="00EB1417">
      <w:pPr>
        <w:pStyle w:val="Heading2"/>
      </w:pPr>
      <w:r>
        <w:t>Conclusion</w:t>
      </w:r>
    </w:p>
    <w:p w14:paraId="37B29E2B" w14:textId="52A3E27F" w:rsidR="00EB1417" w:rsidRDefault="00EB1417" w:rsidP="00EB1417">
      <w:r>
        <w:tab/>
      </w:r>
      <w:r w:rsidR="000F6F03">
        <w:t xml:space="preserve">The authors deliver a process for analyzing e-cig sentiment and rationale from a corpus of tweets.  These insights enable regulators to track changes in public opinion and design more effective marketing campaigns.  </w:t>
      </w:r>
      <w:r w:rsidR="008A103C">
        <w:t xml:space="preserve">For instance, when Muhammadiyah fatwa approved e-cigs usage, an enormous </w:t>
      </w:r>
      <w:proofErr w:type="gramStart"/>
      <w:r w:rsidR="008A103C">
        <w:t>supporters</w:t>
      </w:r>
      <w:proofErr w:type="gramEnd"/>
      <w:r w:rsidR="008A103C">
        <w:t xml:space="preserve"> spike occurred.  </w:t>
      </w:r>
      <w:r w:rsidR="000F6F03">
        <w:t>Future efforts could also consider demographic information or consider additional social media sources.</w:t>
      </w:r>
    </w:p>
    <w:p w14:paraId="74350AA9" w14:textId="31E6DE25" w:rsidR="008A103C" w:rsidRDefault="008A103C">
      <w:r>
        <w:br w:type="page"/>
      </w:r>
    </w:p>
    <w:p w14:paraId="00E508E3" w14:textId="021BCBF8" w:rsidR="008A103C" w:rsidRDefault="002A6435" w:rsidP="002A6435">
      <w:pPr>
        <w:pStyle w:val="Heading1"/>
      </w:pPr>
      <w:r>
        <w:lastRenderedPageBreak/>
        <w:t>CPS Applications with Case Study of Intelligent Dispatch of PV (2021)</w:t>
      </w:r>
    </w:p>
    <w:p w14:paraId="7F6C99CB" w14:textId="750A2958" w:rsidR="002A6435" w:rsidRDefault="002A6435" w:rsidP="002A6435">
      <w:pPr>
        <w:pStyle w:val="Heading2"/>
      </w:pPr>
      <w:r>
        <w:t>Problem</w:t>
      </w:r>
    </w:p>
    <w:p w14:paraId="343AB1BB" w14:textId="6D7A7E3D" w:rsidR="002A6435" w:rsidRDefault="002A6435" w:rsidP="002A6435">
      <w:r>
        <w:tab/>
        <w:t xml:space="preserve">Distributed energy grids encounter intermittent failures, causing service disruptions in the </w:t>
      </w:r>
      <w:r>
        <w:t>availability</w:t>
      </w:r>
      <w:r>
        <w:t xml:space="preserve"> of electricity for customers.  Smart grids mitigate these issues with battery backup systems that collect and discharge </w:t>
      </w:r>
      <w:proofErr w:type="gramStart"/>
      <w:r>
        <w:t>energy</w:t>
      </w:r>
      <w:proofErr w:type="gramEnd"/>
      <w:r>
        <w:t xml:space="preserve"> as necessary.  Like other commodities, electricity has a variable spot price that reacts to supply and demand changes.  Power companies need to forecast these disruptions and charge their batteries before the prices jump.</w:t>
      </w:r>
      <w:r w:rsidR="00865731">
        <w:t xml:space="preserve">  It is challenging to build these predictive capabilities due to the limited standardization of sensor data.</w:t>
      </w:r>
    </w:p>
    <w:p w14:paraId="0F49D1F0" w14:textId="03927EE7" w:rsidR="00865731" w:rsidRDefault="00865731" w:rsidP="00865731">
      <w:pPr>
        <w:pStyle w:val="Heading2"/>
      </w:pPr>
      <w:r>
        <w:t>Approach</w:t>
      </w:r>
    </w:p>
    <w:p w14:paraId="261B2688" w14:textId="77777777" w:rsidR="00865731" w:rsidRPr="00865731" w:rsidRDefault="00865731" w:rsidP="00865731"/>
    <w:sectPr w:rsidR="00865731" w:rsidRPr="00865731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3A0A1" w14:textId="77777777" w:rsidR="003B2C9E" w:rsidRDefault="003B2C9E" w:rsidP="0082223F">
      <w:pPr>
        <w:spacing w:line="240" w:lineRule="auto"/>
      </w:pPr>
      <w:r>
        <w:separator/>
      </w:r>
    </w:p>
  </w:endnote>
  <w:endnote w:type="continuationSeparator" w:id="0">
    <w:p w14:paraId="19258E9B" w14:textId="77777777" w:rsidR="003B2C9E" w:rsidRDefault="003B2C9E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36D65" w14:textId="77777777" w:rsidR="003B2C9E" w:rsidRDefault="003B2C9E" w:rsidP="0082223F">
      <w:pPr>
        <w:spacing w:line="240" w:lineRule="auto"/>
      </w:pPr>
      <w:r>
        <w:separator/>
      </w:r>
    </w:p>
  </w:footnote>
  <w:footnote w:type="continuationSeparator" w:id="0">
    <w:p w14:paraId="33242175" w14:textId="77777777" w:rsidR="003B2C9E" w:rsidRDefault="003B2C9E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146CFF2B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2F2E59">
      <w:t>1</w:t>
    </w:r>
    <w:r w:rsidRPr="00877007">
      <w:t xml:space="preserve">: </w:t>
    </w:r>
    <w:r w:rsidR="002F2E59">
      <w:t>Constructive Research Design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50B"/>
    <w:multiLevelType w:val="hybridMultilevel"/>
    <w:tmpl w:val="701EA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181F79"/>
    <w:multiLevelType w:val="hybridMultilevel"/>
    <w:tmpl w:val="465EFE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F417E"/>
    <w:multiLevelType w:val="hybridMultilevel"/>
    <w:tmpl w:val="ED209B56"/>
    <w:lvl w:ilvl="0" w:tplc="1F86A6B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849A7"/>
    <w:multiLevelType w:val="hybridMultilevel"/>
    <w:tmpl w:val="510A4F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BF33BC"/>
    <w:multiLevelType w:val="hybridMultilevel"/>
    <w:tmpl w:val="31920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8E13E1"/>
    <w:multiLevelType w:val="hybridMultilevel"/>
    <w:tmpl w:val="6B147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93789E"/>
    <w:multiLevelType w:val="hybridMultilevel"/>
    <w:tmpl w:val="31920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9143D2"/>
    <w:multiLevelType w:val="hybridMultilevel"/>
    <w:tmpl w:val="6D9C6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78021C"/>
    <w:multiLevelType w:val="hybridMultilevel"/>
    <w:tmpl w:val="5ED8E7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BA1C19"/>
    <w:multiLevelType w:val="hybridMultilevel"/>
    <w:tmpl w:val="CFC8AE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C731FE"/>
    <w:multiLevelType w:val="hybridMultilevel"/>
    <w:tmpl w:val="608E9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9B5870"/>
    <w:multiLevelType w:val="hybridMultilevel"/>
    <w:tmpl w:val="A4DAB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wFANsYj7ItAAAA"/>
  </w:docVars>
  <w:rsids>
    <w:rsidRoot w:val="0082223F"/>
    <w:rsid w:val="00036708"/>
    <w:rsid w:val="00036F58"/>
    <w:rsid w:val="000F6F03"/>
    <w:rsid w:val="00183597"/>
    <w:rsid w:val="001B27C4"/>
    <w:rsid w:val="002516A9"/>
    <w:rsid w:val="002806B7"/>
    <w:rsid w:val="002A6435"/>
    <w:rsid w:val="002C29BF"/>
    <w:rsid w:val="002F2E59"/>
    <w:rsid w:val="003B2C9E"/>
    <w:rsid w:val="003F4714"/>
    <w:rsid w:val="00401D65"/>
    <w:rsid w:val="004223E8"/>
    <w:rsid w:val="00424108"/>
    <w:rsid w:val="004A784B"/>
    <w:rsid w:val="005B7079"/>
    <w:rsid w:val="005C39BA"/>
    <w:rsid w:val="00690918"/>
    <w:rsid w:val="006D793E"/>
    <w:rsid w:val="0073677D"/>
    <w:rsid w:val="0082223F"/>
    <w:rsid w:val="00865731"/>
    <w:rsid w:val="00877007"/>
    <w:rsid w:val="008A103C"/>
    <w:rsid w:val="008B5129"/>
    <w:rsid w:val="00977696"/>
    <w:rsid w:val="009A757D"/>
    <w:rsid w:val="009D787D"/>
    <w:rsid w:val="00A423F8"/>
    <w:rsid w:val="00AF0F4F"/>
    <w:rsid w:val="00B13ADF"/>
    <w:rsid w:val="00B83595"/>
    <w:rsid w:val="00BB3468"/>
    <w:rsid w:val="00C54DC8"/>
    <w:rsid w:val="00C73692"/>
    <w:rsid w:val="00C8473F"/>
    <w:rsid w:val="00C93BB7"/>
    <w:rsid w:val="00CB25E9"/>
    <w:rsid w:val="00D0165E"/>
    <w:rsid w:val="00D75C7B"/>
    <w:rsid w:val="00D85C7B"/>
    <w:rsid w:val="00DE2224"/>
    <w:rsid w:val="00E234E9"/>
    <w:rsid w:val="00EB1417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6909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Kau21</b:Tag>
    <b:SourceType>ConferenceProceedings</b:SourceType>
    <b:Guid>{FB5AA0E2-D713-4D56-B562-E2B35F335606}</b:Guid>
    <b:Title>Analyzing Stance and Topic of E-Cigarette Conversations on Twitter</b:Title>
    <b:Year>2021</b:Year>
    <b:Author>
      <b:Author>
        <b:NameList>
          <b:Person>
            <b:Last>Kaunang</b:Last>
            <b:First>C</b:First>
          </b:Person>
          <b:Person>
            <b:Last>Amastini</b:Last>
            <b:First>F</b:First>
          </b:Person>
          <b:Person>
            <b:Last>Mahendra</b:Last>
            <b:First>R</b:First>
          </b:Person>
        </b:NameList>
      </b:Author>
    </b:Author>
    <b:Pages>304-310</b:Pages>
    <b:ConferenceName>11th Annual Computing and Communication Workshop and Conference</b:ConferenceName>
    <b:City>Virtual</b:City>
    <b:Publisher>IEEE</b:Publisher>
    <b:DOI>10.1109/CCWC51732.2021.9375949</b:DOI>
    <b:RefOrder>1</b:RefOrder>
  </b:Source>
  <b:Source>
    <b:Tag>Rig21</b:Tag>
    <b:SourceType>ConferenceProceedings</b:SourceType>
    <b:Guid>{7CAC985D-CF7E-4DA6-9072-CCDB22A56A29}</b:Guid>
    <b:Author>
      <b:Author>
        <b:NameList>
          <b:Person>
            <b:Last>Riggs</b:Last>
            <b:First>H</b:First>
          </b:Person>
          <b:Person>
            <b:Last>Khan</b:Last>
            <b:First>M</b:First>
          </b:Person>
          <b:Person>
            <b:Last>Amir</b:Last>
            <b:First>A</b:First>
          </b:Person>
          <b:Person>
            <b:Last>Barranco</b:Last>
            <b:First>F</b:First>
          </b:Person>
          <b:Person>
            <b:Last>Tufail</b:Last>
            <b:First>S</b:First>
          </b:Person>
          <b:Person>
            <b:Last>Parvez</b:Last>
            <b:First>I</b:First>
          </b:Person>
          <b:Person>
            <b:Last>Sarwat</b:Last>
            <b:First>A</b:First>
          </b:Person>
        </b:NameList>
      </b:Author>
    </b:Author>
    <b:Title>Cyber Physical Systems Applications with a Case Study of Intelligent Dispatch of PV</b:Title>
    <b:Pages>1-7</b:Pages>
    <b:Year>2021</b:Year>
    <b:ConferenceName>SoutheastCon</b:ConferenceName>
    <b:City>Virtual</b:City>
    <b:Publisher>IEEE</b:Publisher>
    <b:DOI>10.1109/SoutheastCon45413.2021.9401943</b:DOI>
    <b:RefOrder>2</b:RefOrder>
  </b:Source>
  <b:Source>
    <b:Tag>Sim18</b:Tag>
    <b:SourceType>ConferenceProceedings</b:SourceType>
    <b:Guid>{4E76D737-62A8-4CA1-A7FD-42D916BADBE1}</b:Guid>
    <b:Author>
      <b:Author>
        <b:NameList>
          <b:Person>
            <b:Last>Simmonds</b:Last>
            <b:First>L</b:First>
          </b:Person>
        </b:NameList>
      </b:Author>
    </b:Author>
    <b:Title>Power to the People: Designing a better prepaid solar electricity service for rural Indian villages</b:Title>
    <b:Pages>80-84</b:Pages>
    <b:Year>2018</b:Year>
    <b:ConferenceName>9th Indian Conference on Human Computer Interaction</b:ConferenceName>
    <b:City>Bangalore, Karnataka. India</b:City>
    <b:Publisher>Srishti Institute of Art, Design, and Technology</b:Publisher>
    <b:DOI>10.1145/3297121.3297134</b:DOI>
    <b:RefOrder>3</b:RefOrder>
  </b:Source>
</b:Sources>
</file>

<file path=customXml/itemProps1.xml><?xml version="1.0" encoding="utf-8"?>
<ds:datastoreItem xmlns:ds="http://schemas.openxmlformats.org/officeDocument/2006/customXml" ds:itemID="{1E891A66-C501-4DEC-B0C3-63B7A334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28</cp:revision>
  <dcterms:created xsi:type="dcterms:W3CDTF">2019-05-19T17:38:00Z</dcterms:created>
  <dcterms:modified xsi:type="dcterms:W3CDTF">2021-05-09T15:36:00Z</dcterms:modified>
</cp:coreProperties>
</file>