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350F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the harmonic mean of the model’s precision and recall</w:t>
      </w:r>
      <w:r w:rsidRPr="00F27475">
        <w:t xml:space="preserve">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705CBFD5"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w:t>
      </w:r>
      <w:r>
        <w:t xml:space="preserve">This situation requires efficient data structures that can scale across large data sets.  </w:t>
      </w:r>
      <w:r>
        <w:t>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 xml:space="preserve">These test cases provide coverage over a vast corpus of </w:t>
      </w:r>
      <w:r>
        <w:t xml:space="preserve">English </w:t>
      </w:r>
      <w:r>
        <w:t>names</w:t>
      </w:r>
      <w:r>
        <w:t>.  This situation could miss standard name formats for African or European nations.  However, that limitation is outside the project’s scope.</w:t>
      </w:r>
    </w:p>
    <w:p w14:paraId="725CDB46" w14:textId="4DC1BEB3" w:rsidR="00CC688C" w:rsidRDefault="00CC688C" w:rsidP="00CC688C">
      <w:pPr>
        <w:pStyle w:val="Heading1"/>
      </w:pPr>
      <w:r>
        <w:lastRenderedPageBreak/>
        <w:t xml:space="preserve">Create a different string </w:t>
      </w:r>
      <w:proofErr w:type="gramStart"/>
      <w:r>
        <w:t>algorithm</w:t>
      </w:r>
      <w:proofErr w:type="gramEnd"/>
    </w:p>
    <w:p w14:paraId="1D2D489A" w14:textId="42369C53" w:rsidR="006A0F62" w:rsidRDefault="006A0F62" w:rsidP="006A0F62">
      <w:pPr>
        <w:pStyle w:val="Heading2"/>
      </w:pPr>
      <w:r>
        <w:t>Problem Statement</w:t>
      </w:r>
    </w:p>
    <w:p w14:paraId="1CBDA648" w14:textId="4417FA56" w:rsidR="006A0F62" w:rsidRDefault="006A0F62" w:rsidP="006A0F62">
      <w:r>
        <w:tab/>
        <w:t>Young children are difficult to understand because they lack conversational experience.  Their speech places the wrong tonal inflections or omits critical syllables.  Similar challenges exist with disabled adults and people learning new languages.  String comparison algorithms and machine learning can examine phrases and suggest possible translations.</w:t>
      </w:r>
    </w:p>
    <w:p w14:paraId="66EB9B71" w14:textId="0C237AEC" w:rsidR="006A0F62" w:rsidRDefault="006A0F62" w:rsidP="006A0F62">
      <w:pPr>
        <w:pStyle w:val="Heading2"/>
      </w:pPr>
      <w:r>
        <w:t>Value-Prop</w:t>
      </w:r>
    </w:p>
    <w:p w14:paraId="482F6E73" w14:textId="7B5CF156" w:rsidR="006A0F62" w:rsidRDefault="006A0F62" w:rsidP="006A0F62">
      <w:r>
        <w:tab/>
        <w:t>These capabilities would enable parents, guardians, and other caretakers to better understand their wards.  Those custodians could provide more accurate support with uninhibited communication, directly improving the ward’s quality of life.  It also opens the door for more focused vocal coaching.  For instance, when a toddler asks about “ah-</w:t>
      </w:r>
      <w:proofErr w:type="spellStart"/>
      <w:r>
        <w:t>paans</w:t>
      </w:r>
      <w:proofErr w:type="spellEnd"/>
      <w:r>
        <w:t>,” it becomes a perfect opportunity to enunciate “airplane.”</w:t>
      </w:r>
    </w:p>
    <w:p w14:paraId="37A37C22" w14:textId="256018D8" w:rsidR="006A0F62" w:rsidRDefault="006A0F62" w:rsidP="006A0F62">
      <w:pPr>
        <w:pStyle w:val="Heading2"/>
      </w:pPr>
      <w:r>
        <w:t>Success Criteria</w:t>
      </w:r>
    </w:p>
    <w:p w14:paraId="56F6F8FE" w14:textId="59DBD7AD" w:rsidR="00C76403" w:rsidRDefault="00C76403" w:rsidP="00C76403">
      <w:r>
        <w:tab/>
        <w:t xml:space="preserve">Novice speakers use a finite vocabulary that is dependent on age and experience.  Child developmental experts maintain this information in a standardized format.  The research team can use those lists as benchmarks for assessing the translation system coverage.  </w:t>
      </w:r>
    </w:p>
    <w:p w14:paraId="61EDDEFD" w14:textId="3D28E1C3" w:rsidR="00C76403" w:rsidRDefault="00C76403" w:rsidP="00C76403">
      <w:pPr>
        <w:pStyle w:val="Heading2"/>
      </w:pPr>
      <w:r>
        <w:t>Success Measurement</w:t>
      </w:r>
    </w:p>
    <w:p w14:paraId="1C26F591" w14:textId="27499D1C" w:rsidR="00C76403" w:rsidRDefault="00C76403" w:rsidP="00C76403">
      <w:pPr>
        <w:ind w:firstLine="720"/>
      </w:pPr>
      <w:r>
        <w:t xml:space="preserve">After the solution supports 80% of a specific benchmark, then it is considered passing.  Each word within the benchmark requires sufficiently high precision and recall scores.  </w:t>
      </w:r>
      <w:proofErr w:type="gramStart"/>
      <w:r>
        <w:t>It</w:t>
      </w:r>
      <w:proofErr w:type="gramEnd"/>
      <w:r>
        <w:t xml:space="preserve"> is unlikely that all benchmarks will be equally passing.  Consider the clarity difference between a three and four-year-old.  On the other hand, younger age groups have fewer words to match and </w:t>
      </w:r>
      <w:proofErr w:type="gramStart"/>
      <w:r>
        <w:t>could</w:t>
      </w:r>
      <w:proofErr w:type="gramEnd"/>
      <w:r>
        <w:t xml:space="preserve"> accurate by random chance.  The system needs to filter low confidence predictions to mitigate this risk.</w:t>
      </w:r>
    </w:p>
    <w:p w14:paraId="4E1D06B3" w14:textId="09DC98AF" w:rsidR="006365EE" w:rsidRDefault="006365EE" w:rsidP="006365EE">
      <w:pPr>
        <w:pStyle w:val="Heading2"/>
      </w:pPr>
      <w:r>
        <w:lastRenderedPageBreak/>
        <w:t>Validating Correctness</w:t>
      </w:r>
      <w:r w:rsidR="005D0F15">
        <w:t xml:space="preserve"> and Efficiency</w:t>
      </w:r>
    </w:p>
    <w:p w14:paraId="29C531BF" w14:textId="68E896A6" w:rsidR="00300410" w:rsidRDefault="00300410" w:rsidP="00C76403">
      <w:r>
        <w:tab/>
        <w:t xml:space="preserve">Users can interact with the translation service through their mobile phones.  The app will upload audio recordings to receive the top translations.  Next, the user clicks the most accurate translation or selects “these are wrong.”  </w:t>
      </w:r>
      <w:r w:rsidR="00DE33D7">
        <w:t>The</w:t>
      </w:r>
      <w:r>
        <w:t xml:space="preserve"> survey </w:t>
      </w:r>
      <w:r w:rsidR="00DE33D7">
        <w:t xml:space="preserve">responses influence the </w:t>
      </w:r>
      <w:r>
        <w:t>benchmark</w:t>
      </w:r>
      <w:r w:rsidR="00DE33D7">
        <w:t xml:space="preserve"> tracking and coverage requirements</w:t>
      </w:r>
      <w:r>
        <w:t>.</w:t>
      </w:r>
    </w:p>
    <w:p w14:paraId="71331120" w14:textId="735B4341" w:rsidR="005D0F15" w:rsidRPr="005D0F15" w:rsidRDefault="005D0F15" w:rsidP="005D0F15">
      <w:r>
        <w:tab/>
        <w:t>This research project has a finite budget, and it must economically process each request.  Users expect the app to be responsive and promptly return the list (e.g., less than 30 seconds).</w:t>
      </w:r>
    </w:p>
    <w:p w14:paraId="5D3497B7" w14:textId="2D3C5223" w:rsidR="00DE33D7" w:rsidRDefault="00DE33D7" w:rsidP="00DE33D7">
      <w:pPr>
        <w:pStyle w:val="Heading2"/>
      </w:pPr>
      <w:r>
        <w:t>Test Coverage</w:t>
      </w:r>
    </w:p>
    <w:p w14:paraId="05B79209" w14:textId="77777777" w:rsidR="00EF6039" w:rsidRDefault="00300410" w:rsidP="005D0F15">
      <w:r>
        <w:tab/>
      </w:r>
      <w:r w:rsidR="00DE33D7">
        <w:t>The initial pilot program will focus on a single new parent support group.  These are available in most urban communities and contain several children under five.  Once the basic functionality is verified, a broader study could include additional crowdsourcing.</w:t>
      </w:r>
      <w:r w:rsidR="005D0F15">
        <w:t xml:space="preserve">  An ideal cohort would cover fifty children between one to five years old.  This amount does not cover all household diversity scenarios but is sufficient for the prototype phase.</w:t>
      </w:r>
    </w:p>
    <w:p w14:paraId="77BDC622" w14:textId="77777777" w:rsidR="00EF6039" w:rsidRDefault="00EF6039">
      <w:r>
        <w:br w:type="page"/>
      </w:r>
    </w:p>
    <w:sdt>
      <w:sdtPr>
        <w:id w:val="1323780939"/>
        <w:docPartObj>
          <w:docPartGallery w:val="Bibliographies"/>
          <w:docPartUnique/>
        </w:docPartObj>
      </w:sdtPr>
      <w:sdtEndPr>
        <w:rPr>
          <w:b w:val="0"/>
        </w:rPr>
      </w:sdtEndPr>
      <w:sdtContent>
        <w:p w14:paraId="333F4001" w14:textId="302F73A3" w:rsidR="00EF6039" w:rsidRPr="00EF6039" w:rsidRDefault="00EF6039">
          <w:pPr>
            <w:pStyle w:val="Heading1"/>
            <w:rPr>
              <w:b w:val="0"/>
              <w:bCs/>
            </w:rPr>
          </w:pPr>
          <w:r w:rsidRPr="00EF6039">
            <w:rPr>
              <w:b w:val="0"/>
              <w:bCs/>
            </w:rPr>
            <w:t>References</w:t>
          </w:r>
        </w:p>
        <w:sdt>
          <w:sdtPr>
            <w:id w:val="-573587230"/>
            <w:bibliography/>
          </w:sdtPr>
          <w:sdtContent>
            <w:p w14:paraId="18CDF007" w14:textId="77777777" w:rsidR="00EF6039" w:rsidRDefault="00EF6039" w:rsidP="00EF6039">
              <w:pPr>
                <w:pStyle w:val="Bibliography"/>
                <w:ind w:left="720" w:hanging="720"/>
                <w:rPr>
                  <w:noProof/>
                </w:rPr>
              </w:pPr>
              <w:r>
                <w:fldChar w:fldCharType="begin"/>
              </w:r>
              <w:r>
                <w:instrText xml:space="preserve"> BIBLIOGRAPHY </w:instrText>
              </w:r>
              <w:r>
                <w:fldChar w:fldCharType="separate"/>
              </w:r>
              <w:r>
                <w:rPr>
                  <w:noProof/>
                </w:rPr>
                <w:t xml:space="preserve">Gong, J., Wang, L., &amp; Oard, D. (2009). Matching person names through name transformation. </w:t>
              </w:r>
              <w:r>
                <w:rPr>
                  <w:i/>
                  <w:iCs/>
                  <w:noProof/>
                </w:rPr>
                <w:t>Information and Knowledge Management</w:t>
              </w:r>
              <w:r>
                <w:rPr>
                  <w:noProof/>
                </w:rPr>
                <w:t xml:space="preserve"> (pp. 1875–1878). New York, NY. USA: ACM. doi:10.1145/1645953.1646253</w:t>
              </w:r>
            </w:p>
            <w:p w14:paraId="2F7E0620" w14:textId="2448CC71" w:rsidR="00EF6039" w:rsidRDefault="00EF6039" w:rsidP="00EF603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1C8735A4" w14:textId="04363F85" w:rsidR="00EF6039" w:rsidRDefault="00EF6039" w:rsidP="00EF6039">
              <w:r>
                <w:rPr>
                  <w:b/>
                  <w:bCs/>
                  <w:noProof/>
                </w:rPr>
                <w:fldChar w:fldCharType="end"/>
              </w:r>
            </w:p>
          </w:sdtContent>
        </w:sdt>
      </w:sdtContent>
    </w:sdt>
    <w:p w14:paraId="05AA94E9" w14:textId="6E6A1BEA" w:rsidR="00DE33D7" w:rsidRDefault="005D0F15" w:rsidP="005D0F15">
      <w:r>
        <w:t xml:space="preserve">  </w:t>
      </w:r>
    </w:p>
    <w:sectPr w:rsidR="00DE33D7"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7D3C" w14:textId="77777777" w:rsidR="000350F4" w:rsidRDefault="000350F4" w:rsidP="0082223F">
      <w:pPr>
        <w:spacing w:line="240" w:lineRule="auto"/>
      </w:pPr>
      <w:r>
        <w:separator/>
      </w:r>
    </w:p>
  </w:endnote>
  <w:endnote w:type="continuationSeparator" w:id="0">
    <w:p w14:paraId="063883F3" w14:textId="77777777" w:rsidR="000350F4" w:rsidRDefault="000350F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0F0C" w14:textId="77777777" w:rsidR="000350F4" w:rsidRDefault="000350F4" w:rsidP="0082223F">
      <w:pPr>
        <w:spacing w:line="240" w:lineRule="auto"/>
      </w:pPr>
      <w:r>
        <w:separator/>
      </w:r>
    </w:p>
  </w:footnote>
  <w:footnote w:type="continuationSeparator" w:id="0">
    <w:p w14:paraId="477CFD70" w14:textId="77777777" w:rsidR="000350F4" w:rsidRDefault="000350F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50F4"/>
    <w:rsid w:val="00036708"/>
    <w:rsid w:val="00036F58"/>
    <w:rsid w:val="00183597"/>
    <w:rsid w:val="001A7144"/>
    <w:rsid w:val="001B27C4"/>
    <w:rsid w:val="002516A9"/>
    <w:rsid w:val="002806B7"/>
    <w:rsid w:val="002F2E59"/>
    <w:rsid w:val="00300410"/>
    <w:rsid w:val="003F4714"/>
    <w:rsid w:val="00401D65"/>
    <w:rsid w:val="004223E8"/>
    <w:rsid w:val="00424108"/>
    <w:rsid w:val="004722CD"/>
    <w:rsid w:val="00493710"/>
    <w:rsid w:val="004A784B"/>
    <w:rsid w:val="005B7079"/>
    <w:rsid w:val="005C39BA"/>
    <w:rsid w:val="005D0F15"/>
    <w:rsid w:val="006365EE"/>
    <w:rsid w:val="006473A2"/>
    <w:rsid w:val="006A0F62"/>
    <w:rsid w:val="006D793E"/>
    <w:rsid w:val="0073677D"/>
    <w:rsid w:val="007A323C"/>
    <w:rsid w:val="007F62AF"/>
    <w:rsid w:val="0082223F"/>
    <w:rsid w:val="00877007"/>
    <w:rsid w:val="008B5129"/>
    <w:rsid w:val="009A757D"/>
    <w:rsid w:val="00A423F8"/>
    <w:rsid w:val="00B13ADF"/>
    <w:rsid w:val="00B83595"/>
    <w:rsid w:val="00C54DC8"/>
    <w:rsid w:val="00C73692"/>
    <w:rsid w:val="00C76403"/>
    <w:rsid w:val="00C93BB7"/>
    <w:rsid w:val="00CB25E9"/>
    <w:rsid w:val="00CC688C"/>
    <w:rsid w:val="00D0165E"/>
    <w:rsid w:val="00D75C7B"/>
    <w:rsid w:val="00D85C7B"/>
    <w:rsid w:val="00DE2224"/>
    <w:rsid w:val="00DE33D7"/>
    <w:rsid w:val="00E234E9"/>
    <w:rsid w:val="00ED3713"/>
    <w:rsid w:val="00EF6039"/>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2368">
      <w:bodyDiv w:val="1"/>
      <w:marLeft w:val="0"/>
      <w:marRight w:val="0"/>
      <w:marTop w:val="0"/>
      <w:marBottom w:val="0"/>
      <w:divBdr>
        <w:top w:val="none" w:sz="0" w:space="0" w:color="auto"/>
        <w:left w:val="none" w:sz="0" w:space="0" w:color="auto"/>
        <w:bottom w:val="none" w:sz="0" w:space="0" w:color="auto"/>
        <w:right w:val="none" w:sz="0" w:space="0" w:color="auto"/>
      </w:divBdr>
    </w:div>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2021-05-23T23:29:00Z</dcterms:modified>
</cp:coreProperties>
</file>