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C790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B8DCB9" w:rsidR="0082223F" w:rsidRDefault="0082223F" w:rsidP="0082223F">
      <w:pPr>
        <w:pStyle w:val="Title"/>
      </w:pPr>
      <w:r>
        <w:t xml:space="preserve">Week </w:t>
      </w:r>
      <w:r w:rsidR="00DB4BCE">
        <w:t>7</w:t>
      </w:r>
      <w:r>
        <w:t xml:space="preserve">: </w:t>
      </w:r>
      <w:r w:rsidR="00DB4BCE">
        <w:t>Assess Software Security Tools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64FFA5A4" w:rsidR="00CB25E9" w:rsidRDefault="00DB4BCE" w:rsidP="0082223F">
      <w:pPr>
        <w:jc w:val="center"/>
      </w:pPr>
      <w:r>
        <w:t>June 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BC6F2D3" w:rsidR="0082223F" w:rsidRDefault="00DB4BCE" w:rsidP="005B7079">
      <w:pPr>
        <w:pStyle w:val="Heading1"/>
      </w:pPr>
      <w:r>
        <w:lastRenderedPageBreak/>
        <w:t>Assess Software Security Tools</w:t>
      </w:r>
    </w:p>
    <w:p w14:paraId="0D077984" w14:textId="16A4CD7F" w:rsidR="00DB4BCE" w:rsidRDefault="00DB4BCE" w:rsidP="00DB4BCE">
      <w:r>
        <w:tab/>
      </w:r>
      <w:r>
        <w:t>It is incredibly challenging to build scalable, reliable, and secure software.  Examining the trivial example of HelloWorld (see Figure 1) produces more defects than lines of code.  First, this application fails when “</w:t>
      </w:r>
      <w:proofErr w:type="spellStart"/>
      <w:r w:rsidRPr="00A53A37">
        <w:rPr>
          <w:rFonts w:ascii="Courier New" w:hAnsi="Courier New" w:cs="Courier New"/>
          <w:sz w:val="22"/>
          <w:szCs w:val="22"/>
        </w:rPr>
        <w:t>þêÐŔŌ</w:t>
      </w:r>
      <w:proofErr w:type="spellEnd"/>
      <w:r>
        <w:t xml:space="preserve">” </w:t>
      </w:r>
      <w:proofErr w:type="gramStart"/>
      <w:r>
        <w:t>types</w:t>
      </w:r>
      <w:proofErr w:type="gramEnd"/>
      <w:r>
        <w:t xml:space="preserve"> his name.  Next, any input exceeding 256 characters crashes the program with a stack overflow.  Third, nothing prevents line seven from printing arbitrary memory due to the missing null-terminating marker.  Since there are 255</w:t>
      </w:r>
      <w:r>
        <w:rPr>
          <w:vertAlign w:val="superscript"/>
        </w:rPr>
        <w:t>25</w:t>
      </w:r>
      <w:r>
        <w:rPr>
          <w:vertAlign w:val="superscript"/>
        </w:rPr>
        <w:t>4</w:t>
      </w:r>
      <w:r>
        <w:t xml:space="preserve"> valid inputs, there is a good chance that quality assurance teams will miss some of these issues.</w:t>
      </w:r>
    </w:p>
    <w:p w14:paraId="72CD633D" w14:textId="77777777" w:rsidR="00DB4BCE" w:rsidRDefault="00DB4BCE" w:rsidP="00DB4BCE">
      <w:pPr>
        <w:pStyle w:val="Caption"/>
      </w:pPr>
      <w:r>
        <w:t xml:space="preserve">Figure 1: </w:t>
      </w:r>
      <w:proofErr w:type="spellStart"/>
      <w:r>
        <w:t>HelloWorld.c</w:t>
      </w:r>
      <w:proofErr w:type="spellEnd"/>
    </w:p>
    <w:p w14:paraId="4C651465" w14:textId="5702BC20" w:rsidR="00DB4BCE" w:rsidRDefault="00DB4BCE" w:rsidP="00DB4BCE">
      <w:pPr>
        <w:jc w:val="center"/>
      </w:pPr>
      <w:r>
        <w:rPr>
          <w:noProof/>
        </w:rPr>
        <w:drawing>
          <wp:inline distT="0" distB="0" distL="0" distR="0" wp14:anchorId="223EF9CE" wp14:editId="568D9E2F">
            <wp:extent cx="2638425" cy="164473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728062" cy="1700611"/>
                    </a:xfrm>
                    <a:prstGeom prst="rect">
                      <a:avLst/>
                    </a:prstGeom>
                  </pic:spPr>
                </pic:pic>
              </a:graphicData>
            </a:graphic>
          </wp:inline>
        </w:drawing>
      </w:r>
    </w:p>
    <w:p w14:paraId="1EF7F284" w14:textId="12E024CA" w:rsidR="00001271" w:rsidRDefault="00001271" w:rsidP="00001271">
      <w:pPr>
        <w:pStyle w:val="Heading2"/>
      </w:pPr>
      <w:r>
        <w:t>Security Tooling Categories</w:t>
      </w:r>
    </w:p>
    <w:p w14:paraId="0A5E4F03" w14:textId="3BF00272" w:rsidR="00DB4BCE" w:rsidRDefault="00DB4BCE" w:rsidP="00DB4BCE">
      <w:r>
        <w:tab/>
      </w:r>
      <w:r>
        <w:t>Software is continuously becoming more complex (Zhang et al., 2013).  While this example is relatively contrived, it highlights the existing risk proportional to additional intricacy</w:t>
      </w:r>
      <w:r>
        <w:t xml:space="preserve">.  Finding these subtle issues requires automation that examines dynamic runtime, static codebases, and package version numbers.  Dynamic analysis tools like Microsoft’s Application Verifier instrument system APIs (Application Programming </w:t>
      </w:r>
      <w:proofErr w:type="gramStart"/>
      <w:r>
        <w:t>Interfaces)(</w:t>
      </w:r>
      <w:proofErr w:type="gramEnd"/>
      <w:r>
        <w:t>Microsoft, 2017).  This approach can detect issues like use after free and similar memory corruption issues.  SonarQube transforms static code files into flow graphs to detect various defects (e.g., missing argument checks).  Clair compares file versions against its vulnerability database to detect outdated references</w:t>
      </w:r>
      <w:sdt>
        <w:sdtPr>
          <w:id w:val="1644689171"/>
          <w:citation/>
        </w:sdtPr>
        <w:sdtContent>
          <w:r>
            <w:fldChar w:fldCharType="begin"/>
          </w:r>
          <w:r>
            <w:instrText xml:space="preserve"> CITATION Qua21 \l 1033 </w:instrText>
          </w:r>
          <w:r>
            <w:fldChar w:fldCharType="separate"/>
          </w:r>
          <w:r>
            <w:rPr>
              <w:noProof/>
            </w:rPr>
            <w:t xml:space="preserve"> (Quary, 2021)</w:t>
          </w:r>
          <w:r>
            <w:fldChar w:fldCharType="end"/>
          </w:r>
        </w:sdtContent>
      </w:sdt>
      <w:r>
        <w:t xml:space="preserve">.  Each of these tools specializes in one </w:t>
      </w:r>
      <w:proofErr w:type="gramStart"/>
      <w:r>
        <w:t>particular aspect</w:t>
      </w:r>
      <w:proofErr w:type="gramEnd"/>
      <w:r>
        <w:t xml:space="preserve"> of automated analysis.</w:t>
      </w:r>
    </w:p>
    <w:p w14:paraId="019A9793" w14:textId="73785606" w:rsidR="00001271" w:rsidRDefault="00001271" w:rsidP="00001271">
      <w:pPr>
        <w:pStyle w:val="Heading2"/>
      </w:pPr>
      <w:r>
        <w:lastRenderedPageBreak/>
        <w:t>Potential Research Questions</w:t>
      </w:r>
    </w:p>
    <w:p w14:paraId="1FF52E2A" w14:textId="61A93975" w:rsidR="00001271" w:rsidRPr="00001271" w:rsidRDefault="00001271" w:rsidP="00001271">
      <w:r>
        <w:tab/>
        <w:t xml:space="preserve">Security research can be </w:t>
      </w:r>
      <w:proofErr w:type="gramStart"/>
      <w:r>
        <w:t>very broad</w:t>
      </w:r>
      <w:proofErr w:type="gramEnd"/>
      <w:r>
        <w:t xml:space="preserve"> or extremely narrow in scope.  For instance, a collection of tools can analyze an entire AppStore.  Casting this wide net enables population analysis (e.g., frequency of critical issues).  Alternatively, the project can focus on a single application or technology to hunt zero-day vulnerabilities.</w:t>
      </w:r>
    </w:p>
    <w:p w14:paraId="59F67C54" w14:textId="07E7F1D8" w:rsidR="00001271" w:rsidRDefault="00001271" w:rsidP="00001271">
      <w:pPr>
        <w:pStyle w:val="Heading1"/>
      </w:pPr>
      <w:r>
        <w:t>Using Clair</w:t>
      </w:r>
    </w:p>
    <w:p w14:paraId="5236897E" w14:textId="6229001E" w:rsidR="00DB4BCE" w:rsidRDefault="00DB4BCE" w:rsidP="00DB4BCE">
      <w:pPr>
        <w:ind w:firstLine="720"/>
      </w:pPr>
      <w:r>
        <w:t xml:space="preserve">Amazon Web Services (AWS) integrates Clair into its Amazon Elastic Container Register (ECR) service (see Figure 2).  The feature runs automatically after receiving an updated container version.  This </w:t>
      </w:r>
      <w:r w:rsidR="00001271">
        <w:t xml:space="preserve">specific report instance identifies three </w:t>
      </w:r>
      <w:r>
        <w:t xml:space="preserve">critical issues </w:t>
      </w:r>
      <w:r w:rsidR="00001271">
        <w:t xml:space="preserve">and </w:t>
      </w:r>
      <w:r>
        <w:t>demonstrates the tool’s value</w:t>
      </w:r>
      <w:r>
        <w:t>.</w:t>
      </w:r>
      <w:r w:rsidR="00001271">
        <w:t xml:space="preserve">  When administrators can effortlessly gain these insights, it promotes security and reliability across their infrastructure.</w:t>
      </w:r>
    </w:p>
    <w:p w14:paraId="74AE775B" w14:textId="320F794F" w:rsidR="00DB4BCE" w:rsidRDefault="00DB4BCE" w:rsidP="00DB4BCE">
      <w:pPr>
        <w:pStyle w:val="Caption"/>
      </w:pPr>
      <w:r>
        <w:t>Figure 2: Amazon ECR Vulnerability Analysis</w:t>
      </w:r>
    </w:p>
    <w:p w14:paraId="022C1390" w14:textId="48763C7A" w:rsidR="00DB4BCE" w:rsidRDefault="00DB4BCE" w:rsidP="00DB4BCE">
      <w:pPr>
        <w:jc w:val="center"/>
      </w:pPr>
      <w:r>
        <w:rPr>
          <w:noProof/>
        </w:rPr>
        <w:drawing>
          <wp:inline distT="0" distB="0" distL="0" distR="0" wp14:anchorId="4242FE3C" wp14:editId="69F3BD1A">
            <wp:extent cx="5733772" cy="3990975"/>
            <wp:effectExtent l="0" t="0" r="63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745201" cy="3998930"/>
                    </a:xfrm>
                    <a:prstGeom prst="rect">
                      <a:avLst/>
                    </a:prstGeom>
                  </pic:spPr>
                </pic:pic>
              </a:graphicData>
            </a:graphic>
          </wp:inline>
        </w:drawing>
      </w:r>
    </w:p>
    <w:p w14:paraId="6DF40681" w14:textId="7851862B" w:rsidR="00001271" w:rsidRDefault="00001271" w:rsidP="00001271">
      <w:pPr>
        <w:pStyle w:val="Heading2"/>
      </w:pPr>
      <w:r>
        <w:lastRenderedPageBreak/>
        <w:t>SCP Vulnerability</w:t>
      </w:r>
    </w:p>
    <w:p w14:paraId="5EC9A6FB" w14:textId="6A950BE4" w:rsidR="00001271" w:rsidRDefault="00001271" w:rsidP="00001271">
      <w:pPr>
        <w:ind w:firstLine="720"/>
      </w:pPr>
      <w:r>
        <w:t>Secure Copy (</w:t>
      </w:r>
      <w:proofErr w:type="spellStart"/>
      <w:r>
        <w:t>scp</w:t>
      </w:r>
      <w:proofErr w:type="spellEnd"/>
      <w:r>
        <w:t xml:space="preserve">) is a standard utility for transferring data between Linux environments.  This </w:t>
      </w:r>
      <w:proofErr w:type="gramStart"/>
      <w:r>
        <w:t>particular version</w:t>
      </w:r>
      <w:proofErr w:type="gramEnd"/>
      <w:r>
        <w:t xml:space="preserve"> is vulnerable to the caller modifying the search path</w:t>
      </w:r>
      <w:sdt>
        <w:sdtPr>
          <w:id w:val="771129003"/>
          <w:citation/>
        </w:sdtPr>
        <w:sdtContent>
          <w:r>
            <w:fldChar w:fldCharType="begin"/>
          </w:r>
          <w:r>
            <w:instrText xml:space="preserve"> CITATION Sus20 \l 1033 </w:instrText>
          </w:r>
          <w:r>
            <w:fldChar w:fldCharType="separate"/>
          </w:r>
          <w:r>
            <w:rPr>
              <w:noProof/>
            </w:rPr>
            <w:t xml:space="preserve"> (Suse, 2020)</w:t>
          </w:r>
          <w:r>
            <w:fldChar w:fldCharType="end"/>
          </w:r>
        </w:sdtContent>
      </w:sdt>
      <w:r>
        <w:t>.  When attackers change this value, it distorts relative to absolute path resolutions.  That behavior can cause the wrong binary to execute, compromising the system’s integrity.</w:t>
      </w:r>
    </w:p>
    <w:p w14:paraId="72F62156" w14:textId="7F732561" w:rsidR="00001271" w:rsidRDefault="00001271" w:rsidP="00001271">
      <w:pPr>
        <w:pStyle w:val="Heading2"/>
      </w:pPr>
      <w:r>
        <w:t>F2FS Vulnerability</w:t>
      </w:r>
    </w:p>
    <w:p w14:paraId="4449924C" w14:textId="7F6DEA41" w:rsidR="00001271" w:rsidRDefault="00001271" w:rsidP="00001271">
      <w:pPr>
        <w:ind w:firstLine="720"/>
      </w:pPr>
      <w:r>
        <w:t>Next, the Flash-Friendly File Systems (F2FS) is a purpose-built storage layer for NAND flash memory devices</w:t>
      </w:r>
      <w:sdt>
        <w:sdtPr>
          <w:id w:val="-85852221"/>
          <w:citation/>
        </w:sdtPr>
        <w:sdtContent>
          <w:r>
            <w:fldChar w:fldCharType="begin"/>
          </w:r>
          <w:r>
            <w:instrText xml:space="preserve"> CITATION Kernd \l 1033 </w:instrText>
          </w:r>
          <w:r>
            <w:fldChar w:fldCharType="separate"/>
          </w:r>
          <w:r>
            <w:rPr>
              <w:noProof/>
            </w:rPr>
            <w:t xml:space="preserve"> (Kernel, n.d.)</w:t>
          </w:r>
          <w:r>
            <w:fldChar w:fldCharType="end"/>
          </w:r>
        </w:sdtContent>
      </w:sdt>
      <w:r>
        <w:t>.  While removing dirty page segments, the implementation relies on a correctly set enumeration flag set.  Malicious or erroneous drivers that modify those flags can trigger an out-of-bounds write request</w:t>
      </w:r>
      <w:sdt>
        <w:sdtPr>
          <w:id w:val="-1532329344"/>
          <w:citation/>
        </w:sdtPr>
        <w:sdtContent>
          <w:r>
            <w:fldChar w:fldCharType="begin"/>
          </w:r>
          <w:r>
            <w:instrText xml:space="preserve"> CITATION Bob19 \l 1033 </w:instrText>
          </w:r>
          <w:r>
            <w:fldChar w:fldCharType="separate"/>
          </w:r>
          <w:r>
            <w:rPr>
              <w:noProof/>
            </w:rPr>
            <w:t xml:space="preserve"> (BobFuzzer, 2019)</w:t>
          </w:r>
          <w:r>
            <w:fldChar w:fldCharType="end"/>
          </w:r>
        </w:sdtContent>
      </w:sdt>
      <w:r>
        <w:t>.  Typically, this behavior introduces a Kernel Panic and forces a reboot.  However, a careful sequence of events could overwrite a crucial operating system data structure.  This extreme situation compromises the system’s security and integrity.</w:t>
      </w:r>
    </w:p>
    <w:p w14:paraId="36C0AEBC" w14:textId="2172FA93" w:rsidR="00001271" w:rsidRDefault="00001271" w:rsidP="00001271">
      <w:pPr>
        <w:pStyle w:val="Heading2"/>
      </w:pPr>
      <w:r>
        <w:t>MariaDB Vulnerability</w:t>
      </w:r>
    </w:p>
    <w:p w14:paraId="7AFAE397" w14:textId="028C6349" w:rsidR="00DB4BCE" w:rsidRDefault="00001271" w:rsidP="00001271">
      <w:pPr>
        <w:ind w:firstLine="720"/>
      </w:pPr>
      <w:r>
        <w:t>T</w:t>
      </w:r>
      <w:r w:rsidR="00DB4BCE">
        <w:t>he third issue states that the MariaDB service contains a command execution vulnerability.  Triggering the issue requires crafting a malicious search path that feeds into an evaluation (eval) function</w:t>
      </w:r>
      <w:sdt>
        <w:sdtPr>
          <w:id w:val="747312753"/>
          <w:citation/>
        </w:sdtPr>
        <w:sdtContent>
          <w:r w:rsidR="00DB4BCE">
            <w:fldChar w:fldCharType="begin"/>
          </w:r>
          <w:r w:rsidR="00DB4BCE">
            <w:instrText xml:space="preserve"> CITATION Mit21 \l 1033 </w:instrText>
          </w:r>
          <w:r w:rsidR="00DB4BCE">
            <w:fldChar w:fldCharType="separate"/>
          </w:r>
          <w:r w:rsidR="00DB4BCE">
            <w:rPr>
              <w:noProof/>
            </w:rPr>
            <w:t xml:space="preserve"> (Mitre, 2021)</w:t>
          </w:r>
          <w:r w:rsidR="00DB4BCE">
            <w:fldChar w:fldCharType="end"/>
          </w:r>
        </w:sdtContent>
      </w:sdt>
      <w:r w:rsidR="00DB4BCE">
        <w:t>.  Those commands execute as the MariaDB’s Linux account and permission set.  Attackers can leverage those credentials to modify the local machine or circumvent network firewalls.</w:t>
      </w:r>
      <w:r>
        <w:t xml:space="preserve">  However, modifying the search path requires SUPER user access to the database.  Administrators need to restrict that account (e.g., strong password) and avoid using it wherever possible (e.g., front-end webserver).</w:t>
      </w:r>
    </w:p>
    <w:p w14:paraId="4D233E30" w14:textId="77777777" w:rsidR="00001271" w:rsidRDefault="00001271">
      <w:pPr>
        <w:rPr>
          <w:b/>
        </w:rPr>
      </w:pPr>
      <w:r>
        <w:br w:type="page"/>
      </w:r>
    </w:p>
    <w:p w14:paraId="2D76B219" w14:textId="052A91AD" w:rsidR="00001271" w:rsidRDefault="00001271" w:rsidP="00001271">
      <w:pPr>
        <w:pStyle w:val="Heading1"/>
      </w:pPr>
      <w:r>
        <w:lastRenderedPageBreak/>
        <w:t xml:space="preserve">Conclusions </w:t>
      </w:r>
    </w:p>
    <w:p w14:paraId="40CCE110" w14:textId="5C1594F2" w:rsidR="00001271" w:rsidRDefault="00001271" w:rsidP="00001271">
      <w:pPr>
        <w:ind w:firstLine="720"/>
      </w:pPr>
      <w:r>
        <w:t>Even trivial software packages contain vulnerabilities.  Software developers need to find these issues through sophisticated tooling like Clair.  AWS automatically surfaces some of those defects through reporting capabilities.  Those reports provide categorical findings counts and quantify its effectiveness.  Administrators can also follow the report links for instructions on upgrading the impacted libraries.  This workflow provides the visibility and prioritization necessary to keep the infrastructure secure.</w:t>
      </w:r>
    </w:p>
    <w:p w14:paraId="42FFFC21" w14:textId="12BC74C9" w:rsidR="00001271" w:rsidRDefault="00001271" w:rsidP="00001271">
      <w:pPr>
        <w:ind w:firstLine="720"/>
      </w:pPr>
      <w:r>
        <w:t xml:space="preserve">Researchers can also use these tools to study app populations (e.g., Google </w:t>
      </w:r>
      <w:proofErr w:type="spellStart"/>
      <w:r>
        <w:t>PlayStore</w:t>
      </w:r>
      <w:proofErr w:type="spellEnd"/>
      <w:r>
        <w:t xml:space="preserve">).  Numerous statistical questions arise from those investigations.  For instance, how many vulnerabilities does the typical app contain?  Those discoveries influence training programs and future API designs.  That ultimately makes the ecosystem more secure, reliable, and </w:t>
      </w:r>
      <w:proofErr w:type="gramStart"/>
      <w:r>
        <w:t>developer-friendly</w:t>
      </w:r>
      <w:proofErr w:type="gramEnd"/>
      <w:r>
        <w:t>.</w:t>
      </w:r>
    </w:p>
    <w:p w14:paraId="21A9599E" w14:textId="78DFCDC6" w:rsidR="00001271" w:rsidRDefault="00001271" w:rsidP="00001271"/>
    <w:p w14:paraId="3CE61ACB" w14:textId="629EACF2" w:rsidR="00001271" w:rsidRDefault="00001271">
      <w:r>
        <w:br w:type="page"/>
      </w:r>
    </w:p>
    <w:sdt>
      <w:sdtPr>
        <w:id w:val="686639353"/>
        <w:docPartObj>
          <w:docPartGallery w:val="Bibliographies"/>
          <w:docPartUnique/>
        </w:docPartObj>
      </w:sdtPr>
      <w:sdtEndPr>
        <w:rPr>
          <w:b w:val="0"/>
        </w:rPr>
      </w:sdtEndPr>
      <w:sdtContent>
        <w:p w14:paraId="48664D6A" w14:textId="399E9994" w:rsidR="00001271" w:rsidRDefault="00001271">
          <w:pPr>
            <w:pStyle w:val="Heading1"/>
          </w:pPr>
          <w:r>
            <w:t>References</w:t>
          </w:r>
        </w:p>
        <w:sdt>
          <w:sdtPr>
            <w:id w:val="-573587230"/>
            <w:bibliography/>
          </w:sdtPr>
          <w:sdtContent>
            <w:p w14:paraId="08728D7E" w14:textId="77777777" w:rsidR="00001271" w:rsidRDefault="00001271" w:rsidP="00001271">
              <w:pPr>
                <w:pStyle w:val="Bibliography"/>
                <w:ind w:left="720" w:hanging="720"/>
                <w:rPr>
                  <w:noProof/>
                </w:rPr>
              </w:pPr>
              <w:r>
                <w:fldChar w:fldCharType="begin"/>
              </w:r>
              <w:r>
                <w:instrText xml:space="preserve"> BIBLIOGRAPHY </w:instrText>
              </w:r>
              <w:r>
                <w:fldChar w:fldCharType="separate"/>
              </w:r>
              <w:r>
                <w:rPr>
                  <w:noProof/>
                </w:rPr>
                <w:t xml:space="preserve">BobFuzzer. (2019, December 27). </w:t>
              </w:r>
              <w:r>
                <w:rPr>
                  <w:i/>
                  <w:iCs/>
                  <w:noProof/>
                </w:rPr>
                <w:t>CVE-2019-19814</w:t>
              </w:r>
              <w:r>
                <w:rPr>
                  <w:noProof/>
                </w:rPr>
                <w:t>. Retrieved from GitHub: https://github.com/bobfuzzer/CVE/tree/master/CVE-2019-19814</w:t>
              </w:r>
            </w:p>
            <w:p w14:paraId="2DAAE195" w14:textId="36BF5268" w:rsidR="00001271" w:rsidRDefault="00001271" w:rsidP="00001271">
              <w:pPr>
                <w:pStyle w:val="Bibliography"/>
                <w:ind w:left="720" w:hanging="720"/>
                <w:rPr>
                  <w:noProof/>
                </w:rPr>
              </w:pPr>
              <w:r>
                <w:rPr>
                  <w:noProof/>
                </w:rPr>
                <w:t xml:space="preserve">Kernel. (n.d.). </w:t>
              </w:r>
              <w:r>
                <w:rPr>
                  <w:i/>
                  <w:iCs/>
                  <w:noProof/>
                </w:rPr>
                <w:t>What is Flash-Friendly File System</w:t>
              </w:r>
              <w:r>
                <w:rPr>
                  <w:noProof/>
                </w:rPr>
                <w:t>? Retrieved from Kernel: https://www.kernel.org/doc/html/latest/filesystems/f2fs.html</w:t>
              </w:r>
            </w:p>
            <w:p w14:paraId="0F9CDD8F" w14:textId="77777777" w:rsidR="00001271" w:rsidRDefault="00001271" w:rsidP="00001271">
              <w:pPr>
                <w:pStyle w:val="Bibliography"/>
                <w:ind w:left="720" w:hanging="720"/>
                <w:rPr>
                  <w:noProof/>
                </w:rPr>
              </w:pPr>
              <w:r>
                <w:rPr>
                  <w:noProof/>
                </w:rPr>
                <w:t xml:space="preserve">Microsoft. (2017, April 20). </w:t>
              </w:r>
              <w:r>
                <w:rPr>
                  <w:i/>
                  <w:iCs/>
                  <w:noProof/>
                </w:rPr>
                <w:t>Application Verifier</w:t>
              </w:r>
              <w:r>
                <w:rPr>
                  <w:noProof/>
                </w:rPr>
                <w:t>. Retrieved from Microsoft: https://docs.microsoft.com/en-us/windows-hardware/drivers/devtest/application-verifier</w:t>
              </w:r>
            </w:p>
            <w:p w14:paraId="0FEC74EB" w14:textId="77777777" w:rsidR="00001271" w:rsidRDefault="00001271" w:rsidP="00001271">
              <w:pPr>
                <w:pStyle w:val="Bibliography"/>
                <w:ind w:left="720" w:hanging="720"/>
                <w:rPr>
                  <w:noProof/>
                </w:rPr>
              </w:pPr>
              <w:r>
                <w:rPr>
                  <w:noProof/>
                </w:rPr>
                <w:t xml:space="preserve">Mitre. (2021, March 3). </w:t>
              </w:r>
              <w:r>
                <w:rPr>
                  <w:i/>
                  <w:iCs/>
                  <w:noProof/>
                </w:rPr>
                <w:t>CVE-2021-27928</w:t>
              </w:r>
              <w:r>
                <w:rPr>
                  <w:noProof/>
                </w:rPr>
                <w:t>. Retrieved from CVE Database: http://cve.mitre.org/cgi-bin/cvename.cgi?name=CVE-2021-27928</w:t>
              </w:r>
            </w:p>
            <w:p w14:paraId="7D4E1729" w14:textId="77777777" w:rsidR="00001271" w:rsidRDefault="00001271" w:rsidP="00001271">
              <w:pPr>
                <w:pStyle w:val="Bibliography"/>
                <w:ind w:left="720" w:hanging="720"/>
                <w:rPr>
                  <w:noProof/>
                </w:rPr>
              </w:pPr>
              <w:r>
                <w:rPr>
                  <w:noProof/>
                </w:rPr>
                <w:t xml:space="preserve">Quary. (2021). </w:t>
              </w:r>
              <w:r>
                <w:rPr>
                  <w:i/>
                  <w:iCs/>
                  <w:noProof/>
                </w:rPr>
                <w:t>Clair</w:t>
              </w:r>
              <w:r>
                <w:rPr>
                  <w:noProof/>
                </w:rPr>
                <w:t>. Retrieved from GitHub: https://github.com/quay/clair</w:t>
              </w:r>
            </w:p>
            <w:p w14:paraId="37DB7E26" w14:textId="1691DBFD" w:rsidR="00001271" w:rsidRDefault="00001271" w:rsidP="00001271">
              <w:pPr>
                <w:pStyle w:val="Bibliography"/>
                <w:ind w:left="720" w:hanging="720"/>
                <w:rPr>
                  <w:noProof/>
                </w:rPr>
              </w:pPr>
              <w:r>
                <w:rPr>
                  <w:noProof/>
                </w:rPr>
                <w:t xml:space="preserve">SonarQube. (2021). </w:t>
              </w:r>
              <w:r>
                <w:rPr>
                  <w:i/>
                  <w:iCs/>
                  <w:noProof/>
                </w:rPr>
                <w:t>What is SonarQube</w:t>
              </w:r>
              <w:r>
                <w:rPr>
                  <w:noProof/>
                </w:rPr>
                <w:t>? Retrieved from SonarQube: https://www.sonarqube.org/</w:t>
              </w:r>
            </w:p>
            <w:p w14:paraId="7A835430" w14:textId="77777777" w:rsidR="00001271" w:rsidRDefault="00001271" w:rsidP="00001271">
              <w:pPr>
                <w:pStyle w:val="Bibliography"/>
                <w:ind w:left="720" w:hanging="720"/>
                <w:rPr>
                  <w:noProof/>
                </w:rPr>
              </w:pPr>
              <w:r>
                <w:rPr>
                  <w:noProof/>
                </w:rPr>
                <w:t xml:space="preserve">Suse. (2020, June 18). </w:t>
              </w:r>
              <w:r>
                <w:rPr>
                  <w:i/>
                  <w:iCs/>
                  <w:noProof/>
                </w:rPr>
                <w:t>Bug 1158095 - (CVE-2019-14889) VUL-0: CVE-2019-14889: libssh: unsanitized location in scp could lead to unwanted command execution</w:t>
              </w:r>
              <w:r>
                <w:rPr>
                  <w:noProof/>
                </w:rPr>
                <w:t>. Retrieved from Bugzilla: https://bugzilla.suse.com/show_bug.cgi?id=CVE-2019-14889</w:t>
              </w:r>
            </w:p>
            <w:p w14:paraId="1B41B438" w14:textId="77777777" w:rsidR="00001271" w:rsidRDefault="00001271" w:rsidP="00001271">
              <w:pPr>
                <w:pStyle w:val="Bibliography"/>
                <w:ind w:left="720" w:hanging="720"/>
                <w:rPr>
                  <w:noProof/>
                </w:rPr>
              </w:pPr>
              <w:r>
                <w:rPr>
                  <w:noProof/>
                </w:rPr>
                <w:t xml:space="preserve">Zhang, J., Sagar, S., &amp; Shihab, E. (2013). The evolution of mobile apps. </w:t>
              </w:r>
              <w:r>
                <w:rPr>
                  <w:i/>
                  <w:iCs/>
                  <w:noProof/>
                </w:rPr>
                <w:t>International Workshop on Software Development Lifecycle for Mobile</w:t>
              </w:r>
              <w:r>
                <w:rPr>
                  <w:noProof/>
                </w:rPr>
                <w:t xml:space="preserve"> (pp. 1-8). New York, NY, USA: Association for Computing Machinery. doi:10.1145/2501553.2501554</w:t>
              </w:r>
            </w:p>
            <w:p w14:paraId="17B4A936" w14:textId="5BDFF3F3" w:rsidR="00001271" w:rsidRDefault="00001271" w:rsidP="00001271">
              <w:r>
                <w:rPr>
                  <w:b/>
                  <w:bCs/>
                  <w:noProof/>
                </w:rPr>
                <w:fldChar w:fldCharType="end"/>
              </w:r>
            </w:p>
          </w:sdtContent>
        </w:sdt>
      </w:sdtContent>
    </w:sdt>
    <w:p w14:paraId="7C5D9986" w14:textId="77777777" w:rsidR="00001271" w:rsidRDefault="00001271" w:rsidP="00001271"/>
    <w:p w14:paraId="1980B351" w14:textId="517864B6" w:rsidR="00001271" w:rsidRDefault="00001271" w:rsidP="00001271">
      <w:r>
        <w:br w:type="page"/>
      </w:r>
    </w:p>
    <w:sectPr w:rsidR="00001271"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A7D4" w14:textId="77777777" w:rsidR="00EC7902" w:rsidRDefault="00EC7902" w:rsidP="0082223F">
      <w:pPr>
        <w:spacing w:line="240" w:lineRule="auto"/>
      </w:pPr>
      <w:r>
        <w:separator/>
      </w:r>
    </w:p>
  </w:endnote>
  <w:endnote w:type="continuationSeparator" w:id="0">
    <w:p w14:paraId="3E6C4F8C" w14:textId="77777777" w:rsidR="00EC7902" w:rsidRDefault="00EC790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37A1" w14:textId="77777777" w:rsidR="00EC7902" w:rsidRDefault="00EC7902" w:rsidP="0082223F">
      <w:pPr>
        <w:spacing w:line="240" w:lineRule="auto"/>
      </w:pPr>
      <w:r>
        <w:separator/>
      </w:r>
    </w:p>
  </w:footnote>
  <w:footnote w:type="continuationSeparator" w:id="0">
    <w:p w14:paraId="4B223C96" w14:textId="77777777" w:rsidR="00EC7902" w:rsidRDefault="00EC790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01271"/>
    <w:rsid w:val="00036708"/>
    <w:rsid w:val="00036F58"/>
    <w:rsid w:val="00183597"/>
    <w:rsid w:val="001B27C4"/>
    <w:rsid w:val="002516A9"/>
    <w:rsid w:val="002806B7"/>
    <w:rsid w:val="002F2E59"/>
    <w:rsid w:val="003F4714"/>
    <w:rsid w:val="00401D65"/>
    <w:rsid w:val="004223E8"/>
    <w:rsid w:val="00424108"/>
    <w:rsid w:val="004A784B"/>
    <w:rsid w:val="005B7079"/>
    <w:rsid w:val="005C39BA"/>
    <w:rsid w:val="006D793E"/>
    <w:rsid w:val="0073677D"/>
    <w:rsid w:val="0082223F"/>
    <w:rsid w:val="00877007"/>
    <w:rsid w:val="008B5129"/>
    <w:rsid w:val="00944192"/>
    <w:rsid w:val="009A757D"/>
    <w:rsid w:val="00A423F8"/>
    <w:rsid w:val="00B13ADF"/>
    <w:rsid w:val="00B83595"/>
    <w:rsid w:val="00C54DC8"/>
    <w:rsid w:val="00C73692"/>
    <w:rsid w:val="00C93BB7"/>
    <w:rsid w:val="00CB25E9"/>
    <w:rsid w:val="00D0165E"/>
    <w:rsid w:val="00D75C7B"/>
    <w:rsid w:val="00D85C7B"/>
    <w:rsid w:val="00DB4BCE"/>
    <w:rsid w:val="00DE2224"/>
    <w:rsid w:val="00E234E9"/>
    <w:rsid w:val="00EC7902"/>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00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866">
      <w:bodyDiv w:val="1"/>
      <w:marLeft w:val="0"/>
      <w:marRight w:val="0"/>
      <w:marTop w:val="0"/>
      <w:marBottom w:val="0"/>
      <w:divBdr>
        <w:top w:val="none" w:sz="0" w:space="0" w:color="auto"/>
        <w:left w:val="none" w:sz="0" w:space="0" w:color="auto"/>
        <w:bottom w:val="none" w:sz="0" w:space="0" w:color="auto"/>
        <w:right w:val="none" w:sz="0" w:space="0" w:color="auto"/>
      </w:divBdr>
    </w:div>
    <w:div w:id="697588705">
      <w:bodyDiv w:val="1"/>
      <w:marLeft w:val="0"/>
      <w:marRight w:val="0"/>
      <w:marTop w:val="0"/>
      <w:marBottom w:val="0"/>
      <w:divBdr>
        <w:top w:val="none" w:sz="0" w:space="0" w:color="auto"/>
        <w:left w:val="none" w:sz="0" w:space="0" w:color="auto"/>
        <w:bottom w:val="none" w:sz="0" w:space="0" w:color="auto"/>
        <w:right w:val="none" w:sz="0" w:space="0" w:color="auto"/>
      </w:divBdr>
    </w:div>
    <w:div w:id="1029914947">
      <w:bodyDiv w:val="1"/>
      <w:marLeft w:val="0"/>
      <w:marRight w:val="0"/>
      <w:marTop w:val="0"/>
      <w:marBottom w:val="0"/>
      <w:divBdr>
        <w:top w:val="none" w:sz="0" w:space="0" w:color="auto"/>
        <w:left w:val="none" w:sz="0" w:space="0" w:color="auto"/>
        <w:bottom w:val="none" w:sz="0" w:space="0" w:color="auto"/>
        <w:right w:val="none" w:sz="0" w:space="0" w:color="auto"/>
      </w:divBdr>
    </w:div>
    <w:div w:id="1134062630">
      <w:bodyDiv w:val="1"/>
      <w:marLeft w:val="0"/>
      <w:marRight w:val="0"/>
      <w:marTop w:val="0"/>
      <w:marBottom w:val="0"/>
      <w:divBdr>
        <w:top w:val="none" w:sz="0" w:space="0" w:color="auto"/>
        <w:left w:val="none" w:sz="0" w:space="0" w:color="auto"/>
        <w:bottom w:val="none" w:sz="0" w:space="0" w:color="auto"/>
        <w:right w:val="none" w:sz="0" w:space="0" w:color="auto"/>
      </w:divBdr>
    </w:div>
    <w:div w:id="1472945631">
      <w:bodyDiv w:val="1"/>
      <w:marLeft w:val="0"/>
      <w:marRight w:val="0"/>
      <w:marTop w:val="0"/>
      <w:marBottom w:val="0"/>
      <w:divBdr>
        <w:top w:val="none" w:sz="0" w:space="0" w:color="auto"/>
        <w:left w:val="none" w:sz="0" w:space="0" w:color="auto"/>
        <w:bottom w:val="none" w:sz="0" w:space="0" w:color="auto"/>
        <w:right w:val="none" w:sz="0" w:space="0" w:color="auto"/>
      </w:divBdr>
    </w:div>
    <w:div w:id="18559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Zha13</b:Tag>
    <b:SourceType>ConferenceProceedings</b:SourceType>
    <b:Guid>{E6A15BD5-2081-49CC-9C9E-D927BCD67ACB}</b:Guid>
    <b:Title>The evolution of mobile apps</b:Title>
    <b:Year>2013</b:Year>
    <b:Author>
      <b:Author>
        <b:NameList>
          <b:Person>
            <b:Last>Zhang</b:Last>
            <b:First>J</b:First>
          </b:Person>
          <b:Person>
            <b:Last>Sagar</b:Last>
            <b:First>S</b:First>
          </b:Person>
          <b:Person>
            <b:Last>Shihab</b:Last>
            <b:First>E</b:First>
          </b:Person>
        </b:NameList>
      </b:Author>
    </b:Author>
    <b:Pages>1-8</b:Pages>
    <b:ConferenceName>International Workshop on Software Development Lifecycle for Mobile</b:ConferenceName>
    <b:City>New York, NY, USA</b:City>
    <b:Publisher>Association for Computing Machinery</b:Publisher>
    <b:DOI>10.1145/2501553.2501554</b:DOI>
    <b:RefOrder>6</b:RefOrder>
  </b:Source>
  <b:Source>
    <b:Tag>Qua21</b:Tag>
    <b:SourceType>InternetSite</b:SourceType>
    <b:Guid>{2C13EC0B-FB92-47F0-B598-F96F766B51F2}</b:Guid>
    <b:Title>Clair</b:Title>
    <b:Year>2021</b:Year>
    <b:Author>
      <b:Author>
        <b:Corporate>Quary</b:Corporate>
      </b:Author>
    </b:Author>
    <b:InternetSiteTitle>GitHub</b:InternetSiteTitle>
    <b:URL>https://github.com/quay/clair</b:URL>
    <b:RefOrder>1</b:RefOrder>
  </b:Source>
  <b:Source>
    <b:Tag>Mic17</b:Tag>
    <b:SourceType>InternetSite</b:SourceType>
    <b:Guid>{1C78BF6D-1BFA-47C8-93FF-5E7E5B073F60}</b:Guid>
    <b:Author>
      <b:Author>
        <b:Corporate>Microsoft</b:Corporate>
      </b:Author>
    </b:Author>
    <b:Title>Application Verifier</b:Title>
    <b:InternetSiteTitle>Microsoft</b:InternetSiteTitle>
    <b:Year>2017</b:Year>
    <b:Month>April</b:Month>
    <b:Day>20</b:Day>
    <b:URL>https://docs.microsoft.com/en-us/windows-hardware/drivers/devtest/application-verifier</b:URL>
    <b:RefOrder>7</b:RefOrder>
  </b:Source>
  <b:Source>
    <b:Tag>Son211</b:Tag>
    <b:SourceType>InternetSite</b:SourceType>
    <b:Guid>{D62CAC3A-D3ED-41F3-A4C4-3FE5EF7855E5}</b:Guid>
    <b:Author>
      <b:Author>
        <b:Corporate>SonarQube</b:Corporate>
      </b:Author>
    </b:Author>
    <b:Title>What is SonarQube</b:Title>
    <b:InternetSiteTitle>SonarQube</b:InternetSiteTitle>
    <b:Year>2021</b:Year>
    <b:URL>https://www.sonarqube.org/</b:URL>
    <b:RefOrder>8</b:RefOrder>
  </b:Source>
  <b:Source>
    <b:Tag>Mit21</b:Tag>
    <b:SourceType>InternetSite</b:SourceType>
    <b:Guid>{4D10CD21-D5A1-4837-A4DA-3CC5BE03D903}</b:Guid>
    <b:Author>
      <b:Author>
        <b:Corporate>Mitre</b:Corporate>
      </b:Author>
    </b:Author>
    <b:Title>CVE-2021-27928</b:Title>
    <b:InternetSiteTitle>CVE Database</b:InternetSiteTitle>
    <b:Year>2021</b:Year>
    <b:Month>March</b:Month>
    <b:Day>3</b:Day>
    <b:URL>http://cve.mitre.org/cgi-bin/cvename.cgi?name=CVE-2021-27928</b:URL>
    <b:RefOrder>5</b:RefOrder>
  </b:Source>
  <b:Source>
    <b:Tag>Kernd</b:Tag>
    <b:SourceType>InternetSite</b:SourceType>
    <b:Guid>{CD4D91CE-0483-4620-A7A5-47A3F141AF5E}</b:Guid>
    <b:Author>
      <b:Author>
        <b:Corporate>Kernel</b:Corporate>
      </b:Author>
    </b:Author>
    <b:Title>What is Flash-Friendly File System</b:Title>
    <b:InternetSiteTitle>Kernel</b:InternetSiteTitle>
    <b:Year>n.d.</b:Year>
    <b:URL>https://www.kernel.org/doc/html/latest/filesystems/f2fs.html</b:URL>
    <b:RefOrder>3</b:RefOrder>
  </b:Source>
  <b:Source>
    <b:Tag>Sus20</b:Tag>
    <b:SourceType>InternetSite</b:SourceType>
    <b:Guid>{D4E28909-EB7D-4FA0-B580-4B8BA4C348B2}</b:Guid>
    <b:Author>
      <b:Author>
        <b:Corporate>Suse</b:Corporate>
      </b:Author>
    </b:Author>
    <b:Title>Bug 1158095 - (CVE-2019-14889) VUL-0: CVE-2019-14889: libssh: unsanitized location in scp could lead to unwanted command execution</b:Title>
    <b:InternetSiteTitle>Bugzilla</b:InternetSiteTitle>
    <b:Year>2020</b:Year>
    <b:Month>June</b:Month>
    <b:Day>18</b:Day>
    <b:URL>https://bugzilla.suse.com/show_bug.cgi?id=CVE-2019-14889</b:URL>
    <b:RefOrder>2</b:RefOrder>
  </b:Source>
  <b:Source>
    <b:Tag>Bob19</b:Tag>
    <b:SourceType>InternetSite</b:SourceType>
    <b:Guid>{08F09539-5FA1-4A4E-A916-A77AA08A5E3C}</b:Guid>
    <b:Author>
      <b:Author>
        <b:Corporate>BobFuzzer</b:Corporate>
      </b:Author>
    </b:Author>
    <b:Title>CVE-2019-19814</b:Title>
    <b:InternetSiteTitle>GitHub</b:InternetSiteTitle>
    <b:Year>2019</b:Year>
    <b:Month>December</b:Month>
    <b:Day>27</b:Day>
    <b:URL>https://github.com/bobfuzzer/CVE/tree/master/CVE-2019-19814</b:URL>
    <b:RefOrder>4</b:RefOrder>
  </b:Source>
</b:Sources>
</file>

<file path=customXml/itemProps1.xml><?xml version="1.0" encoding="utf-8"?>
<ds:datastoreItem xmlns:ds="http://schemas.openxmlformats.org/officeDocument/2006/customXml" ds:itemID="{8E91317C-3A58-4462-89E6-9994D285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7</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2021-06-06T20:16:00Z</dcterms:modified>
</cp:coreProperties>
</file>