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477C8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53621F3" w:rsidR="0082223F" w:rsidRDefault="0082223F" w:rsidP="0082223F">
      <w:pPr>
        <w:pStyle w:val="Title"/>
      </w:pPr>
      <w:r>
        <w:t xml:space="preserve">Week </w:t>
      </w:r>
      <w:r w:rsidR="0047500F">
        <w:t>1</w:t>
      </w:r>
      <w:r>
        <w:t xml:space="preserve">: </w:t>
      </w:r>
      <w:r w:rsidR="0047500F">
        <w:t>Refining a Problem Statement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BE4DF68" w:rsidR="0082223F" w:rsidRDefault="0082223F" w:rsidP="0082223F">
      <w:pPr>
        <w:jc w:val="center"/>
      </w:pPr>
      <w:r>
        <w:t>TIM-</w:t>
      </w:r>
      <w:proofErr w:type="gramStart"/>
      <w:r w:rsidR="005C39BA">
        <w:t>7</w:t>
      </w:r>
      <w:r w:rsidR="002F2E59">
        <w:t>2</w:t>
      </w:r>
      <w:r w:rsidR="005C39BA">
        <w:t>4</w:t>
      </w:r>
      <w:r w:rsidR="005A04C7">
        <w:t>5</w:t>
      </w:r>
      <w:r>
        <w:t>:</w:t>
      </w:r>
      <w:r w:rsidR="005A04C7">
        <w:t>Directed</w:t>
      </w:r>
      <w:proofErr w:type="gramEnd"/>
      <w:r w:rsidR="005A04C7">
        <w:t xml:space="preserve"> </w:t>
      </w:r>
      <w:r w:rsidR="002F2E59">
        <w:t>Constructive Research</w:t>
      </w:r>
    </w:p>
    <w:p w14:paraId="13BFFB78" w14:textId="07863B03" w:rsidR="00CB25E9" w:rsidRDefault="005A04C7" w:rsidP="0082223F">
      <w:pPr>
        <w:jc w:val="center"/>
      </w:pPr>
      <w:r>
        <w:t>June 20,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C7783B4" w:rsidR="0082223F" w:rsidRDefault="0047500F" w:rsidP="005B7079">
      <w:pPr>
        <w:pStyle w:val="Heading1"/>
      </w:pPr>
      <w:r>
        <w:lastRenderedPageBreak/>
        <w:t>Problem Statement</w:t>
      </w:r>
    </w:p>
    <w:p w14:paraId="6FE59774" w14:textId="7E584C64" w:rsidR="0047500F" w:rsidRDefault="0047500F" w:rsidP="0047500F">
      <w:pPr>
        <w:ind w:firstLine="720"/>
      </w:pPr>
      <w:r>
        <w:t xml:space="preserve">Senior citizens live longer than ever </w:t>
      </w:r>
      <w:r>
        <w:t xml:space="preserve">before </w:t>
      </w:r>
      <w:r>
        <w:t>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55F037F2" w14:textId="78B286D6" w:rsidR="0047500F" w:rsidRDefault="0047500F" w:rsidP="0047500F">
      <w:r>
        <w:tab/>
        <w:t>Traditionally, addressing the situation requires increasing human capital, such as adding more traveling nurses or family member oversight</w:t>
      </w:r>
      <w:r>
        <w:t xml:space="preserve"> (Westergren et al., 2021)</w:t>
      </w:r>
      <w:r>
        <w:t>.  However, this solution increases health care costs and collects limited patient health samples. In addition, these infrequent visits might miss critical issues, especially with those most reluctant to relocate.  Alternatively, researchers are exploring wearable IoT devices</w:t>
      </w:r>
      <w:r>
        <w:t xml:space="preserve"> (Tun et al., 2021)</w:t>
      </w:r>
      <w:r>
        <w:t xml:space="preserve">.  These sensors provide mechanisms for requesting assistance and receiving continuous monitoring. </w:t>
      </w:r>
      <w:r>
        <w:t xml:space="preserve"> Nevertheless</w:t>
      </w:r>
      <w:r>
        <w:t xml:space="preserve">, there are many limitations to wearable solutions. Most notably, the person must </w:t>
      </w:r>
      <w:r w:rsidRPr="0047500F">
        <w:rPr>
          <w:i/>
          <w:iCs/>
        </w:rPr>
        <w:t>remember</w:t>
      </w:r>
      <w:r>
        <w:t xml:space="preserve"> to wear them, which raises challenges for early-onset memory loss patients.</w:t>
      </w:r>
    </w:p>
    <w:p w14:paraId="460CB0C0" w14:textId="58F0E077" w:rsidR="0047500F" w:rsidRPr="0047500F" w:rsidRDefault="0047500F" w:rsidP="0047500F">
      <w:pPr>
        <w:ind w:firstLine="720"/>
      </w:pPr>
      <w:r>
        <w:t xml:space="preserve">Modern solutions must bridge the differentiation between </w:t>
      </w:r>
      <w:r>
        <w:t>remain</w:t>
      </w:r>
      <w:r>
        <w:t>ing</w:t>
      </w:r>
      <w:r>
        <w:t xml:space="preserve"> in </w:t>
      </w:r>
      <w:r>
        <w:t xml:space="preserve">the </w:t>
      </w:r>
      <w:r>
        <w:t>home and still receiv</w:t>
      </w:r>
      <w:r>
        <w:t>ing</w:t>
      </w:r>
      <w:r>
        <w:t xml:space="preserve"> the attentiveness typically found in assisted living facilities (Tan et al., 2020).  When this gap narrows, it enables 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services that analyze the patient’s actions and recommend care.  For instance, patients with memory impairment might forget to empty the </w:t>
      </w:r>
      <w:r>
        <w:lastRenderedPageBreak/>
        <w:t>dishwasher, take medication, or bathe regularly.  These scenarios are challenging to address through wearable devices.  However, through computer vision, an in-home camera system transforms into a watchful eye that can spot those missing actions.  After detecting an issue, the system alerts the person using Text-to-Speech (TTS) services (e.g., Amazon Alexa or Google Home).</w:t>
      </w:r>
    </w:p>
    <w:sectPr w:rsidR="0047500F" w:rsidRPr="0047500F"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59789" w14:textId="77777777" w:rsidR="00477C8C" w:rsidRDefault="00477C8C" w:rsidP="0082223F">
      <w:pPr>
        <w:spacing w:line="240" w:lineRule="auto"/>
      </w:pPr>
      <w:r>
        <w:separator/>
      </w:r>
    </w:p>
  </w:endnote>
  <w:endnote w:type="continuationSeparator" w:id="0">
    <w:p w14:paraId="3F3224BD" w14:textId="77777777" w:rsidR="00477C8C" w:rsidRDefault="00477C8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EA231" w14:textId="77777777" w:rsidR="00477C8C" w:rsidRDefault="00477C8C" w:rsidP="0082223F">
      <w:pPr>
        <w:spacing w:line="240" w:lineRule="auto"/>
      </w:pPr>
      <w:r>
        <w:separator/>
      </w:r>
    </w:p>
  </w:footnote>
  <w:footnote w:type="continuationSeparator" w:id="0">
    <w:p w14:paraId="05E1E5EB" w14:textId="77777777" w:rsidR="00477C8C" w:rsidRDefault="00477C8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83597"/>
    <w:rsid w:val="001B27C4"/>
    <w:rsid w:val="002516A9"/>
    <w:rsid w:val="002806B7"/>
    <w:rsid w:val="002F2E59"/>
    <w:rsid w:val="003F4714"/>
    <w:rsid w:val="00401D65"/>
    <w:rsid w:val="004223E8"/>
    <w:rsid w:val="00424108"/>
    <w:rsid w:val="0047500F"/>
    <w:rsid w:val="00477C8C"/>
    <w:rsid w:val="004A784B"/>
    <w:rsid w:val="005A04C7"/>
    <w:rsid w:val="005B7079"/>
    <w:rsid w:val="005C39BA"/>
    <w:rsid w:val="006D793E"/>
    <w:rsid w:val="0073677D"/>
    <w:rsid w:val="0082223F"/>
    <w:rsid w:val="00877007"/>
    <w:rsid w:val="008B5129"/>
    <w:rsid w:val="008D0E1C"/>
    <w:rsid w:val="009A757D"/>
    <w:rsid w:val="00A423F8"/>
    <w:rsid w:val="00B13ADF"/>
    <w:rsid w:val="00B83595"/>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2</b:RefOrder>
  </b:Source>
  <b:Source>
    <b:Tag>Wer21</b:Tag>
    <b:SourceType>JournalArticle</b:SourceType>
    <b:Guid>{6DA6F7F0-3E62-4456-9AE7-D10C888732DB}</b:Guid>
    <b:Title>Next of kin participation in the care of older persons in nursing homes</b:Title>
    <b:Pages>1-15</b:Pages>
    <b:Year>2021</b:Year>
    <b:Author>
      <b:Author>
        <b:NameList>
          <b:Person>
            <b:Last>Werergren</b:Last>
            <b:First>A</b:First>
          </b:Person>
          <b:Person>
            <b:Last>Ahlstrom</b:Last>
            <b:First>G</b:First>
          </b:Person>
          <b:Person>
            <b:Last>Persson</b:Last>
            <b:First>M</b:First>
          </b:Person>
          <b:Person>
            <b:Last>Behm</b:Last>
            <b:First>L</b:First>
          </b:Person>
        </b:NameList>
      </b:Author>
    </b:Author>
    <b:JournalName>PLoS ONE</b:JournalName>
    <b:Volume>16</b:Volume>
    <b:Issue>1</b:Issue>
    <b:DOI>10.1371/journal.pone.0244600</b:DOI>
    <b:RefOrder>3</b:RefOrder>
  </b:Source>
</b:Sources>
</file>

<file path=customXml/itemProps1.xml><?xml version="1.0" encoding="utf-8"?>
<ds:datastoreItem xmlns:ds="http://schemas.openxmlformats.org/officeDocument/2006/customXml" ds:itemID="{A79F910A-460B-4584-8507-6C6252A1E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18</cp:revision>
  <dcterms:created xsi:type="dcterms:W3CDTF">2019-05-19T17:38:00Z</dcterms:created>
  <dcterms:modified xsi:type="dcterms:W3CDTF">2021-06-20T16:29:00Z</dcterms:modified>
</cp:coreProperties>
</file>