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745C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59234D7E" w14:textId="42F36B38" w:rsidR="0007160D" w:rsidRDefault="0007160D" w:rsidP="0007160D">
      <w:pPr>
        <w:pStyle w:val="Heading2"/>
      </w:pPr>
      <w:r>
        <w:t xml:space="preserve">Who is the </w:t>
      </w:r>
      <w:proofErr w:type="gramStart"/>
      <w:r>
        <w:t>customer</w:t>
      </w:r>
      <w:proofErr w:type="gramEnd"/>
    </w:p>
    <w:p w14:paraId="2481758B" w14:textId="203D4A6A"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11455E">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11455E">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342910BD" w14:textId="5D2CA6DA" w:rsidR="0007160D" w:rsidRDefault="0007160D" w:rsidP="0007160D">
      <w:pPr>
        <w:pStyle w:val="Heading2"/>
      </w:pPr>
      <w:r>
        <w:t>Challenges with current solutions</w:t>
      </w:r>
    </w:p>
    <w:p w14:paraId="40619F71" w14:textId="6A0F6F50"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11455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43503230" w14:textId="59FA88A6" w:rsidR="0007160D" w:rsidRDefault="00431B2A" w:rsidP="0007160D">
      <w:pPr>
        <w:ind w:firstLine="720"/>
      </w:pPr>
      <w:r>
        <w:lastRenderedPageBreak/>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11455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11455E">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p>
    <w:p w14:paraId="34529236" w14:textId="3DCFCD89"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11455E">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p>
    <w:p w14:paraId="3DB47E2E" w14:textId="600DF558" w:rsidR="0007160D" w:rsidRDefault="0007160D" w:rsidP="0007160D">
      <w:pPr>
        <w:pStyle w:val="Heading2"/>
      </w:pPr>
      <w:r>
        <w:t>Implementing unobtrusive systems</w:t>
      </w:r>
    </w:p>
    <w:p w14:paraId="040724DC" w14:textId="4000CDBB" w:rsidR="003A36DE" w:rsidRDefault="00DE3360" w:rsidP="00431B2A">
      <w:pPr>
        <w:ind w:firstLine="720"/>
      </w:pPr>
      <w:r>
        <w:t>Amazon Go, a cashier-less store, proves the potential through its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lastRenderedPageBreak/>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First, a process 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07160D">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3D9E180D" w14:textId="668CA7FE" w:rsidR="00B257FB" w:rsidRDefault="00B257FB" w:rsidP="00B257FB">
      <w:pPr>
        <w:pStyle w:val="Caption"/>
      </w:pPr>
      <w:r>
        <w:lastRenderedPageBreak/>
        <w:t>Figure 2: Movement Classification</w:t>
      </w:r>
    </w:p>
    <w:p w14:paraId="16F049CA" w14:textId="218A6DD6"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4821C" w14:textId="2C420875" w:rsidR="0007160D" w:rsidRDefault="0007160D" w:rsidP="0007160D">
      <w:pPr>
        <w:pStyle w:val="Heading2"/>
      </w:pPr>
      <w:r>
        <w:t>Scaling the classification process</w:t>
      </w:r>
    </w:p>
    <w:p w14:paraId="1D7DAEF9" w14:textId="77777777" w:rsidR="0011455E" w:rsidRDefault="0007160D" w:rsidP="0011455E">
      <w:r>
        <w:tab/>
        <w:t>It would be challenging to build one movement classification system that supports the entire universe of human activities.  Instead, production systems blend hundreds of models into ensemble algorithms</w:t>
      </w:r>
      <w:sdt>
        <w:sdtPr>
          <w:id w:val="-652908628"/>
          <w:citation/>
        </w:sdtPr>
        <w:sdtContent>
          <w:r>
            <w:fldChar w:fldCharType="begin"/>
          </w:r>
          <w:r>
            <w:instrText xml:space="preserve"> CITATION Bel07 \l 1033 </w:instrText>
          </w:r>
          <w:r>
            <w:fldChar w:fldCharType="separate"/>
          </w:r>
          <w:r w:rsidR="0011455E">
            <w:rPr>
              <w:noProof/>
            </w:rPr>
            <w:t xml:space="preserve"> (Bell, Koren, &amp; Volinsky, 2009)</w:t>
          </w:r>
          <w:r>
            <w:fldChar w:fldCharType="end"/>
          </w:r>
        </w:sdtContent>
      </w:sdt>
      <w:r>
        <w:t>.  For example, predicting that the subject is picking up a fork, spoon, or cup is similar.  The classifier can determine which</w:t>
      </w:r>
      <w:r w:rsidR="00006492">
        <w:t xml:space="preserve"> </w:t>
      </w:r>
      <w:proofErr w:type="spellStart"/>
      <w:r w:rsidR="00006492">
        <w:t>subactivity</w:t>
      </w:r>
      <w:proofErr w:type="spellEnd"/>
      <w:r w:rsidR="00006492">
        <w:t xml:space="preserve"> compositing predictions the subject lifts an object and a standard object classifier.</w:t>
      </w:r>
      <w:r w:rsidR="0011455E">
        <w:t xml:space="preserve">  </w:t>
      </w:r>
    </w:p>
    <w:p w14:paraId="7C4B4552" w14:textId="7A6A7958" w:rsidR="0007160D" w:rsidRPr="0007160D" w:rsidRDefault="0011455E" w:rsidP="0011455E">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55E44C53" w14:textId="4F844CFD" w:rsidR="0007160D" w:rsidRDefault="0007160D" w:rsidP="0007160D">
      <w:pPr>
        <w:pStyle w:val="Heading2"/>
      </w:pPr>
      <w:r>
        <w:t>Integrating AI/ML into the ecosystem</w:t>
      </w: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7777777" w:rsidR="00DE3360" w:rsidRDefault="00DE3360" w:rsidP="0011455E"/>
    <w:p w14:paraId="12664570" w14:textId="342EA19F" w:rsidR="00A40EA1" w:rsidRDefault="00A40EA1" w:rsidP="00431B2A">
      <w:pPr>
        <w:ind w:firstLine="720"/>
      </w:pPr>
    </w:p>
    <w:p w14:paraId="13D2886C" w14:textId="3160073A" w:rsidR="00141A13" w:rsidRDefault="00141A13" w:rsidP="00141A13"/>
    <w:p w14:paraId="5951E812" w14:textId="3FE40E3E" w:rsidR="00AF6B47" w:rsidRDefault="00AF6B47">
      <w:r>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4ABBC2B1" w14:textId="77777777" w:rsidR="0011455E" w:rsidRDefault="00AF6B47" w:rsidP="0011455E">
              <w:pPr>
                <w:pStyle w:val="Bibliography"/>
                <w:ind w:left="720" w:hanging="720"/>
                <w:rPr>
                  <w:noProof/>
                </w:rPr>
              </w:pPr>
              <w:r>
                <w:fldChar w:fldCharType="begin"/>
              </w:r>
              <w:r>
                <w:instrText xml:space="preserve"> BIBLIOGRAPHY </w:instrText>
              </w:r>
              <w:r>
                <w:fldChar w:fldCharType="separate"/>
              </w:r>
              <w:r w:rsidR="0011455E">
                <w:rPr>
                  <w:noProof/>
                </w:rPr>
                <w:t xml:space="preserve">Bell, Koren, &amp; Volinsky. (2009). </w:t>
              </w:r>
              <w:r w:rsidR="0011455E">
                <w:rPr>
                  <w:i/>
                  <w:iCs/>
                  <w:noProof/>
                </w:rPr>
                <w:t>The BellKor solution to the Netflix Prize.</w:t>
              </w:r>
              <w:r w:rsidR="0011455E">
                <w:rPr>
                  <w:noProof/>
                </w:rPr>
                <w:t xml:space="preserve"> Retrieved from Netflix Prize: https://netflixprize.com/assets/GrandPrize2009_BPC_BellKor.pdf</w:t>
              </w:r>
            </w:p>
            <w:p w14:paraId="2028E010" w14:textId="77777777" w:rsidR="0011455E" w:rsidRDefault="0011455E" w:rsidP="0011455E">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B287E88" w14:textId="77777777" w:rsidR="0011455E" w:rsidRDefault="0011455E" w:rsidP="0011455E">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3B8B1481" w14:textId="77777777" w:rsidR="0011455E" w:rsidRDefault="0011455E" w:rsidP="0011455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19E5E52" w14:textId="77777777" w:rsidR="0011455E" w:rsidRDefault="0011455E" w:rsidP="0011455E">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1395583E" w14:textId="77777777" w:rsidR="0011455E" w:rsidRDefault="0011455E" w:rsidP="0011455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366FDF1" w14:textId="77777777" w:rsidR="0011455E" w:rsidRDefault="0011455E" w:rsidP="0011455E">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0128E1F8" w14:textId="77777777" w:rsidR="0011455E" w:rsidRDefault="0011455E" w:rsidP="0011455E">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18718B49" w14:textId="77777777" w:rsidR="0011455E" w:rsidRDefault="0011455E" w:rsidP="0011455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56F93F18" w14:textId="77777777" w:rsidR="0011455E" w:rsidRDefault="0011455E" w:rsidP="0011455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32F65D50" w14:textId="77777777" w:rsidR="0011455E" w:rsidRDefault="0011455E" w:rsidP="0011455E">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066A346" w14:textId="77777777" w:rsidR="0011455E" w:rsidRDefault="0011455E" w:rsidP="0011455E">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C928CC5" w14:textId="77777777" w:rsidR="0011455E" w:rsidRDefault="0011455E" w:rsidP="0011455E">
              <w:pPr>
                <w:pStyle w:val="Bibliography"/>
                <w:ind w:left="720" w:hanging="720"/>
                <w:rPr>
                  <w:noProof/>
                </w:rPr>
              </w:pPr>
              <w:r>
                <w:rPr>
                  <w:noProof/>
                </w:rPr>
                <w:t xml:space="preserve">Piggott, J. (2016). </w:t>
              </w:r>
              <w:r>
                <w:rPr>
                  <w:i/>
                  <w:iCs/>
                  <w:noProof/>
                </w:rPr>
                <w:t>Handbook of the Economics of Population Aging</w:t>
              </w:r>
              <w:r>
                <w:rPr>
                  <w:noProof/>
                </w:rPr>
                <w:t xml:space="preserve"> (Vol. 1). North Holland.</w:t>
              </w:r>
            </w:p>
            <w:p w14:paraId="4D2F4153" w14:textId="77777777" w:rsidR="0011455E" w:rsidRDefault="0011455E" w:rsidP="0011455E">
              <w:pPr>
                <w:pStyle w:val="Bibliography"/>
                <w:ind w:left="720" w:hanging="720"/>
                <w:rPr>
                  <w:noProof/>
                </w:rPr>
              </w:pPr>
              <w:r>
                <w:rPr>
                  <w:noProof/>
                </w:rPr>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28E9EC63" w14:textId="77777777" w:rsidR="0011455E" w:rsidRDefault="0011455E" w:rsidP="0011455E">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311E66A3" w14:textId="77777777" w:rsidR="0011455E" w:rsidRDefault="0011455E" w:rsidP="0011455E">
              <w:pPr>
                <w:pStyle w:val="Bibliography"/>
                <w:ind w:left="720" w:hanging="720"/>
                <w:rPr>
                  <w:noProof/>
                </w:rPr>
              </w:pPr>
              <w:r>
                <w:rPr>
                  <w:noProof/>
                </w:rPr>
                <w:lastRenderedPageBreak/>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7654386E" w14:textId="77777777" w:rsidR="0011455E" w:rsidRDefault="0011455E" w:rsidP="0011455E">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1805BD2A" w14:textId="77777777" w:rsidR="0011455E" w:rsidRDefault="0011455E" w:rsidP="0011455E">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F36A8A2" w14:textId="77777777" w:rsidR="0011455E" w:rsidRDefault="0011455E" w:rsidP="0011455E">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EF0276A" w14:textId="77777777" w:rsidR="0011455E" w:rsidRDefault="0011455E" w:rsidP="0011455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E25022C" w14:textId="77777777" w:rsidR="0011455E" w:rsidRDefault="0011455E" w:rsidP="0011455E">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2CD124B5" w14:textId="77777777" w:rsidR="0011455E" w:rsidRDefault="0011455E" w:rsidP="0011455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E79FB9C" w14:textId="77777777" w:rsidR="0011455E" w:rsidRDefault="0011455E" w:rsidP="0011455E">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11455E">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BC4F" w14:textId="77777777" w:rsidR="001745CF" w:rsidRDefault="001745CF" w:rsidP="0082223F">
      <w:pPr>
        <w:spacing w:line="240" w:lineRule="auto"/>
      </w:pPr>
      <w:r>
        <w:separator/>
      </w:r>
    </w:p>
  </w:endnote>
  <w:endnote w:type="continuationSeparator" w:id="0">
    <w:p w14:paraId="5388F225" w14:textId="77777777" w:rsidR="001745CF" w:rsidRDefault="001745C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6F14" w14:textId="77777777" w:rsidR="001745CF" w:rsidRDefault="001745CF" w:rsidP="0082223F">
      <w:pPr>
        <w:spacing w:line="240" w:lineRule="auto"/>
      </w:pPr>
      <w:r>
        <w:separator/>
      </w:r>
    </w:p>
  </w:footnote>
  <w:footnote w:type="continuationSeparator" w:id="0">
    <w:p w14:paraId="37F86781" w14:textId="77777777" w:rsidR="001745CF" w:rsidRDefault="001745C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06492"/>
    <w:rsid w:val="00036708"/>
    <w:rsid w:val="00036F58"/>
    <w:rsid w:val="0007160D"/>
    <w:rsid w:val="000B6645"/>
    <w:rsid w:val="0011455E"/>
    <w:rsid w:val="00125D10"/>
    <w:rsid w:val="00141A13"/>
    <w:rsid w:val="00146A8B"/>
    <w:rsid w:val="001745CF"/>
    <w:rsid w:val="00183597"/>
    <w:rsid w:val="001B27C4"/>
    <w:rsid w:val="002516A9"/>
    <w:rsid w:val="002806B7"/>
    <w:rsid w:val="002F2E59"/>
    <w:rsid w:val="00350F6D"/>
    <w:rsid w:val="00373B9C"/>
    <w:rsid w:val="003936AD"/>
    <w:rsid w:val="003A36DE"/>
    <w:rsid w:val="003C739B"/>
    <w:rsid w:val="003F4714"/>
    <w:rsid w:val="00401D65"/>
    <w:rsid w:val="004223E8"/>
    <w:rsid w:val="00424108"/>
    <w:rsid w:val="00431B2A"/>
    <w:rsid w:val="004A784B"/>
    <w:rsid w:val="00555A3A"/>
    <w:rsid w:val="005A04C7"/>
    <w:rsid w:val="005B7079"/>
    <w:rsid w:val="005C39BA"/>
    <w:rsid w:val="006273B0"/>
    <w:rsid w:val="006D793E"/>
    <w:rsid w:val="007152BF"/>
    <w:rsid w:val="0073677D"/>
    <w:rsid w:val="00740DA3"/>
    <w:rsid w:val="0082223F"/>
    <w:rsid w:val="00846DD1"/>
    <w:rsid w:val="00877007"/>
    <w:rsid w:val="008B5129"/>
    <w:rsid w:val="008D0E1C"/>
    <w:rsid w:val="008F6ABA"/>
    <w:rsid w:val="009255A3"/>
    <w:rsid w:val="00951421"/>
    <w:rsid w:val="009A757D"/>
    <w:rsid w:val="00A40EA1"/>
    <w:rsid w:val="00A423F8"/>
    <w:rsid w:val="00AE2D09"/>
    <w:rsid w:val="00AF6B47"/>
    <w:rsid w:val="00B13ADF"/>
    <w:rsid w:val="00B257FB"/>
    <w:rsid w:val="00B83595"/>
    <w:rsid w:val="00BB309A"/>
    <w:rsid w:val="00BD649C"/>
    <w:rsid w:val="00C54DC8"/>
    <w:rsid w:val="00C73692"/>
    <w:rsid w:val="00C93BB7"/>
    <w:rsid w:val="00CB25E9"/>
    <w:rsid w:val="00D0165E"/>
    <w:rsid w:val="00D46859"/>
    <w:rsid w:val="00D75C7B"/>
    <w:rsid w:val="00D85C7B"/>
    <w:rsid w:val="00DE2224"/>
    <w:rsid w:val="00DE3360"/>
    <w:rsid w:val="00E234E9"/>
    <w:rsid w:val="00ED3713"/>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93551047">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77151566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925840447">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43597322">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210530188">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64995335">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715930104">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
    <w:div w:id="2096318928">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9</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10</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14</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15</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17</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18</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19</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20</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21</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22</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8</b:RefOrder>
  </b:Source>
</b:Sources>
</file>

<file path=customXml/itemProps1.xml><?xml version="1.0" encoding="utf-8"?>
<ds:datastoreItem xmlns:ds="http://schemas.openxmlformats.org/officeDocument/2006/customXml" ds:itemID="{E02D4894-C1A6-4CD0-BC44-ED3037A1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9</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2021-08-01T22:31:00Z</dcterms:modified>
</cp:coreProperties>
</file>