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C000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C93BB7">
        <w:t>Basic Distributed System</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1CDB" w:rsidP="000D1CDB">
      <w:pPr>
        <w:pStyle w:val="Heading1"/>
      </w:pPr>
      <w:r>
        <w:lastRenderedPageBreak/>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p>
    <w:p w:rsidR="000D1CDB" w:rsidRDefault="000D1CDB" w:rsidP="000D1CDB">
      <w:r>
        <w:tab/>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w:t>
      </w:r>
      <w:r w:rsidR="004611D0">
        <w:t xml:space="preserve"> </w:t>
      </w:r>
      <w:r>
        <w:t>might use a static hierarchical structure where the headquarters will replicate policy through a tree structure</w:t>
      </w:r>
      <w:sdt>
        <w:sdtPr>
          <w:id w:val="-117530844"/>
          <w:citation/>
        </w:sdtPr>
        <w:sdtContent>
          <w:r w:rsidR="004611D0">
            <w:fldChar w:fldCharType="begin"/>
          </w:r>
          <w:r w:rsidR="004611D0">
            <w:instrText xml:space="preserve"> CITATION Van16 \l 1033 </w:instrText>
          </w:r>
          <w:r w:rsidR="004611D0">
            <w:fldChar w:fldCharType="separate"/>
          </w:r>
          <w:r w:rsidR="004611D0">
            <w:rPr>
              <w:noProof/>
            </w:rPr>
            <w:t xml:space="preserve"> (Steen &amp; Tanenbaum, 2016)</w:t>
          </w:r>
          <w:r w:rsidR="004611D0">
            <w:fldChar w:fldCharType="end"/>
          </w:r>
        </w:sdtContent>
      </w:sdt>
      <w:r>
        <w:t>.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Pr="00E51E9F" w:rsidRDefault="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373B6F" w:rsidRDefault="00373B6F" w:rsidP="00373B6F">
      <w:pPr>
        <w:pStyle w:val="Heading1"/>
      </w:pPr>
      <w:r>
        <w:t>Transition Manufacturing Hubs to Pub/Sub</w:t>
      </w:r>
    </w:p>
    <w:p w:rsidR="00E51E9F" w:rsidRDefault="00373B6F" w:rsidP="00373B6F">
      <w:r>
        <w:tab/>
      </w:r>
      <w:r w:rsidR="00814299">
        <w:t>Contoso might decide that it is not economical to manage hierarchies of proprietary configuration on physical servers across their manufacturing presence. Instead, they could leverage their existing internet connections to move into a hosted cloud.</w:t>
      </w:r>
    </w:p>
    <w:p w:rsidR="00E51E9F" w:rsidRDefault="00E51E9F" w:rsidP="00E51E9F">
      <w:pPr>
        <w:pStyle w:val="Heading2"/>
      </w:pPr>
      <w:r>
        <w:t>Data Processing Networks</w:t>
      </w:r>
    </w:p>
    <w:p w:rsidR="00E51E9F" w:rsidRDefault="002F11AC" w:rsidP="00814299">
      <w:pPr>
        <w:ind w:firstLine="720"/>
      </w:pPr>
      <w:r>
        <w:t>Data Processing Networks (DPN</w:t>
      </w:r>
      <w:r w:rsidR="00E51E9F">
        <w:t>s</w:t>
      </w:r>
      <w:r>
        <w:t>) is a simple and elegant pattern that leverages event publications and subscriptions to route messages</w:t>
      </w:r>
      <w:sdt>
        <w:sdtPr>
          <w:id w:val="1237824460"/>
          <w:citation/>
        </w:sdtPr>
        <w:sdtContent>
          <w:r>
            <w:fldChar w:fldCharType="begin"/>
          </w:r>
          <w:r>
            <w:instrText xml:space="preserve"> CITATION Cel16 \l 1033 </w:instrText>
          </w:r>
          <w:r>
            <w:fldChar w:fldCharType="separate"/>
          </w:r>
          <w:r>
            <w:rPr>
              <w:noProof/>
            </w:rPr>
            <w:t xml:space="preserve"> (Celar, Mudnic, &amp; Seremet, 2016)</w:t>
          </w:r>
          <w:r>
            <w:fldChar w:fldCharType="end"/>
          </w:r>
        </w:sdtContent>
      </w:sdt>
      <w:sdt>
        <w:sdtPr>
          <w:id w:val="-1241790775"/>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rsidR="00814299">
        <w:t>.</w:t>
      </w:r>
      <w:r>
        <w:t xml:space="preserve"> The process begins with the client posting, directly or via a broker, their </w:t>
      </w:r>
      <w:r>
        <w:lastRenderedPageBreak/>
        <w:t>notification into a multicasting service. The multicast applies any local transformations, and then forwards to zero or more subscriber</w:t>
      </w:r>
      <w:r w:rsidR="00E51E9F">
        <w:t>’s FIFO queues</w:t>
      </w:r>
      <w:r>
        <w:t xml:space="preserve">. </w:t>
      </w:r>
      <w:r w:rsidR="00E51E9F">
        <w:t xml:space="preserve">The arrival of the message </w:t>
      </w:r>
      <w:r w:rsidR="00E51E9F" w:rsidRPr="00E51E9F">
        <w:t>triggers</w:t>
      </w:r>
      <w:r w:rsidR="00E51E9F">
        <w:t xml:space="preserve"> a </w:t>
      </w:r>
      <w:r w:rsidR="00E51E9F" w:rsidRPr="00E51E9F">
        <w:rPr>
          <w:i/>
        </w:rPr>
        <w:t>function</w:t>
      </w:r>
      <w:r w:rsidR="00E51E9F">
        <w:t xml:space="preserve"> to process the event and remove it afterward. </w:t>
      </w:r>
    </w:p>
    <w:p w:rsidR="00E51E9F" w:rsidRDefault="00E51E9F" w:rsidP="00E51E9F">
      <w:pPr>
        <w:ind w:firstLine="720"/>
      </w:pPr>
      <w:proofErr w:type="gramStart"/>
      <w:r>
        <w:t>Generally speaking, these</w:t>
      </w:r>
      <w:proofErr w:type="gramEnd"/>
      <w:r>
        <w:t xml:space="preserve"> functions can exist in any programming language, as the transmission and implementation are decoupled. </w:t>
      </w:r>
      <w:proofErr w:type="gramStart"/>
      <w:r>
        <w:t>Assuming that</w:t>
      </w:r>
      <w:proofErr w:type="gramEnd"/>
      <w:r>
        <w:t xml:space="preserve"> the message within the queue represents a self-contained task description, it then becomes possible to execute each task in parallel asynchronously</w:t>
      </w:r>
      <w:sdt>
        <w:sdtPr>
          <w:id w:val="1965844196"/>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t>. When combined with either Function as a Service (</w:t>
      </w:r>
      <w:proofErr w:type="spellStart"/>
      <w:r>
        <w:t>FaaS</w:t>
      </w:r>
      <w:proofErr w:type="spellEnd"/>
      <w:r>
        <w:t>) or High-Performance Compute Clusters (HPCS), these parallel invocations can handle Internet-scale requirements.</w:t>
      </w:r>
    </w:p>
    <w:p w:rsidR="00E51E9F" w:rsidRDefault="00E51E9F" w:rsidP="00E51E9F">
      <w:pPr>
        <w:pStyle w:val="Heading2"/>
      </w:pPr>
      <w:r>
        <w:t>Pitfalls of Distributed System Design</w:t>
      </w:r>
    </w:p>
    <w:p w:rsidR="00020801" w:rsidRDefault="00E51E9F" w:rsidP="00E51E9F">
      <w:pPr>
        <w:ind w:firstLine="720"/>
      </w:pPr>
      <w:r>
        <w:t>Peter Deutsch formulated these flaws as the common assumptions that new distributed systems engineers make: (1) the network is reliable, secure, and homogeneous; (2) topology does not change; (3) latency is zero, bandwidth is unlimited, transport costs are free; and (4) there is only one administrator</w:t>
      </w:r>
      <w:sdt>
        <w:sdtPr>
          <w:id w:val="560375009"/>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w:t>
      </w:r>
    </w:p>
    <w:p w:rsidR="00E51E9F" w:rsidRDefault="00E51E9F" w:rsidP="00E51E9F">
      <w:pPr>
        <w:ind w:firstLine="720"/>
      </w:pPr>
      <w:r>
        <w:t xml:space="preserve">While the Data Processing Network can address elements of these false assumptions, there are additional requirements for the systems engineers. For example, the topology is decoupled from the DPN as messages flow to topic subscribers. Similarly, the message processors </w:t>
      </w:r>
      <w:proofErr w:type="gramStart"/>
      <w:r>
        <w:t>are allowed to</w:t>
      </w:r>
      <w:proofErr w:type="gramEnd"/>
      <w:r>
        <w:t xml:space="preserve"> be heterogeneous as communication occurs through serializable payloads are placed in FIFO queues.</w:t>
      </w:r>
    </w:p>
    <w:p w:rsidR="00E51E9F" w:rsidRDefault="00E51E9F" w:rsidP="00E51E9F">
      <w:pPr>
        <w:ind w:firstLine="720"/>
      </w:pPr>
      <w:r>
        <w:t>Other scenarios, such as mitigating network reliability issues</w:t>
      </w:r>
      <w:r w:rsidR="004611D0">
        <w:t>,</w:t>
      </w:r>
      <w:r>
        <w:t xml:space="preserve"> and efficiently using network capacity, require efficient protocols and procedures within the function implementation</w:t>
      </w:r>
      <w:sdt>
        <w:sdtPr>
          <w:id w:val="-1915923406"/>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 Steen and Tanenbaum propose that these characteristics need to be locally handled instead of assuming an external third-party will “do the right thing.”</w:t>
      </w:r>
    </w:p>
    <w:p w:rsidR="00E51E9F" w:rsidRDefault="00E51E9F" w:rsidP="00E51E9F">
      <w:pPr>
        <w:ind w:firstLine="720"/>
      </w:pPr>
      <w:r>
        <w:lastRenderedPageBreak/>
        <w:t xml:space="preserve">For instance, when the function pulls a message from its queue (1) there needs to be positive hand-off confirmation from (2) each of the caller services they have (3) accepted their copy of the event and (4) replicated it into a durable store. </w:t>
      </w:r>
    </w:p>
    <w:p w:rsidR="00E51E9F" w:rsidRDefault="00E51E9F" w:rsidP="00E51E9F">
      <w:pPr>
        <w:ind w:firstLine="720"/>
      </w:pPr>
      <w:r>
        <w:t>Only then, can the original message be removed from the function’s queue with confidence the payload won’t become lost. Simple scenarios, such as rejuvenation is overdue or incorrectly compensated cluster load, will cause middleware based solutions running on the caller service to become error-prone over time</w:t>
      </w:r>
      <w:sdt>
        <w:sdtPr>
          <w:id w:val="-1380159841"/>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sdt>
        <w:sdtPr>
          <w:id w:val="-1618901473"/>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sdt>
        <w:sdtPr>
          <w:id w:val="-1467892638"/>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w:t>
      </w:r>
    </w:p>
    <w:p w:rsidR="004611D0" w:rsidRDefault="004611D0" w:rsidP="00E51E9F">
      <w:pPr>
        <w:ind w:firstLine="720"/>
      </w:pPr>
      <w:r>
        <w:t>Contoso will also need patterns for efficiently using network resources. If customers in Asia need to wait for content located on American servers, the user experience will suffer. Or if the European customer discovers their account information has left the EU, then law-suits may follow. These classes of issues force many distributed systems to be partitioned and replicated into dedicated geographic regions.</w:t>
      </w:r>
    </w:p>
    <w:p w:rsidR="00ED378F" w:rsidRDefault="00ED378F" w:rsidP="00ED378F">
      <w:pPr>
        <w:pStyle w:val="Heading1"/>
      </w:pPr>
      <w:r>
        <w:t>Retail Stores to Orchestration Services</w:t>
      </w:r>
    </w:p>
    <w:p w:rsidR="000724D3" w:rsidRDefault="00ED378F" w:rsidP="000724D3">
      <w:r>
        <w:tab/>
      </w:r>
      <w:r w:rsidR="000724D3">
        <w:t>Orchestration Services are systems that execute business process workflows. They describe the sequencing requirements to perform some action, along with optional compensation actions to remediate failures</w:t>
      </w:r>
      <w:sdt>
        <w:sdtPr>
          <w:id w:val="-1120915492"/>
          <w:citation/>
        </w:sdtPr>
        <w:sdtContent>
          <w:r w:rsidR="000724D3">
            <w:fldChar w:fldCharType="begin"/>
          </w:r>
          <w:r w:rsidR="000724D3">
            <w:instrText xml:space="preserve"> CITATION Ven15 \l 1033 </w:instrText>
          </w:r>
          <w:r w:rsidR="000724D3">
            <w:fldChar w:fldCharType="separate"/>
          </w:r>
          <w:r w:rsidR="000724D3">
            <w:rPr>
              <w:noProof/>
            </w:rPr>
            <w:t xml:space="preserve"> (Venkatesan &amp; Sridhar, 2015)</w:t>
          </w:r>
          <w:r w:rsidR="000724D3">
            <w:fldChar w:fldCharType="end"/>
          </w:r>
        </w:sdtContent>
      </w:sdt>
      <w:r w:rsidR="000724D3">
        <w:t xml:space="preserve">. An example implementation would be the </w:t>
      </w:r>
      <w:r w:rsidR="000724D3" w:rsidRPr="000724D3">
        <w:t>Web Services-Business Process Execution Language (WS-BPEL)</w:t>
      </w:r>
      <w:r w:rsidR="000724D3">
        <w:t xml:space="preserve"> open standard running on Apache </w:t>
      </w:r>
      <w:r w:rsidR="000724D3" w:rsidRPr="000724D3">
        <w:t>Or</w:t>
      </w:r>
      <w:r w:rsidR="000724D3">
        <w:t>ch</w:t>
      </w:r>
      <w:r w:rsidR="000724D3" w:rsidRPr="000724D3">
        <w:t>estration Director Engine (ODE)</w:t>
      </w:r>
      <w:r w:rsidR="000724D3">
        <w:t xml:space="preserve">. </w:t>
      </w:r>
    </w:p>
    <w:p w:rsidR="000724D3" w:rsidRDefault="000724D3" w:rsidP="000724D3">
      <w:pPr>
        <w:pStyle w:val="Heading2"/>
      </w:pPr>
      <w:r>
        <w:t>Design Paradigm</w:t>
      </w:r>
    </w:p>
    <w:p w:rsidR="00ED378F" w:rsidRDefault="000724D3" w:rsidP="000724D3">
      <w:pPr>
        <w:ind w:firstLine="720"/>
      </w:pPr>
      <w:r w:rsidRPr="000724D3">
        <w:rPr>
          <w:i/>
        </w:rPr>
        <w:t>Programming in the Large</w:t>
      </w:r>
      <w:r>
        <w:t xml:space="preserve"> refers to the ability to author complex workflows using Extensible Markup Language (XML) or equivalent tags. This authoring process tends to be visual and targeted toward the business domain experts. </w:t>
      </w:r>
    </w:p>
    <w:p w:rsidR="000724D3" w:rsidRDefault="000724D3" w:rsidP="000724D3">
      <w:pPr>
        <w:ind w:firstLine="720"/>
      </w:pPr>
      <w:r>
        <w:rPr>
          <w:i/>
        </w:rPr>
        <w:lastRenderedPageBreak/>
        <w:t>Programming in the Small</w:t>
      </w:r>
      <w:r>
        <w:t xml:space="preserve"> refers to the code behind for these workflow tags, and any custom integration logic that is needed. This authoring process tends to target systems engineers who use their existing Integrated Development Environments (IDE).</w:t>
      </w:r>
    </w:p>
    <w:p w:rsidR="000724D3" w:rsidRDefault="000724D3" w:rsidP="000724D3">
      <w:pPr>
        <w:ind w:firstLine="720"/>
      </w:pPr>
      <w:r>
        <w:t xml:space="preserve">Applications written for WS-BPEL can follow this </w:t>
      </w:r>
      <w:r>
        <w:t xml:space="preserve">paradigm </w:t>
      </w:r>
      <w:r>
        <w:t xml:space="preserve">to build highly reliable automation. </w:t>
      </w:r>
      <w:r w:rsidR="00125715">
        <w:t>The standard can also integrate into existing web service technologies such as Simple Object Access Protocol (SOAP), Representational State Transfer (REST), Web Service Description Language (WSDL), Web Service Security (WS-Security), and more</w:t>
      </w:r>
      <w:sdt>
        <w:sdtPr>
          <w:id w:val="-797993067"/>
          <w:citation/>
        </w:sdtPr>
        <w:sdtContent>
          <w:r w:rsidR="00E26473">
            <w:fldChar w:fldCharType="begin"/>
          </w:r>
          <w:r w:rsidR="00E26473">
            <w:instrText xml:space="preserve"> CITATION Kel07 \l 1033 </w:instrText>
          </w:r>
          <w:r w:rsidR="00E26473">
            <w:fldChar w:fldCharType="separate"/>
          </w:r>
          <w:r w:rsidR="00E26473">
            <w:rPr>
              <w:noProof/>
            </w:rPr>
            <w:t xml:space="preserve"> (Keller, 2007)</w:t>
          </w:r>
          <w:r w:rsidR="00E26473">
            <w:fldChar w:fldCharType="end"/>
          </w:r>
        </w:sdtContent>
      </w:sdt>
      <w:r w:rsidR="00125715">
        <w:t>. These touchpoints can significantly reduce the costs of bringing legacy systems into a more modern design.</w:t>
      </w:r>
    </w:p>
    <w:p w:rsidR="00E26473" w:rsidRDefault="00E26473" w:rsidP="00E26473">
      <w:pPr>
        <w:pStyle w:val="Heading2"/>
      </w:pPr>
      <w:r>
        <w:t>Challenges</w:t>
      </w:r>
    </w:p>
    <w:p w:rsidR="004611D0" w:rsidRDefault="004611D0" w:rsidP="00E26473">
      <w:r>
        <w:tab/>
        <w:t xml:space="preserve">Using orchestration services can simplify the development of the distributed application. However, it does not address the cluster management scenarios. Consider a workflow that manages a customer’s order flow and could run for days or weeks. In this scenario, it is not acceptable to but a throttle on the number of concurrent instances of that workflow. </w:t>
      </w:r>
    </w:p>
    <w:p w:rsidR="004611D0" w:rsidRDefault="004611D0" w:rsidP="004611D0">
      <w:pPr>
        <w:ind w:firstLine="720"/>
      </w:pPr>
      <w:r>
        <w:t>When a quota does not exist, how can the cluster prevent oversubscription of resources? It cannot, or at least not directly. Instead, there needs to be a loosely coupled dependency on the executive system</w:t>
      </w:r>
      <w:sdt>
        <w:sdtPr>
          <w:id w:val="208382442"/>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w:t>
      </w:r>
    </w:p>
    <w:p w:rsidR="004611D0" w:rsidRDefault="004611D0" w:rsidP="004611D0">
      <w:pPr>
        <w:ind w:firstLine="720"/>
      </w:pPr>
      <w:r>
        <w:t xml:space="preserve">Perhaps the workflow calls the XYZ service and receives an error notification that the Service Is Too Busy. The workflow instance needs to trap that exception and perform some </w:t>
      </w:r>
      <w:proofErr w:type="spellStart"/>
      <w:r>
        <w:t>backoff</w:t>
      </w:r>
      <w:proofErr w:type="spellEnd"/>
      <w:r>
        <w:t xml:space="preserve"> and retry policy. In parallel, the executive system needs to detect that that insufficient capacity exists and dynamically reconfigure the topology.</w:t>
      </w:r>
    </w:p>
    <w:p w:rsidR="004611D0" w:rsidRDefault="004611D0">
      <w:pPr>
        <w:rPr>
          <w:b/>
        </w:rPr>
      </w:pPr>
      <w:r>
        <w:br w:type="page"/>
      </w:r>
    </w:p>
    <w:p w:rsidR="004611D0" w:rsidRDefault="004611D0" w:rsidP="004611D0">
      <w:pPr>
        <w:pStyle w:val="Heading1"/>
      </w:pPr>
      <w:r>
        <w:lastRenderedPageBreak/>
        <w:t>Conclusion</w:t>
      </w:r>
    </w:p>
    <w:p w:rsidR="004611D0" w:rsidRDefault="004611D0" w:rsidP="004611D0">
      <w:r>
        <w:tab/>
        <w:t xml:space="preserve">There are multiple viable approaches to building distributed systems, and their pros and cons weighed. </w:t>
      </w:r>
    </w:p>
    <w:p w:rsidR="004611D0" w:rsidRDefault="004611D0" w:rsidP="004611D0">
      <w:pPr>
        <w:ind w:firstLine="720"/>
      </w:pPr>
      <w:r>
        <w:t>Traditional methods have relied on command and structures such as tree-based distribution models. While these have been effective for decades, there are more modern solutions available through HPCS (and cloud) services.</w:t>
      </w:r>
    </w:p>
    <w:p w:rsidR="004611D0" w:rsidRDefault="004611D0" w:rsidP="004611D0">
      <w:r>
        <w:tab/>
        <w:t xml:space="preserve">Two common patterns for building within HPCS are the Data Processing Networks and Orchestration Services approach. </w:t>
      </w:r>
    </w:p>
    <w:p w:rsidR="004611D0" w:rsidRDefault="004611D0" w:rsidP="004611D0">
      <w:pPr>
        <w:ind w:firstLine="720"/>
      </w:pPr>
      <w:r>
        <w:t xml:space="preserve">Data Processing Networks relies on a collection of FIFO queues that will trigger a function to perform an idempotent action. These are simple to understand and can reach enormous scales of parallel processing. </w:t>
      </w:r>
    </w:p>
    <w:p w:rsidR="004611D0" w:rsidRDefault="004611D0" w:rsidP="004611D0">
      <w:pPr>
        <w:ind w:firstLine="720"/>
      </w:pPr>
      <w:r>
        <w:t xml:space="preserve">Orchestration Services segment the authoring problem into business expert and system engineer domains. Through a clear separation of </w:t>
      </w:r>
      <w:proofErr w:type="gramStart"/>
      <w:r>
        <w:t>duties</w:t>
      </w:r>
      <w:proofErr w:type="gramEnd"/>
      <w:r>
        <w:t xml:space="preserve"> the right experts can be more involved with the process and not hope the other teams did the right thing. These capabilities allow defects to be surfaced sooner and reduce the impact on customers.</w:t>
      </w:r>
    </w:p>
    <w:p w:rsidR="004611D0" w:rsidRDefault="004611D0" w:rsidP="004611D0">
      <w:pPr>
        <w:ind w:firstLine="720"/>
      </w:pPr>
      <w:r>
        <w:t xml:space="preserve">Just as it is not possible to have a one-size fits all distributed system architecture, a distributed system architecture could use multiple patterns. Perhaps the Retail Services portal has a more natural alignment with Orchestration and the Manufacturing Services process better aligns with Data Processing Networks. </w:t>
      </w:r>
    </w:p>
    <w:p w:rsidR="004611D0" w:rsidRDefault="004611D0" w:rsidP="004611D0">
      <w:pPr>
        <w:ind w:firstLine="720"/>
      </w:pPr>
      <w:r>
        <w:t>In these scenarios, it should be perfectly acceptable to choose the right tool for the job. Ultimately the goal of a distributed system to resolve a program as quickly and efficiently as imaginable</w:t>
      </w:r>
      <w:sdt>
        <w:sdtPr>
          <w:id w:val="-1207868325"/>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Provided that happens and the customer is delighted, not a </w:t>
      </w:r>
      <w:proofErr w:type="gramStart"/>
      <w:r>
        <w:t>lot</w:t>
      </w:r>
      <w:proofErr w:type="gramEnd"/>
      <w:r>
        <w:t xml:space="preserve"> else matters.</w:t>
      </w:r>
    </w:p>
    <w:sdt>
      <w:sdtPr>
        <w:id w:val="725408513"/>
        <w:docPartObj>
          <w:docPartGallery w:val="Bibliographies"/>
          <w:docPartUnique/>
        </w:docPartObj>
      </w:sdtPr>
      <w:sdtEndPr>
        <w:rPr>
          <w:b w:val="0"/>
        </w:rPr>
      </w:sdtEndPr>
      <w:sdtContent>
        <w:p w:rsidR="004611D0" w:rsidRDefault="004611D0">
          <w:pPr>
            <w:pStyle w:val="Heading1"/>
          </w:pPr>
          <w:r>
            <w:t>References</w:t>
          </w:r>
        </w:p>
        <w:sdt>
          <w:sdtPr>
            <w:id w:val="-573587230"/>
            <w:bibliography/>
          </w:sdtPr>
          <w:sdtContent>
            <w:p w:rsidR="004611D0" w:rsidRDefault="004611D0" w:rsidP="004611D0">
              <w:pPr>
                <w:pStyle w:val="Bibliography"/>
                <w:ind w:left="720" w:hanging="720"/>
                <w:rPr>
                  <w:noProof/>
                </w:rPr>
              </w:pPr>
              <w:r>
                <w:fldChar w:fldCharType="begin"/>
              </w:r>
              <w:r>
                <w:instrText xml:space="preserve"> BIBLIOGRAPHY </w:instrText>
              </w:r>
              <w:r>
                <w:fldChar w:fldCharType="separate"/>
              </w:r>
              <w:r>
                <w:rPr>
                  <w:noProof/>
                </w:rPr>
                <w:t>Annadurai &amp; Vijayalakshmi. (2016). Context Centric Cluster Computing (C4) in Ad Hoc Network.</w:t>
              </w:r>
            </w:p>
            <w:p w:rsidR="004611D0" w:rsidRDefault="004611D0" w:rsidP="004611D0">
              <w:pPr>
                <w:pStyle w:val="Bibliography"/>
                <w:ind w:left="720" w:hanging="720"/>
                <w:rPr>
                  <w:noProof/>
                </w:rPr>
              </w:pPr>
              <w:r>
                <w:rPr>
                  <w:noProof/>
                </w:rPr>
                <w:t>Baudisch &amp; Schneider. (2013). Evaluation of Speculation in Out-of-Order Execution.</w:t>
              </w:r>
            </w:p>
            <w:p w:rsidR="004611D0" w:rsidRDefault="004611D0" w:rsidP="004611D0">
              <w:pPr>
                <w:pStyle w:val="Bibliography"/>
                <w:ind w:left="720" w:hanging="720"/>
                <w:rPr>
                  <w:noProof/>
                </w:rPr>
              </w:pPr>
              <w:r>
                <w:rPr>
                  <w:noProof/>
                </w:rPr>
                <w:t>Celar, Mudnic, &amp; Seremet. (2016). State of the Art Messaging for Distributed Computing Systems.</w:t>
              </w:r>
            </w:p>
            <w:p w:rsidR="004611D0" w:rsidRDefault="004611D0" w:rsidP="004611D0">
              <w:pPr>
                <w:pStyle w:val="Bibliography"/>
                <w:ind w:left="720" w:hanging="720"/>
                <w:rPr>
                  <w:noProof/>
                </w:rPr>
              </w:pPr>
              <w:r>
                <w:rPr>
                  <w:noProof/>
                </w:rPr>
                <w:t xml:space="preserve">Keller. (2007). </w:t>
              </w:r>
              <w:r>
                <w:rPr>
                  <w:i/>
                  <w:iCs/>
                  <w:noProof/>
                </w:rPr>
                <w:t>BPEL in the Real World.</w:t>
              </w:r>
              <w:r>
                <w:rPr>
                  <w:noProof/>
                </w:rPr>
                <w:t xml:space="preserve"> Retrieved from Oasis Open.</w:t>
              </w:r>
            </w:p>
            <w:p w:rsidR="004611D0" w:rsidRDefault="004611D0" w:rsidP="004611D0">
              <w:pPr>
                <w:pStyle w:val="Bibliography"/>
                <w:ind w:left="720" w:hanging="720"/>
                <w:rPr>
                  <w:noProof/>
                </w:rPr>
              </w:pPr>
              <w:r>
                <w:rPr>
                  <w:noProof/>
                </w:rPr>
                <w:t>Khaneghah &amp; Sharifi. (2013). AMRC: an algebraic model fo</w:t>
              </w:r>
              <w:bookmarkStart w:id="0" w:name="_GoBack"/>
              <w:bookmarkEnd w:id="0"/>
              <w:r>
                <w:rPr>
                  <w:noProof/>
                </w:rPr>
                <w:t>r reconfiguration of high</w:t>
              </w:r>
              <w:r w:rsidR="004F1FE6">
                <w:rPr>
                  <w:noProof/>
                </w:rPr>
                <w:t>-</w:t>
              </w:r>
              <w:r>
                <w:rPr>
                  <w:noProof/>
                </w:rPr>
                <w:t>performance cluster computing systems at runtime.</w:t>
              </w:r>
            </w:p>
            <w:p w:rsidR="004611D0" w:rsidRDefault="004611D0" w:rsidP="004611D0">
              <w:pPr>
                <w:pStyle w:val="Bibliography"/>
                <w:ind w:left="720" w:hanging="720"/>
                <w:rPr>
                  <w:noProof/>
                </w:rPr>
              </w:pPr>
              <w:r>
                <w:rPr>
                  <w:noProof/>
                </w:rPr>
                <w:t>Steen, V., &amp; Tanenbaum. (2016). A brief introduction to distributed systems.</w:t>
              </w:r>
            </w:p>
            <w:p w:rsidR="004611D0" w:rsidRDefault="004611D0" w:rsidP="004611D0">
              <w:pPr>
                <w:pStyle w:val="Bibliography"/>
                <w:ind w:left="720" w:hanging="720"/>
                <w:rPr>
                  <w:noProof/>
                </w:rPr>
              </w:pPr>
              <w:r>
                <w:rPr>
                  <w:noProof/>
                </w:rPr>
                <w:t>Venkatesan &amp; Sridhar. (2015). A novel programming framework for architecting next</w:t>
              </w:r>
              <w:r w:rsidR="004F1FE6">
                <w:rPr>
                  <w:noProof/>
                </w:rPr>
                <w:t>-</w:t>
              </w:r>
              <w:r>
                <w:rPr>
                  <w:noProof/>
                </w:rPr>
                <w:t>generation enterprise</w:t>
              </w:r>
              <w:r w:rsidR="004F1FE6">
                <w:rPr>
                  <w:noProof/>
                </w:rPr>
                <w:t>-</w:t>
              </w:r>
              <w:r>
                <w:rPr>
                  <w:noProof/>
                </w:rPr>
                <w:t>scale information systems.</w:t>
              </w:r>
            </w:p>
            <w:p w:rsidR="004611D0" w:rsidRDefault="004611D0" w:rsidP="004611D0">
              <w:pPr>
                <w:pStyle w:val="Bibliography"/>
                <w:ind w:left="720" w:hanging="720"/>
                <w:rPr>
                  <w:noProof/>
                </w:rPr>
              </w:pPr>
              <w:r>
                <w:rPr>
                  <w:noProof/>
                </w:rPr>
                <w:t>Yang, Min, Yang, &amp; Li. (2013). Software rejuvenation in cluster computing systems with dependency between nodes.</w:t>
              </w:r>
            </w:p>
            <w:p w:rsidR="004611D0" w:rsidRDefault="004611D0" w:rsidP="004611D0">
              <w:r>
                <w:rPr>
                  <w:b/>
                  <w:bCs/>
                  <w:noProof/>
                </w:rPr>
                <w:fldChar w:fldCharType="end"/>
              </w:r>
            </w:p>
          </w:sdtContent>
        </w:sdt>
      </w:sdtContent>
    </w:sdt>
    <w:p w:rsidR="004611D0" w:rsidRPr="00E26473" w:rsidRDefault="004611D0" w:rsidP="004611D0"/>
    <w:sectPr w:rsidR="004611D0" w:rsidRPr="00E2647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008" w:rsidRDefault="00FC0008" w:rsidP="0082223F">
      <w:pPr>
        <w:spacing w:line="240" w:lineRule="auto"/>
      </w:pPr>
      <w:r>
        <w:separator/>
      </w:r>
    </w:p>
  </w:endnote>
  <w:endnote w:type="continuationSeparator" w:id="0">
    <w:p w:rsidR="00FC0008" w:rsidRDefault="00FC000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008" w:rsidRDefault="00FC0008" w:rsidP="0082223F">
      <w:pPr>
        <w:spacing w:line="240" w:lineRule="auto"/>
      </w:pPr>
      <w:r>
        <w:separator/>
      </w:r>
    </w:p>
  </w:footnote>
  <w:footnote w:type="continuationSeparator" w:id="0">
    <w:p w:rsidR="00FC0008" w:rsidRDefault="00FC000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724D3"/>
    <w:rsid w:val="000D1CDB"/>
    <w:rsid w:val="00125715"/>
    <w:rsid w:val="00183597"/>
    <w:rsid w:val="002806B7"/>
    <w:rsid w:val="002F11AC"/>
    <w:rsid w:val="00364957"/>
    <w:rsid w:val="00373B6F"/>
    <w:rsid w:val="00401D65"/>
    <w:rsid w:val="004223E8"/>
    <w:rsid w:val="004611D0"/>
    <w:rsid w:val="004A784B"/>
    <w:rsid w:val="004F1FE6"/>
    <w:rsid w:val="00664A6A"/>
    <w:rsid w:val="00814299"/>
    <w:rsid w:val="0082223F"/>
    <w:rsid w:val="008B5129"/>
    <w:rsid w:val="00A8497D"/>
    <w:rsid w:val="00C73692"/>
    <w:rsid w:val="00C93BB7"/>
    <w:rsid w:val="00CA15DD"/>
    <w:rsid w:val="00DE2224"/>
    <w:rsid w:val="00E26473"/>
    <w:rsid w:val="00E51E9F"/>
    <w:rsid w:val="00ED378F"/>
    <w:rsid w:val="00FC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461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775827844">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6447735">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051614207">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1914511635">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2</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5</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6</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1</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8</b:RefOrder>
  </b:Source>
</b:Sources>
</file>

<file path=customXml/itemProps1.xml><?xml version="1.0" encoding="utf-8"?>
<ds:datastoreItem xmlns:ds="http://schemas.openxmlformats.org/officeDocument/2006/customXml" ds:itemID="{6D827A5D-046D-430B-AE34-BA58698D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2019-09-22T16:13:00Z</dcterms:modified>
</cp:coreProperties>
</file>