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D281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67FE5">
        <w:t>2</w:t>
      </w:r>
      <w:r>
        <w:t xml:space="preserve">: Week </w:t>
      </w:r>
      <w:r w:rsidR="00967FE5">
        <w:t>3</w:t>
      </w:r>
      <w:r>
        <w:t xml:space="preserve">: </w:t>
      </w:r>
      <w:r w:rsidR="00967FE5" w:rsidRPr="00967FE5">
        <w:t>Communication Mechanisms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967FE5" w:rsidP="0082223F">
      <w:pPr>
        <w:jc w:val="center"/>
      </w:pPr>
      <w:r>
        <w:t>October</w:t>
      </w:r>
      <w:r w:rsidR="0082223F">
        <w:t xml:space="preserve"> </w:t>
      </w:r>
      <w:r>
        <w:t>6</w:t>
      </w:r>
      <w:r w:rsidRPr="00967FE5">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967FE5" w:rsidP="00967FE5">
      <w:pPr>
        <w:jc w:val="center"/>
        <w:rPr>
          <w:b/>
        </w:rPr>
      </w:pPr>
      <w:r w:rsidRPr="00967FE5">
        <w:rPr>
          <w:b/>
        </w:rPr>
        <w:lastRenderedPageBreak/>
        <w:t>Communication Mechanisms</w:t>
      </w:r>
    </w:p>
    <w:p w:rsidR="00D4589B" w:rsidRPr="00D4589B" w:rsidRDefault="00A51EA1">
      <w:r>
        <w:rPr>
          <w:b/>
        </w:rPr>
        <w:tab/>
      </w:r>
      <w:r>
        <w:t>Distributed systems are composed of systems that need to participate in conversations across the network.  The requirements of these conversations will as the participants optimize network overhead, service response time, higher hit ratios, and scalability considerations</w:t>
      </w:r>
      <w:sdt>
        <w:sdtPr>
          <w:id w:val="1327471917"/>
          <w:citation/>
        </w:sdtPr>
        <w:sdtContent>
          <w:r>
            <w:fldChar w:fldCharType="begin"/>
          </w:r>
          <w:r>
            <w:instrText xml:space="preserve">CITATION Che16 \l 1033 </w:instrText>
          </w:r>
          <w:r>
            <w:fldChar w:fldCharType="separate"/>
          </w:r>
          <w:r>
            <w:rPr>
              <w:noProof/>
            </w:rPr>
            <w:t xml:space="preserve"> (Chen &amp; Sung, 2016)</w:t>
          </w:r>
          <w:r>
            <w:fldChar w:fldCharType="end"/>
          </w:r>
        </w:sdtContent>
      </w:sdt>
      <w:r>
        <w:t>.  Due to applications having different constraints, there is an assortment of protocols that make trade-offs in terms of scale or performance.  Chen and Sung, provide the example of Microsoft’s Universal Plug and Play (UPnP), which can easily share services on a local network but cannot scale to an enormous enterprise environment.  Th</w:t>
      </w:r>
      <w:r w:rsidR="003A28D5">
        <w:t>ese choices</w:t>
      </w:r>
      <w:r>
        <w:t xml:space="preserve"> naturally led to systems designers needing to be </w:t>
      </w:r>
      <w:proofErr w:type="spellStart"/>
      <w:r>
        <w:t>cognisent</w:t>
      </w:r>
      <w:proofErr w:type="spellEnd"/>
      <w:r>
        <w:t xml:space="preserve"> of the target audience when selecting a network protocol.</w:t>
      </w:r>
    </w:p>
    <w:p w:rsidR="0016447E" w:rsidRDefault="0016447E" w:rsidP="0016447E">
      <w:pPr>
        <w:pStyle w:val="Heading1"/>
      </w:pPr>
      <w:r>
        <w:t>Common Protocols in Networked Applications</w:t>
      </w:r>
    </w:p>
    <w:p w:rsidR="0016447E" w:rsidRPr="0016447E" w:rsidRDefault="0016447E" w:rsidP="0016447E">
      <w:r>
        <w:tab/>
        <w:t>The Open Systems Interconnection (OSI) model represents network communication as a series of layers</w:t>
      </w:r>
      <w:sdt>
        <w:sdtPr>
          <w:id w:val="-903602450"/>
          <w:citation/>
        </w:sdtPr>
        <w:sdtContent>
          <w:r>
            <w:fldChar w:fldCharType="begin"/>
          </w:r>
          <w:r>
            <w:instrText xml:space="preserve">CITATION Zim \l 1033 </w:instrText>
          </w:r>
          <w:r>
            <w:fldChar w:fldCharType="separate"/>
          </w:r>
          <w:r>
            <w:rPr>
              <w:noProof/>
            </w:rPr>
            <w:t xml:space="preserve"> (Zimmermann, 1980)</w:t>
          </w:r>
          <w:r>
            <w:fldChar w:fldCharType="end"/>
          </w:r>
        </w:sdtContent>
      </w:sdt>
      <w:r>
        <w:t xml:space="preserve">.  Implementation of each layer can focus on the immediate task at hand, as there are clear </w:t>
      </w:r>
      <w:proofErr w:type="spellStart"/>
      <w:r>
        <w:t>sepearation</w:t>
      </w:r>
      <w:proofErr w:type="spellEnd"/>
      <w:r>
        <w:t xml:space="preserve"> of duties with other aspects of the system.</w:t>
      </w:r>
    </w:p>
    <w:tbl>
      <w:tblPr>
        <w:tblStyle w:val="GridTable5Dark-Accent6"/>
        <w:tblW w:w="10255" w:type="dxa"/>
        <w:tblLook w:val="04A0" w:firstRow="1" w:lastRow="0" w:firstColumn="1" w:lastColumn="0" w:noHBand="0" w:noVBand="1"/>
      </w:tblPr>
      <w:tblGrid>
        <w:gridCol w:w="1885"/>
        <w:gridCol w:w="2722"/>
        <w:gridCol w:w="5648"/>
      </w:tblGrid>
      <w:tr w:rsidR="008E66CB" w:rsidTr="00EE4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Pr="0016447E" w:rsidRDefault="008E66CB" w:rsidP="0016447E">
            <w:pPr>
              <w:jc w:val="center"/>
              <w:rPr>
                <w:b w:val="0"/>
              </w:rPr>
            </w:pPr>
            <w:r w:rsidRPr="0016447E">
              <w:rPr>
                <w:b w:val="0"/>
              </w:rPr>
              <w:t>OSI Level</w:t>
            </w:r>
          </w:p>
        </w:tc>
        <w:tc>
          <w:tcPr>
            <w:tcW w:w="2722"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sidRPr="0016447E">
              <w:rPr>
                <w:b w:val="0"/>
              </w:rPr>
              <w:t>Purpose</w:t>
            </w:r>
          </w:p>
        </w:tc>
        <w:tc>
          <w:tcPr>
            <w:tcW w:w="5648"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Pr>
                <w:b w:val="0"/>
              </w:rPr>
              <w:t>Examples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Application </w:t>
            </w:r>
            <w:r>
              <w:br/>
              <w:t>(Layer 7)</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the interface between the software running on the device and the network protocol</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Secure Shell (SSH): Remote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File Transfer Protocol (FTP): File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Domain Name Services (DNS): A protocol for translating network names into IP addresses.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Bonjour: Protocol for name translation on OSX</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Presentation </w:t>
            </w:r>
            <w:r>
              <w:br/>
              <w:t>(Layer 6)</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Responsible for packet forwarding and routing through intermediate routers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Transport (HTTP): Stateless protocol for request/response traffic</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Simple Network Management Protocol (SNMP): Stateless protocol for communicating with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Session </w:t>
            </w:r>
            <w:r>
              <w:br/>
              <w:t>(Layer 5)</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process communications between two or more networked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Remote Procedure Calls (RPC): Share application state across disjoined systems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Named Pipes: An Inter-Process Communication (IPC) mechanism</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Server Message Block (SMB): Windows-to-Windows protocol of choice for administration scenarios.</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Transport </w:t>
            </w:r>
            <w:r>
              <w:br/>
              <w:t>(Layer 4)</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Transfers data between various systems and hosts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Transmission Control Protocol (TCP): Mechanism for ensuring delivery and resending packets within a stream</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lastRenderedPageBreak/>
              <w:t>User Datagram Protocol (UDP): A lightweight system for best effort delivery and multi-casting scenarios</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Border Gateway Protocol (BGP): Defines network edge to edge routes.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lastRenderedPageBreak/>
              <w:t>Network Link (Layer 3)</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switching and routing functionality between connected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Internet Protocol (IP): A route addressing solution for getting packets across the Internet.</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Virtual Private Network (VPN): Encapsulates traffic and then routes it to a different network.</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Data Link </w:t>
            </w:r>
            <w:r>
              <w:br/>
              <w:t>(Layer 2)</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A link between two directly connected nodes</w:t>
            </w:r>
            <w:proofErr w:type="gramStart"/>
            <w:r w:rsidRPr="008E66CB">
              <w:t xml:space="preserve">. </w:t>
            </w:r>
            <w:proofErr w:type="gramEnd"/>
            <w:r w:rsidRPr="008E66CB">
              <w:t>Detects and corrects errors transmitted from the physical layer</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Ethernet: A technology for detecting and correcting failures on the wire.</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Address Resolution Protocol (ARP): Translates IP-to-MAC addresses between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Physical Layer (Layer 1)</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Defines the connection between the physical device and its connection mechanism</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CAT-5: An encoding scheme for reading the electrical signal</w:t>
            </w:r>
            <w:r w:rsidR="0000270F">
              <w:t>.</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r>
              <w:t>Universal Serial Bus (USB): Connects devices through a generic interface.</w:t>
            </w:r>
          </w:p>
          <w:p w:rsidR="005867FA" w:rsidRDefault="005867FA" w:rsidP="0016447E">
            <w:pPr>
              <w:cnfStyle w:val="000000100000" w:firstRow="0" w:lastRow="0" w:firstColumn="0" w:lastColumn="0" w:oddVBand="0" w:evenVBand="0" w:oddHBand="1" w:evenHBand="0" w:firstRowFirstColumn="0" w:firstRowLastColumn="0" w:lastRowFirstColumn="0" w:lastRowLastColumn="0"/>
            </w:pPr>
            <w:r>
              <w:t>802.11 (Wi-Fi): Radio communication frequently used in offices, coffee shops, and other wireless scenarios.</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p>
        </w:tc>
      </w:tr>
    </w:tbl>
    <w:p w:rsidR="00986557" w:rsidRDefault="00044E85" w:rsidP="003A28D5">
      <w:pPr>
        <w:pStyle w:val="Heading1"/>
      </w:pPr>
      <w:r>
        <w:t>Network Management Suites</w:t>
      </w:r>
    </w:p>
    <w:p w:rsidR="003A28D5" w:rsidRPr="00477BDB" w:rsidRDefault="003A28D5" w:rsidP="003A28D5">
      <w:r>
        <w:tab/>
        <w:t>Distributed systems can reduce their net costs, through higher utilization by sharing storage and compute resources across multiple tenants</w:t>
      </w:r>
      <w:sdt>
        <w:sdtPr>
          <w:id w:val="-869913312"/>
          <w:citation/>
        </w:sdt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xml:space="preserve">.  These resource allocations become multi-process decompositions, as the </w:t>
      </w:r>
      <w:proofErr w:type="gramStart"/>
      <w:r>
        <w:t>High Performance</w:t>
      </w:r>
      <w:proofErr w:type="gramEnd"/>
      <w:r>
        <w:t xml:space="preserve"> Computing Service (HPCS) breaks them into manageable units of work</w:t>
      </w:r>
      <w:sdt>
        <w:sdtPr>
          <w:id w:val="-175958574"/>
          <w:citation/>
        </w:sdtPr>
        <w:sdtContent>
          <w:r>
            <w:fldChar w:fldCharType="begin"/>
          </w:r>
          <w:r>
            <w:instrText xml:space="preserve"> CITATION Thi \l 1033 </w:instrText>
          </w:r>
          <w:r>
            <w:fldChar w:fldCharType="separate"/>
          </w:r>
          <w:r>
            <w:rPr>
              <w:noProof/>
            </w:rPr>
            <w:t xml:space="preserve"> (Thiele, et al.)</w:t>
          </w:r>
          <w:r>
            <w:fldChar w:fldCharType="end"/>
          </w:r>
        </w:sdtContent>
      </w:sdt>
      <w:r>
        <w:t>.  For example, YouTube subscribers upload 500 hours of video every single minute</w:t>
      </w:r>
      <w:sdt>
        <w:sdtPr>
          <w:id w:val="1406792944"/>
          <w:citation/>
        </w:sdtPr>
        <w:sdtContent>
          <w:r>
            <w:fldChar w:fldCharType="begin"/>
          </w:r>
          <w:r>
            <w:instrText xml:space="preserve"> CITATION Cel19 \l 1033 </w:instrText>
          </w:r>
          <w:r>
            <w:fldChar w:fldCharType="separate"/>
          </w:r>
          <w:r>
            <w:rPr>
              <w:noProof/>
            </w:rPr>
            <w:t xml:space="preserve"> (Celement, 2019)</w:t>
          </w:r>
          <w:r>
            <w:fldChar w:fldCharType="end"/>
          </w:r>
        </w:sdtContent>
      </w:sdt>
      <w:r>
        <w:t>.  These videos need to be encoded, replicated, and indexed across network systems.</w:t>
      </w:r>
      <w:r w:rsidR="00477BDB">
        <w:t xml:space="preserve">  It would be challenging for a traditional computer operating system to manage that process, as their scope of control is too </w:t>
      </w:r>
      <w:r w:rsidR="00477BDB" w:rsidRPr="00477BDB">
        <w:rPr>
          <w:i/>
        </w:rPr>
        <w:t>centralized</w:t>
      </w:r>
      <w:r w:rsidR="00477BDB">
        <w:t xml:space="preserve"> and optimized for organizing </w:t>
      </w:r>
      <w:r w:rsidR="00477BDB" w:rsidRPr="00477BDB">
        <w:rPr>
          <w:i/>
        </w:rPr>
        <w:t>local</w:t>
      </w:r>
      <w:r w:rsidR="00477BDB">
        <w:t xml:space="preserve"> resources.  Network Management Suites can address the </w:t>
      </w:r>
      <w:r w:rsidR="00477BDB" w:rsidRPr="00477BDB">
        <w:rPr>
          <w:i/>
        </w:rPr>
        <w:t>decentralized</w:t>
      </w:r>
      <w:r w:rsidR="00477BDB">
        <w:rPr>
          <w:i/>
        </w:rPr>
        <w:t xml:space="preserve"> </w:t>
      </w:r>
      <w:r w:rsidR="00477BDB">
        <w:t xml:space="preserve">nature of these problems to organize </w:t>
      </w:r>
      <w:r w:rsidR="00477BDB" w:rsidRPr="00477BDB">
        <w:rPr>
          <w:i/>
        </w:rPr>
        <w:t>remote</w:t>
      </w:r>
      <w:r w:rsidR="00477BDB">
        <w:t xml:space="preserve"> resources.</w:t>
      </w:r>
    </w:p>
    <w:tbl>
      <w:tblPr>
        <w:tblStyle w:val="GridTable4-Accent6"/>
        <w:tblW w:w="10255" w:type="dxa"/>
        <w:tblLook w:val="04A0" w:firstRow="1" w:lastRow="0" w:firstColumn="1" w:lastColumn="0" w:noHBand="0" w:noVBand="1"/>
      </w:tblPr>
      <w:tblGrid>
        <w:gridCol w:w="2605"/>
        <w:gridCol w:w="3628"/>
        <w:gridCol w:w="4022"/>
      </w:tblGrid>
      <w:tr w:rsidR="00986557" w:rsidTr="00651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86557" w:rsidRPr="00986557" w:rsidRDefault="00986557" w:rsidP="00986557">
            <w:pPr>
              <w:jc w:val="center"/>
              <w:rPr>
                <w:b w:val="0"/>
              </w:rPr>
            </w:pPr>
            <w:r w:rsidRPr="00986557">
              <w:rPr>
                <w:b w:val="0"/>
              </w:rPr>
              <w:t>Product</w:t>
            </w:r>
          </w:p>
        </w:tc>
        <w:tc>
          <w:tcPr>
            <w:tcW w:w="3628" w:type="dxa"/>
          </w:tcPr>
          <w:p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Pros</w:t>
            </w:r>
          </w:p>
        </w:tc>
        <w:tc>
          <w:tcPr>
            <w:tcW w:w="4022" w:type="dxa"/>
          </w:tcPr>
          <w:p w:rsidR="00986557" w:rsidRPr="00986557" w:rsidRDefault="00986557" w:rsidP="00986557">
            <w:pPr>
              <w:jc w:val="center"/>
              <w:cnfStyle w:val="100000000000" w:firstRow="1" w:lastRow="0" w:firstColumn="0" w:lastColumn="0" w:oddVBand="0" w:evenVBand="0" w:oddHBand="0" w:evenHBand="0" w:firstRowFirstColumn="0" w:firstRowLastColumn="0" w:lastRowFirstColumn="0" w:lastRowLastColumn="0"/>
              <w:rPr>
                <w:b w:val="0"/>
              </w:rPr>
            </w:pPr>
            <w:r w:rsidRPr="00986557">
              <w:rPr>
                <w:b w:val="0"/>
              </w:rPr>
              <w:t>Cons</w:t>
            </w:r>
          </w:p>
        </w:tc>
      </w:tr>
      <w:tr w:rsidR="00986557"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986557" w:rsidRDefault="00651AAE" w:rsidP="00986557">
            <w:r>
              <w:t>Apache Hadoop</w:t>
            </w:r>
            <w:sdt>
              <w:sdtPr>
                <w:id w:val="-1353946436"/>
                <w:citation/>
              </w:sdtPr>
              <w:sdtContent>
                <w:r w:rsidR="00531327">
                  <w:fldChar w:fldCharType="begin"/>
                </w:r>
                <w:r w:rsidR="00531327">
                  <w:instrText xml:space="preserve"> CITATION Apa191 \l 1033 </w:instrText>
                </w:r>
                <w:r w:rsidR="00531327">
                  <w:fldChar w:fldCharType="separate"/>
                </w:r>
                <w:r w:rsidR="00531327">
                  <w:rPr>
                    <w:noProof/>
                  </w:rPr>
                  <w:t xml:space="preserve"> (Apache Hadoop, 2019)</w:t>
                </w:r>
                <w:r w:rsidR="00531327">
                  <w:fldChar w:fldCharType="end"/>
                </w:r>
              </w:sdtContent>
            </w:sdt>
          </w:p>
        </w:tc>
        <w:tc>
          <w:tcPr>
            <w:tcW w:w="3628" w:type="dxa"/>
          </w:tcPr>
          <w:p w:rsidR="00986557" w:rsidRDefault="00651AAE" w:rsidP="00986557">
            <w:pPr>
              <w:cnfStyle w:val="000000100000" w:firstRow="0" w:lastRow="0" w:firstColumn="0" w:lastColumn="0" w:oddVBand="0" w:evenVBand="0" w:oddHBand="1" w:evenHBand="0" w:firstRowFirstColumn="0" w:firstRowLastColumn="0" w:lastRowFirstColumn="0" w:lastRowLastColumn="0"/>
            </w:pPr>
            <w:r>
              <w:t>General purpose solution for distributed file management</w:t>
            </w:r>
          </w:p>
        </w:tc>
        <w:tc>
          <w:tcPr>
            <w:tcW w:w="4022" w:type="dxa"/>
          </w:tcPr>
          <w:p w:rsidR="00986557" w:rsidRDefault="00651AAE" w:rsidP="00986557">
            <w:pPr>
              <w:cnfStyle w:val="000000100000" w:firstRow="0" w:lastRow="0" w:firstColumn="0" w:lastColumn="0" w:oddVBand="0" w:evenVBand="0" w:oddHBand="1" w:evenHBand="0" w:firstRowFirstColumn="0" w:firstRowLastColumn="0" w:lastRowFirstColumn="0" w:lastRowLastColumn="0"/>
            </w:pPr>
            <w:r>
              <w:t>Complex to provision and manage</w:t>
            </w:r>
            <w:proofErr w:type="gramStart"/>
            <w:r>
              <w:t xml:space="preserve">. </w:t>
            </w:r>
            <w:proofErr w:type="gramEnd"/>
            <w:r>
              <w:t>Major cloud providers have addressed this challenge with managed solutions.</w:t>
            </w:r>
          </w:p>
          <w:p w:rsidR="00531327" w:rsidRDefault="00531327" w:rsidP="00986557">
            <w:pPr>
              <w:cnfStyle w:val="000000100000" w:firstRow="0" w:lastRow="0" w:firstColumn="0" w:lastColumn="0" w:oddVBand="0" w:evenVBand="0" w:oddHBand="1" w:evenHBand="0" w:firstRowFirstColumn="0" w:firstRowLastColumn="0" w:lastRowFirstColumn="0" w:lastRowLastColumn="0"/>
            </w:pPr>
            <w:r>
              <w:t>It requires an ecosystem or related tools for many use cases.</w:t>
            </w:r>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lastRenderedPageBreak/>
              <w:t>Apache Yarn</w:t>
            </w:r>
            <w:r w:rsidR="00531327">
              <w:br/>
            </w:r>
            <w:sdt>
              <w:sdtPr>
                <w:id w:val="-1953320585"/>
                <w:citation/>
              </w:sdtPr>
              <w:sdtContent>
                <w:r w:rsidR="00531327">
                  <w:fldChar w:fldCharType="begin"/>
                </w:r>
                <w:r w:rsidR="00531327">
                  <w:instrText xml:space="preserve"> CITATION Apa19 \l 1033 </w:instrText>
                </w:r>
                <w:r w:rsidR="00531327">
                  <w:fldChar w:fldCharType="separate"/>
                </w:r>
                <w:r w:rsidR="00531327">
                  <w:rPr>
                    <w:noProof/>
                  </w:rPr>
                  <w:t xml:space="preserve"> (Apache, 2019)</w:t>
                </w:r>
                <w:r w:rsidR="00531327">
                  <w:fldChar w:fldCharType="end"/>
                </w:r>
              </w:sdtContent>
            </w:sdt>
          </w:p>
        </w:tc>
        <w:tc>
          <w:tcPr>
            <w:tcW w:w="3628"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General purpose task orchestration.</w:t>
            </w:r>
          </w:p>
        </w:tc>
        <w:tc>
          <w:tcPr>
            <w:tcW w:w="4022"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specialized frameworks and programming models to efficiently leverage.</w:t>
            </w:r>
          </w:p>
        </w:tc>
      </w:tr>
      <w:tr w:rsidR="00651AAE"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rsidRPr="00651AAE">
              <w:t>Kubernetes</w:t>
            </w:r>
            <w:sdt>
              <w:sdtPr>
                <w:id w:val="-1984384303"/>
                <w:citation/>
              </w:sdtPr>
              <w:sdtContent>
                <w:r w:rsidR="00531327">
                  <w:fldChar w:fldCharType="begin"/>
                </w:r>
                <w:r w:rsidR="00531327">
                  <w:instrText xml:space="preserve"> CITATION Goo19 \l 1033 </w:instrText>
                </w:r>
                <w:r w:rsidR="00531327">
                  <w:fldChar w:fldCharType="separate"/>
                </w:r>
                <w:r w:rsidR="00531327">
                  <w:rPr>
                    <w:noProof/>
                  </w:rPr>
                  <w:t xml:space="preserve"> (Google, 2019)</w:t>
                </w:r>
                <w:r w:rsidR="00531327">
                  <w:fldChar w:fldCharType="end"/>
                </w:r>
              </w:sdtContent>
            </w:sdt>
          </w:p>
        </w:tc>
        <w:tc>
          <w:tcPr>
            <w:tcW w:w="3628"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Cloud agnostic container orchestration removes the need for homogeneous deployments.</w:t>
            </w:r>
          </w:p>
        </w:tc>
        <w:tc>
          <w:tcPr>
            <w:tcW w:w="4022"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Pushes designers toward the least common denominator as the Cloud Platform Native features are masked</w:t>
            </w:r>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Pr="00651AAE" w:rsidRDefault="00651AAE" w:rsidP="00986557">
            <w:r>
              <w:t>Microsoft AppFabric</w:t>
            </w:r>
          </w:p>
        </w:tc>
        <w:tc>
          <w:tcPr>
            <w:tcW w:w="3628"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A Single System Compute environment that hides many distributed system concepts.</w:t>
            </w:r>
          </w:p>
        </w:tc>
        <w:tc>
          <w:tcPr>
            <w:tcW w:w="4022" w:type="dxa"/>
          </w:tcPr>
          <w:p w:rsidR="00651AAE" w:rsidRDefault="00651AAE" w:rsidP="00986557">
            <w:pPr>
              <w:cnfStyle w:val="000000000000" w:firstRow="0" w:lastRow="0" w:firstColumn="0" w:lastColumn="0" w:oddVBand="0" w:evenVBand="0" w:oddHBand="0" w:evenHBand="0" w:firstRowFirstColumn="0" w:firstRowLastColumn="0" w:lastRowFirstColumn="0" w:lastRowLastColumn="0"/>
            </w:pPr>
            <w:r>
              <w:t>Requires code follows specific patterns (Stateful Providers and Stateless Providers)</w:t>
            </w:r>
            <w:proofErr w:type="gramStart"/>
            <w:r>
              <w:t xml:space="preserve">. </w:t>
            </w:r>
            <w:proofErr w:type="gramEnd"/>
            <w:r>
              <w:t>Targets the .NET ecosystem</w:t>
            </w:r>
          </w:p>
        </w:tc>
      </w:tr>
      <w:tr w:rsidR="00651AAE"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51AAE" w:rsidRDefault="00651AAE" w:rsidP="00986557">
            <w:r>
              <w:t>Amazon EFS</w:t>
            </w:r>
            <w:sdt>
              <w:sdtPr>
                <w:id w:val="442968808"/>
                <w:citation/>
              </w:sdtPr>
              <w:sdtContent>
                <w:r w:rsidR="00531327">
                  <w:fldChar w:fldCharType="begin"/>
                </w:r>
                <w:r w:rsidR="00531327">
                  <w:instrText xml:space="preserve"> CITATION Ama19 \l 1033 </w:instrText>
                </w:r>
                <w:r w:rsidR="00531327">
                  <w:fldChar w:fldCharType="separate"/>
                </w:r>
                <w:r w:rsidR="00531327">
                  <w:rPr>
                    <w:noProof/>
                  </w:rPr>
                  <w:t xml:space="preserve"> (Amazon, 2019)</w:t>
                </w:r>
                <w:r w:rsidR="00531327">
                  <w:fldChar w:fldCharType="end"/>
                </w:r>
              </w:sdtContent>
            </w:sdt>
          </w:p>
        </w:tc>
        <w:tc>
          <w:tcPr>
            <w:tcW w:w="3628"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Projects a cluster of storage resources as a single Network File System (NFS) endpoint</w:t>
            </w:r>
          </w:p>
        </w:tc>
        <w:tc>
          <w:tcPr>
            <w:tcW w:w="4022" w:type="dxa"/>
          </w:tcPr>
          <w:p w:rsidR="00651AAE" w:rsidRDefault="00651AAE" w:rsidP="00986557">
            <w:pPr>
              <w:cnfStyle w:val="000000100000" w:firstRow="0" w:lastRow="0" w:firstColumn="0" w:lastColumn="0" w:oddVBand="0" w:evenVBand="0" w:oddHBand="1" w:evenHBand="0" w:firstRowFirstColumn="0" w:firstRowLastColumn="0" w:lastRowFirstColumn="0" w:lastRowLastColumn="0"/>
            </w:pPr>
            <w:r>
              <w:t>Administrators need to mount the remote resources, as local storage. High risk of network latency</w:t>
            </w:r>
            <w:proofErr w:type="gramStart"/>
            <w:r>
              <w:t xml:space="preserve">. </w:t>
            </w:r>
            <w:proofErr w:type="gramEnd"/>
          </w:p>
        </w:tc>
      </w:tr>
      <w:tr w:rsidR="00651AAE" w:rsidTr="00651AAE">
        <w:tc>
          <w:tcPr>
            <w:cnfStyle w:val="001000000000" w:firstRow="0" w:lastRow="0" w:firstColumn="1" w:lastColumn="0" w:oddVBand="0" w:evenVBand="0" w:oddHBand="0" w:evenHBand="0" w:firstRowFirstColumn="0" w:firstRowLastColumn="0" w:lastRowFirstColumn="0" w:lastRowLastColumn="0"/>
            <w:tcW w:w="2605" w:type="dxa"/>
          </w:tcPr>
          <w:p w:rsidR="00651AAE" w:rsidRDefault="00531327" w:rsidP="00986557">
            <w:r>
              <w:t>IBM Service Management Suite</w:t>
            </w:r>
            <w:sdt>
              <w:sdtPr>
                <w:id w:val="1936936329"/>
                <w:citation/>
              </w:sdtPr>
              <w:sdtContent>
                <w:r>
                  <w:fldChar w:fldCharType="begin"/>
                </w:r>
                <w:r>
                  <w:instrText xml:space="preserve"> CITATION IBM19 \l 1033 </w:instrText>
                </w:r>
                <w:r>
                  <w:fldChar w:fldCharType="separate"/>
                </w:r>
                <w:r>
                  <w:rPr>
                    <w:noProof/>
                  </w:rPr>
                  <w:t xml:space="preserve"> (IBM, 2019)</w:t>
                </w:r>
                <w:r>
                  <w:fldChar w:fldCharType="end"/>
                </w:r>
              </w:sdtContent>
            </w:sdt>
          </w:p>
        </w:tc>
        <w:tc>
          <w:tcPr>
            <w:tcW w:w="3628" w:type="dxa"/>
          </w:tcPr>
          <w:p w:rsidR="00651AAE" w:rsidRDefault="00531327" w:rsidP="00986557">
            <w:pPr>
              <w:cnfStyle w:val="000000000000" w:firstRow="0" w:lastRow="0" w:firstColumn="0" w:lastColumn="0" w:oddVBand="0" w:evenVBand="0" w:oddHBand="0" w:evenHBand="0" w:firstRowFirstColumn="0" w:firstRowLastColumn="0" w:lastRowFirstColumn="0" w:lastRowLastColumn="0"/>
            </w:pPr>
            <w:r>
              <w:t>Fully manage an IBM centric environment.</w:t>
            </w:r>
          </w:p>
        </w:tc>
        <w:tc>
          <w:tcPr>
            <w:tcW w:w="4022" w:type="dxa"/>
          </w:tcPr>
          <w:p w:rsidR="00651AAE" w:rsidRDefault="00531327" w:rsidP="00986557">
            <w:pPr>
              <w:cnfStyle w:val="000000000000" w:firstRow="0" w:lastRow="0" w:firstColumn="0" w:lastColumn="0" w:oddVBand="0" w:evenVBand="0" w:oddHBand="0" w:evenHBand="0" w:firstRowFirstColumn="0" w:firstRowLastColumn="0" w:lastRowFirstColumn="0" w:lastRowLastColumn="0"/>
            </w:pPr>
            <w:r>
              <w:t>It only works with IBM servers.</w:t>
            </w:r>
          </w:p>
        </w:tc>
      </w:tr>
      <w:tr w:rsidR="000B7ACF"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0B7ACF" w:rsidRDefault="000B7ACF" w:rsidP="00986557">
            <w:r>
              <w:t>Docker Swarm</w:t>
            </w:r>
            <w:sdt>
              <w:sdtPr>
                <w:id w:val="1575930758"/>
                <w:citation/>
              </w:sdtPr>
              <w:sdtContent>
                <w:r>
                  <w:fldChar w:fldCharType="begin"/>
                </w:r>
                <w:r>
                  <w:instrText xml:space="preserve"> CITATION Doc19 \l 1033 </w:instrText>
                </w:r>
                <w:r>
                  <w:fldChar w:fldCharType="separate"/>
                </w:r>
                <w:r>
                  <w:rPr>
                    <w:noProof/>
                  </w:rPr>
                  <w:t xml:space="preserve"> (Docker, 2019)</w:t>
                </w:r>
                <w:r>
                  <w:fldChar w:fldCharType="end"/>
                </w:r>
              </w:sdtContent>
            </w:sdt>
          </w:p>
        </w:tc>
        <w:tc>
          <w:tcPr>
            <w:tcW w:w="3628" w:type="dxa"/>
          </w:tcPr>
          <w:p w:rsidR="000B7ACF" w:rsidRDefault="000B7ACF" w:rsidP="00986557">
            <w:pPr>
              <w:cnfStyle w:val="000000100000" w:firstRow="0" w:lastRow="0" w:firstColumn="0" w:lastColumn="0" w:oddVBand="0" w:evenVBand="0" w:oddHBand="1" w:evenHBand="0" w:firstRowFirstColumn="0" w:firstRowLastColumn="0" w:lastRowFirstColumn="0" w:lastRowLastColumn="0"/>
            </w:pPr>
            <w:r>
              <w:t>Open source cluster management of container orchestration.</w:t>
            </w:r>
          </w:p>
        </w:tc>
        <w:tc>
          <w:tcPr>
            <w:tcW w:w="4022" w:type="dxa"/>
          </w:tcPr>
          <w:p w:rsidR="000B7ACF" w:rsidRDefault="000B7ACF" w:rsidP="00986557">
            <w:pPr>
              <w:cnfStyle w:val="000000100000" w:firstRow="0" w:lastRow="0" w:firstColumn="0" w:lastColumn="0" w:oddVBand="0" w:evenVBand="0" w:oddHBand="1" w:evenHBand="0" w:firstRowFirstColumn="0" w:firstRowLastColumn="0" w:lastRowFirstColumn="0" w:lastRowLastColumn="0"/>
            </w:pPr>
            <w:r>
              <w:t>Focuses on scheduling containers, the administrator still needs to provision resources and configure storage out of bound.</w:t>
            </w:r>
          </w:p>
        </w:tc>
      </w:tr>
      <w:tr w:rsidR="00E36D02" w:rsidTr="00651AAE">
        <w:tc>
          <w:tcPr>
            <w:cnfStyle w:val="001000000000" w:firstRow="0" w:lastRow="0" w:firstColumn="1" w:lastColumn="0" w:oddVBand="0" w:evenVBand="0" w:oddHBand="0" w:evenHBand="0" w:firstRowFirstColumn="0" w:firstRowLastColumn="0" w:lastRowFirstColumn="0" w:lastRowLastColumn="0"/>
            <w:tcW w:w="2605" w:type="dxa"/>
          </w:tcPr>
          <w:p w:rsidR="00E36D02" w:rsidRDefault="00E36D02" w:rsidP="00986557">
            <w:proofErr w:type="spellStart"/>
            <w:r>
              <w:t>Redhat</w:t>
            </w:r>
            <w:proofErr w:type="spellEnd"/>
            <w:r>
              <w:t xml:space="preserve"> </w:t>
            </w:r>
            <w:proofErr w:type="spellStart"/>
            <w:r>
              <w:t>Satallite</w:t>
            </w:r>
            <w:proofErr w:type="spellEnd"/>
            <w:sdt>
              <w:sdtPr>
                <w:id w:val="1962835449"/>
                <w:citation/>
              </w:sdtPr>
              <w:sdtContent>
                <w:r>
                  <w:fldChar w:fldCharType="begin"/>
                </w:r>
                <w:r>
                  <w:instrText xml:space="preserve"> CITATION Red19 \l 1033 </w:instrText>
                </w:r>
                <w:r>
                  <w:fldChar w:fldCharType="separate"/>
                </w:r>
                <w:r>
                  <w:rPr>
                    <w:noProof/>
                  </w:rPr>
                  <w:t xml:space="preserve"> (Redhat, 2019)</w:t>
                </w:r>
                <w:r>
                  <w:fldChar w:fldCharType="end"/>
                </w:r>
              </w:sdtContent>
            </w:sdt>
          </w:p>
        </w:tc>
        <w:tc>
          <w:tcPr>
            <w:tcW w:w="3628" w:type="dxa"/>
          </w:tcPr>
          <w:p w:rsidR="00E36D02" w:rsidRDefault="00E36D02" w:rsidP="00986557">
            <w:pPr>
              <w:cnfStyle w:val="000000000000" w:firstRow="0" w:lastRow="0" w:firstColumn="0" w:lastColumn="0" w:oddVBand="0" w:evenVBand="0" w:oddHBand="0" w:evenHBand="0" w:firstRowFirstColumn="0" w:firstRowLastColumn="0" w:lastRowFirstColumn="0" w:lastRowLastColumn="0"/>
            </w:pPr>
            <w:r>
              <w:t xml:space="preserve">Automates provisioning and management of collections of </w:t>
            </w:r>
            <w:proofErr w:type="spellStart"/>
            <w:r>
              <w:t>Redhat</w:t>
            </w:r>
            <w:proofErr w:type="spellEnd"/>
            <w:r>
              <w:t xml:space="preserve"> instances.</w:t>
            </w:r>
          </w:p>
        </w:tc>
        <w:tc>
          <w:tcPr>
            <w:tcW w:w="4022" w:type="dxa"/>
          </w:tcPr>
          <w:p w:rsidR="00E36D02" w:rsidRDefault="00E36D02" w:rsidP="00986557">
            <w:pPr>
              <w:cnfStyle w:val="000000000000" w:firstRow="0" w:lastRow="0" w:firstColumn="0" w:lastColumn="0" w:oddVBand="0" w:evenVBand="0" w:oddHBand="0" w:evenHBand="0" w:firstRowFirstColumn="0" w:firstRowLastColumn="0" w:lastRowFirstColumn="0" w:lastRowLastColumn="0"/>
            </w:pPr>
            <w:r>
              <w:t>It requires experts with in-depth technical knowledge of the product space.</w:t>
            </w:r>
          </w:p>
        </w:tc>
      </w:tr>
      <w:tr w:rsidR="00E36D02" w:rsidTr="00651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36D02" w:rsidRDefault="00E36D02" w:rsidP="00986557">
            <w:r>
              <w:t>Microsoft System Center</w:t>
            </w:r>
            <w:sdt>
              <w:sdtPr>
                <w:id w:val="-472288545"/>
                <w:citation/>
              </w:sdtPr>
              <w:sdtContent>
                <w:r>
                  <w:fldChar w:fldCharType="begin"/>
                </w:r>
                <w:r>
                  <w:instrText xml:space="preserve"> CITATION Mic19 \l 1033 </w:instrText>
                </w:r>
                <w:r>
                  <w:fldChar w:fldCharType="separate"/>
                </w:r>
                <w:r>
                  <w:rPr>
                    <w:noProof/>
                  </w:rPr>
                  <w:t xml:space="preserve"> (Microsoft, 2019)</w:t>
                </w:r>
                <w:r>
                  <w:fldChar w:fldCharType="end"/>
                </w:r>
              </w:sdtContent>
            </w:sdt>
          </w:p>
        </w:tc>
        <w:tc>
          <w:tcPr>
            <w:tcW w:w="3628" w:type="dxa"/>
          </w:tcPr>
          <w:p w:rsidR="00E36D02" w:rsidRDefault="00E36D02" w:rsidP="00986557">
            <w:pPr>
              <w:cnfStyle w:val="000000100000" w:firstRow="0" w:lastRow="0" w:firstColumn="0" w:lastColumn="0" w:oddVBand="0" w:evenVBand="0" w:oddHBand="1" w:evenHBand="0" w:firstRowFirstColumn="0" w:firstRowLastColumn="0" w:lastRowFirstColumn="0" w:lastRowLastColumn="0"/>
            </w:pPr>
            <w:r>
              <w:t>Holistic management of Hybrid Cloud Enterprise Environments.</w:t>
            </w:r>
          </w:p>
        </w:tc>
        <w:tc>
          <w:tcPr>
            <w:tcW w:w="4022" w:type="dxa"/>
          </w:tcPr>
          <w:p w:rsidR="00E36D02" w:rsidRDefault="00E36D02" w:rsidP="00986557">
            <w:pPr>
              <w:cnfStyle w:val="000000100000" w:firstRow="0" w:lastRow="0" w:firstColumn="0" w:lastColumn="0" w:oddVBand="0" w:evenVBand="0" w:oddHBand="1" w:evenHBand="0" w:firstRowFirstColumn="0" w:firstRowLastColumn="0" w:lastRowFirstColumn="0" w:lastRowLastColumn="0"/>
            </w:pPr>
            <w:r>
              <w:t>It focuses on large environments that need that manage thousands of nodes.</w:t>
            </w:r>
          </w:p>
        </w:tc>
      </w:tr>
    </w:tbl>
    <w:p w:rsidR="00986557" w:rsidRDefault="00986557" w:rsidP="00986557"/>
    <w:p w:rsidR="002910FA" w:rsidRDefault="002910FA" w:rsidP="002910FA">
      <w:pPr>
        <w:pStyle w:val="Heading1"/>
      </w:pPr>
      <w:r>
        <w:t>Network Programming Languages</w:t>
      </w:r>
    </w:p>
    <w:p w:rsidR="002910FA" w:rsidRDefault="002910FA" w:rsidP="002910FA">
      <w:r>
        <w:tab/>
        <w:t>There are multiple programming languages and frameworks for creating networked applications.</w:t>
      </w:r>
    </w:p>
    <w:tbl>
      <w:tblPr>
        <w:tblStyle w:val="GridTable4-Accent6"/>
        <w:tblW w:w="0" w:type="auto"/>
        <w:tblLook w:val="04A0" w:firstRow="1" w:lastRow="0" w:firstColumn="1" w:lastColumn="0" w:noHBand="0" w:noVBand="1"/>
      </w:tblPr>
      <w:tblGrid>
        <w:gridCol w:w="2695"/>
        <w:gridCol w:w="6655"/>
      </w:tblGrid>
      <w:tr w:rsidR="002910FA" w:rsidTr="00291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pPr>
              <w:jc w:val="center"/>
            </w:pPr>
            <w:r>
              <w:t>Language</w:t>
            </w:r>
          </w:p>
        </w:tc>
        <w:tc>
          <w:tcPr>
            <w:tcW w:w="6655" w:type="dxa"/>
          </w:tcPr>
          <w:p w:rsidR="002910FA" w:rsidRDefault="002910FA" w:rsidP="002910FA">
            <w:pPr>
              <w:jc w:val="center"/>
              <w:cnfStyle w:val="100000000000" w:firstRow="1" w:lastRow="0" w:firstColumn="0" w:lastColumn="0" w:oddVBand="0" w:evenVBand="0" w:oddHBand="0" w:evenHBand="0" w:firstRowFirstColumn="0" w:firstRowLastColumn="0" w:lastRowFirstColumn="0" w:lastRowLastColumn="0"/>
            </w:pPr>
            <w:r>
              <w:t>Features</w:t>
            </w:r>
          </w:p>
        </w:tc>
      </w:tr>
      <w:tr w:rsidR="002910FA" w:rsidTr="0029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C++</w:t>
            </w:r>
          </w:p>
        </w:tc>
        <w:tc>
          <w:tcPr>
            <w:tcW w:w="6655" w:type="dxa"/>
          </w:tcPr>
          <w:p w:rsidR="002910FA" w:rsidRDefault="002910FA" w:rsidP="002910FA">
            <w:pPr>
              <w:cnfStyle w:val="000000100000" w:firstRow="0" w:lastRow="0" w:firstColumn="0" w:lastColumn="0" w:oddVBand="0" w:evenVBand="0" w:oddHBand="1" w:evenHBand="0" w:firstRowFirstColumn="0" w:firstRowLastColumn="0" w:lastRowFirstColumn="0" w:lastRowLastColumn="0"/>
            </w:pPr>
            <w:r>
              <w:t>The cross language of choice, when performance and portability are the core concerns.</w:t>
            </w:r>
          </w:p>
        </w:tc>
      </w:tr>
      <w:tr w:rsidR="002910FA" w:rsidTr="002910FA">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Java/C#</w:t>
            </w:r>
          </w:p>
        </w:tc>
        <w:tc>
          <w:tcPr>
            <w:tcW w:w="6655" w:type="dxa"/>
          </w:tcPr>
          <w:p w:rsidR="002910FA" w:rsidRDefault="002910FA" w:rsidP="002910FA">
            <w:pPr>
              <w:cnfStyle w:val="000000000000" w:firstRow="0" w:lastRow="0" w:firstColumn="0" w:lastColumn="0" w:oddVBand="0" w:evenVBand="0" w:oddHBand="0" w:evenHBand="0" w:firstRowFirstColumn="0" w:firstRowLastColumn="0" w:lastRowFirstColumn="0" w:lastRowLastColumn="0"/>
            </w:pPr>
            <w:r>
              <w:t xml:space="preserve">Type-safe </w:t>
            </w:r>
            <w:proofErr w:type="gramStart"/>
            <w:r>
              <w:t>object oriented</w:t>
            </w:r>
            <w:proofErr w:type="gramEnd"/>
            <w:r>
              <w:t xml:space="preserve"> languages with vast frameworks and documented examples.</w:t>
            </w:r>
          </w:p>
        </w:tc>
      </w:tr>
      <w:tr w:rsidR="002910FA" w:rsidTr="0029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Node/JavaScript</w:t>
            </w:r>
          </w:p>
        </w:tc>
        <w:tc>
          <w:tcPr>
            <w:tcW w:w="6655" w:type="dxa"/>
          </w:tcPr>
          <w:p w:rsidR="002910FA" w:rsidRDefault="002910FA" w:rsidP="002910FA">
            <w:pPr>
              <w:cnfStyle w:val="000000100000" w:firstRow="0" w:lastRow="0" w:firstColumn="0" w:lastColumn="0" w:oddVBand="0" w:evenVBand="0" w:oddHBand="1" w:evenHBand="0" w:firstRowFirstColumn="0" w:firstRowLastColumn="0" w:lastRowFirstColumn="0" w:lastRowLastColumn="0"/>
            </w:pPr>
            <w:r>
              <w:t>An event driven programming language that is light weight and uses a minimalistic approach to resources.</w:t>
            </w:r>
          </w:p>
        </w:tc>
      </w:tr>
      <w:tr w:rsidR="002910FA" w:rsidTr="002910FA">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Erlang</w:t>
            </w:r>
            <w:sdt>
              <w:sdtPr>
                <w:id w:val="1917579193"/>
                <w:citation/>
              </w:sdtPr>
              <w:sdtContent>
                <w:r>
                  <w:fldChar w:fldCharType="begin"/>
                </w:r>
                <w:r>
                  <w:instrText xml:space="preserve"> CITATION Eri19 \l 1033 </w:instrText>
                </w:r>
                <w:r>
                  <w:fldChar w:fldCharType="separate"/>
                </w:r>
                <w:r>
                  <w:rPr>
                    <w:noProof/>
                  </w:rPr>
                  <w:t xml:space="preserve"> (Ericsson, 2019)</w:t>
                </w:r>
                <w:r>
                  <w:fldChar w:fldCharType="end"/>
                </w:r>
              </w:sdtContent>
            </w:sdt>
          </w:p>
        </w:tc>
        <w:tc>
          <w:tcPr>
            <w:tcW w:w="6655" w:type="dxa"/>
          </w:tcPr>
          <w:p w:rsidR="002910FA" w:rsidRDefault="002910FA" w:rsidP="002910FA">
            <w:pPr>
              <w:cnfStyle w:val="000000000000" w:firstRow="0" w:lastRow="0" w:firstColumn="0" w:lastColumn="0" w:oddVBand="0" w:evenVBand="0" w:oddHBand="0" w:evenHBand="0" w:firstRowFirstColumn="0" w:firstRowLastColumn="0" w:lastRowFirstColumn="0" w:lastRowLastColumn="0"/>
            </w:pPr>
            <w:r>
              <w:t>A functional language that has built-in capabilities for fault tolerance and concurrency management</w:t>
            </w:r>
            <w:proofErr w:type="gramStart"/>
            <w:r>
              <w:t xml:space="preserve">. </w:t>
            </w:r>
            <w:proofErr w:type="gramEnd"/>
          </w:p>
        </w:tc>
      </w:tr>
      <w:tr w:rsidR="002910FA" w:rsidTr="0029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t>Rust</w:t>
            </w:r>
            <w:sdt>
              <w:sdtPr>
                <w:id w:val="-2106338365"/>
                <w:citation/>
              </w:sdtPr>
              <w:sdtContent>
                <w:r>
                  <w:fldChar w:fldCharType="begin"/>
                </w:r>
                <w:r>
                  <w:instrText xml:space="preserve"> CITATION Kla18 \l 1033 </w:instrText>
                </w:r>
                <w:r>
                  <w:fldChar w:fldCharType="separate"/>
                </w:r>
                <w:r>
                  <w:rPr>
                    <w:noProof/>
                  </w:rPr>
                  <w:t xml:space="preserve"> (Klabnik &amp; Nichols, 2018)</w:t>
                </w:r>
                <w:r>
                  <w:fldChar w:fldCharType="end"/>
                </w:r>
              </w:sdtContent>
            </w:sdt>
          </w:p>
        </w:tc>
        <w:tc>
          <w:tcPr>
            <w:tcW w:w="6655" w:type="dxa"/>
          </w:tcPr>
          <w:p w:rsidR="002910FA" w:rsidRDefault="002910FA" w:rsidP="002910FA">
            <w:pPr>
              <w:cnfStyle w:val="000000100000" w:firstRow="0" w:lastRow="0" w:firstColumn="0" w:lastColumn="0" w:oddVBand="0" w:evenVBand="0" w:oddHBand="1" w:evenHBand="0" w:firstRowFirstColumn="0" w:firstRowLastColumn="0" w:lastRowFirstColumn="0" w:lastRowLastColumn="0"/>
            </w:pPr>
            <w:r>
              <w:t>A functional language that compiles into native assemblies</w:t>
            </w:r>
            <w:proofErr w:type="gramStart"/>
            <w:r>
              <w:t xml:space="preserve">. </w:t>
            </w:r>
            <w:proofErr w:type="gramEnd"/>
            <w:r>
              <w:t>Unlike C, there are several rules to make the language safe from many memory corruption scenarios.</w:t>
            </w:r>
          </w:p>
        </w:tc>
      </w:tr>
      <w:tr w:rsidR="002910FA" w:rsidTr="002910FA">
        <w:tc>
          <w:tcPr>
            <w:cnfStyle w:val="001000000000" w:firstRow="0" w:lastRow="0" w:firstColumn="1" w:lastColumn="0" w:oddVBand="0" w:evenVBand="0" w:oddHBand="0" w:evenHBand="0" w:firstRowFirstColumn="0" w:firstRowLastColumn="0" w:lastRowFirstColumn="0" w:lastRowLastColumn="0"/>
            <w:tcW w:w="2695" w:type="dxa"/>
          </w:tcPr>
          <w:p w:rsidR="002910FA" w:rsidRDefault="002910FA" w:rsidP="002910FA">
            <w:r>
              <w:lastRenderedPageBreak/>
              <w:t>Python</w:t>
            </w:r>
          </w:p>
        </w:tc>
        <w:tc>
          <w:tcPr>
            <w:tcW w:w="6655" w:type="dxa"/>
          </w:tcPr>
          <w:p w:rsidR="002910FA" w:rsidRDefault="002910FA" w:rsidP="002910FA">
            <w:pPr>
              <w:cnfStyle w:val="000000000000" w:firstRow="0" w:lastRow="0" w:firstColumn="0" w:lastColumn="0" w:oddVBand="0" w:evenVBand="0" w:oddHBand="0" w:evenHBand="0" w:firstRowFirstColumn="0" w:firstRowLastColumn="0" w:lastRowFirstColumn="0" w:lastRowLastColumn="0"/>
            </w:pPr>
            <w:r>
              <w:t>A general purpose functional/object centric language that leverages vast collections of open source modules for rapid development.</w:t>
            </w:r>
          </w:p>
        </w:tc>
      </w:tr>
      <w:tr w:rsidR="00320FBB" w:rsidTr="00291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20FBB" w:rsidRDefault="00320FBB" w:rsidP="002910FA">
            <w:r>
              <w:t>Swift/Object-C</w:t>
            </w:r>
          </w:p>
        </w:tc>
        <w:tc>
          <w:tcPr>
            <w:tcW w:w="6655" w:type="dxa"/>
          </w:tcPr>
          <w:p w:rsidR="00320FBB" w:rsidRDefault="00320FBB" w:rsidP="002910FA">
            <w:pPr>
              <w:cnfStyle w:val="000000100000" w:firstRow="0" w:lastRow="0" w:firstColumn="0" w:lastColumn="0" w:oddVBand="0" w:evenVBand="0" w:oddHBand="1" w:evenHBand="0" w:firstRowFirstColumn="0" w:firstRowLastColumn="0" w:lastRowFirstColumn="0" w:lastRowLastColumn="0"/>
            </w:pPr>
            <w:r>
              <w:t xml:space="preserve">These are </w:t>
            </w:r>
            <w:proofErr w:type="gramStart"/>
            <w:r>
              <w:t>client side</w:t>
            </w:r>
            <w:proofErr w:type="gramEnd"/>
            <w:r>
              <w:t xml:space="preserve"> languages that simplify the development of iOS based mobile applications.</w:t>
            </w:r>
            <w:bookmarkStart w:id="0" w:name="_GoBack"/>
            <w:bookmarkEnd w:id="0"/>
          </w:p>
        </w:tc>
      </w:tr>
    </w:tbl>
    <w:p w:rsidR="002910FA" w:rsidRDefault="002910FA" w:rsidP="002910FA"/>
    <w:p w:rsidR="00234B9C" w:rsidRPr="002910FA" w:rsidRDefault="00234B9C" w:rsidP="00234B9C">
      <w:pPr>
        <w:pStyle w:val="Heading1"/>
      </w:pPr>
      <w:r>
        <w:t>Expanding the Systems Diagram</w:t>
      </w:r>
    </w:p>
    <w:sectPr w:rsidR="00234B9C" w:rsidRPr="002910FA"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819" w:rsidRDefault="006D2819" w:rsidP="0082223F">
      <w:pPr>
        <w:spacing w:line="240" w:lineRule="auto"/>
      </w:pPr>
      <w:r>
        <w:separator/>
      </w:r>
    </w:p>
  </w:endnote>
  <w:endnote w:type="continuationSeparator" w:id="0">
    <w:p w:rsidR="006D2819" w:rsidRDefault="006D281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819" w:rsidRDefault="006D2819" w:rsidP="0082223F">
      <w:pPr>
        <w:spacing w:line="240" w:lineRule="auto"/>
      </w:pPr>
      <w:r>
        <w:separator/>
      </w:r>
    </w:p>
  </w:footnote>
  <w:footnote w:type="continuationSeparator" w:id="0">
    <w:p w:rsidR="006D2819" w:rsidRDefault="006D281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270F"/>
    <w:rsid w:val="00036708"/>
    <w:rsid w:val="00036F58"/>
    <w:rsid w:val="00044E85"/>
    <w:rsid w:val="000B7ACF"/>
    <w:rsid w:val="0016447E"/>
    <w:rsid w:val="00183597"/>
    <w:rsid w:val="00234B9C"/>
    <w:rsid w:val="002806B7"/>
    <w:rsid w:val="002910FA"/>
    <w:rsid w:val="00320FBB"/>
    <w:rsid w:val="003A28D5"/>
    <w:rsid w:val="00401D65"/>
    <w:rsid w:val="004223E8"/>
    <w:rsid w:val="00477BDB"/>
    <w:rsid w:val="004A784B"/>
    <w:rsid w:val="00531327"/>
    <w:rsid w:val="005867FA"/>
    <w:rsid w:val="00651AAE"/>
    <w:rsid w:val="006D2819"/>
    <w:rsid w:val="0082223F"/>
    <w:rsid w:val="008B5129"/>
    <w:rsid w:val="008E66CB"/>
    <w:rsid w:val="00967FE5"/>
    <w:rsid w:val="00986557"/>
    <w:rsid w:val="00A51EA1"/>
    <w:rsid w:val="00C73692"/>
    <w:rsid w:val="00C93BB7"/>
    <w:rsid w:val="00D4589B"/>
    <w:rsid w:val="00DE2224"/>
    <w:rsid w:val="00E36D02"/>
    <w:rsid w:val="00EE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BA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1644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E66C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EE43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98655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241">
      <w:bodyDiv w:val="1"/>
      <w:marLeft w:val="0"/>
      <w:marRight w:val="0"/>
      <w:marTop w:val="0"/>
      <w:marBottom w:val="0"/>
      <w:divBdr>
        <w:top w:val="none" w:sz="0" w:space="0" w:color="auto"/>
        <w:left w:val="none" w:sz="0" w:space="0" w:color="auto"/>
        <w:bottom w:val="none" w:sz="0" w:space="0" w:color="auto"/>
        <w:right w:val="none" w:sz="0" w:space="0" w:color="auto"/>
      </w:divBdr>
    </w:div>
    <w:div w:id="100879802">
      <w:bodyDiv w:val="1"/>
      <w:marLeft w:val="0"/>
      <w:marRight w:val="0"/>
      <w:marTop w:val="0"/>
      <w:marBottom w:val="0"/>
      <w:divBdr>
        <w:top w:val="none" w:sz="0" w:space="0" w:color="auto"/>
        <w:left w:val="none" w:sz="0" w:space="0" w:color="auto"/>
        <w:bottom w:val="none" w:sz="0" w:space="0" w:color="auto"/>
        <w:right w:val="none" w:sz="0" w:space="0" w:color="auto"/>
      </w:divBdr>
    </w:div>
    <w:div w:id="137764325">
      <w:bodyDiv w:val="1"/>
      <w:marLeft w:val="0"/>
      <w:marRight w:val="0"/>
      <w:marTop w:val="0"/>
      <w:marBottom w:val="0"/>
      <w:divBdr>
        <w:top w:val="none" w:sz="0" w:space="0" w:color="auto"/>
        <w:left w:val="none" w:sz="0" w:space="0" w:color="auto"/>
        <w:bottom w:val="none" w:sz="0" w:space="0" w:color="auto"/>
        <w:right w:val="none" w:sz="0" w:space="0" w:color="auto"/>
      </w:divBdr>
    </w:div>
    <w:div w:id="202790850">
      <w:bodyDiv w:val="1"/>
      <w:marLeft w:val="0"/>
      <w:marRight w:val="0"/>
      <w:marTop w:val="0"/>
      <w:marBottom w:val="0"/>
      <w:divBdr>
        <w:top w:val="none" w:sz="0" w:space="0" w:color="auto"/>
        <w:left w:val="none" w:sz="0" w:space="0" w:color="auto"/>
        <w:bottom w:val="none" w:sz="0" w:space="0" w:color="auto"/>
        <w:right w:val="none" w:sz="0" w:space="0" w:color="auto"/>
      </w:divBdr>
    </w:div>
    <w:div w:id="239146757">
      <w:bodyDiv w:val="1"/>
      <w:marLeft w:val="0"/>
      <w:marRight w:val="0"/>
      <w:marTop w:val="0"/>
      <w:marBottom w:val="0"/>
      <w:divBdr>
        <w:top w:val="none" w:sz="0" w:space="0" w:color="auto"/>
        <w:left w:val="none" w:sz="0" w:space="0" w:color="auto"/>
        <w:bottom w:val="none" w:sz="0" w:space="0" w:color="auto"/>
        <w:right w:val="none" w:sz="0" w:space="0" w:color="auto"/>
      </w:divBdr>
    </w:div>
    <w:div w:id="299770672">
      <w:bodyDiv w:val="1"/>
      <w:marLeft w:val="0"/>
      <w:marRight w:val="0"/>
      <w:marTop w:val="0"/>
      <w:marBottom w:val="0"/>
      <w:divBdr>
        <w:top w:val="none" w:sz="0" w:space="0" w:color="auto"/>
        <w:left w:val="none" w:sz="0" w:space="0" w:color="auto"/>
        <w:bottom w:val="none" w:sz="0" w:space="0" w:color="auto"/>
        <w:right w:val="none" w:sz="0" w:space="0" w:color="auto"/>
      </w:divBdr>
    </w:div>
    <w:div w:id="456878836">
      <w:bodyDiv w:val="1"/>
      <w:marLeft w:val="0"/>
      <w:marRight w:val="0"/>
      <w:marTop w:val="0"/>
      <w:marBottom w:val="0"/>
      <w:divBdr>
        <w:top w:val="none" w:sz="0" w:space="0" w:color="auto"/>
        <w:left w:val="none" w:sz="0" w:space="0" w:color="auto"/>
        <w:bottom w:val="none" w:sz="0" w:space="0" w:color="auto"/>
        <w:right w:val="none" w:sz="0" w:space="0" w:color="auto"/>
      </w:divBdr>
    </w:div>
    <w:div w:id="604649958">
      <w:bodyDiv w:val="1"/>
      <w:marLeft w:val="0"/>
      <w:marRight w:val="0"/>
      <w:marTop w:val="0"/>
      <w:marBottom w:val="0"/>
      <w:divBdr>
        <w:top w:val="none" w:sz="0" w:space="0" w:color="auto"/>
        <w:left w:val="none" w:sz="0" w:space="0" w:color="auto"/>
        <w:bottom w:val="none" w:sz="0" w:space="0" w:color="auto"/>
        <w:right w:val="none" w:sz="0" w:space="0" w:color="auto"/>
      </w:divBdr>
    </w:div>
    <w:div w:id="722949655">
      <w:bodyDiv w:val="1"/>
      <w:marLeft w:val="0"/>
      <w:marRight w:val="0"/>
      <w:marTop w:val="0"/>
      <w:marBottom w:val="0"/>
      <w:divBdr>
        <w:top w:val="none" w:sz="0" w:space="0" w:color="auto"/>
        <w:left w:val="none" w:sz="0" w:space="0" w:color="auto"/>
        <w:bottom w:val="none" w:sz="0" w:space="0" w:color="auto"/>
        <w:right w:val="none" w:sz="0" w:space="0" w:color="auto"/>
      </w:divBdr>
    </w:div>
    <w:div w:id="839582734">
      <w:bodyDiv w:val="1"/>
      <w:marLeft w:val="0"/>
      <w:marRight w:val="0"/>
      <w:marTop w:val="0"/>
      <w:marBottom w:val="0"/>
      <w:divBdr>
        <w:top w:val="none" w:sz="0" w:space="0" w:color="auto"/>
        <w:left w:val="none" w:sz="0" w:space="0" w:color="auto"/>
        <w:bottom w:val="none" w:sz="0" w:space="0" w:color="auto"/>
        <w:right w:val="none" w:sz="0" w:space="0" w:color="auto"/>
      </w:divBdr>
    </w:div>
    <w:div w:id="871042275">
      <w:bodyDiv w:val="1"/>
      <w:marLeft w:val="0"/>
      <w:marRight w:val="0"/>
      <w:marTop w:val="0"/>
      <w:marBottom w:val="0"/>
      <w:divBdr>
        <w:top w:val="none" w:sz="0" w:space="0" w:color="auto"/>
        <w:left w:val="none" w:sz="0" w:space="0" w:color="auto"/>
        <w:bottom w:val="none" w:sz="0" w:space="0" w:color="auto"/>
        <w:right w:val="none" w:sz="0" w:space="0" w:color="auto"/>
      </w:divBdr>
    </w:div>
    <w:div w:id="874191516">
      <w:bodyDiv w:val="1"/>
      <w:marLeft w:val="0"/>
      <w:marRight w:val="0"/>
      <w:marTop w:val="0"/>
      <w:marBottom w:val="0"/>
      <w:divBdr>
        <w:top w:val="none" w:sz="0" w:space="0" w:color="auto"/>
        <w:left w:val="none" w:sz="0" w:space="0" w:color="auto"/>
        <w:bottom w:val="none" w:sz="0" w:space="0" w:color="auto"/>
        <w:right w:val="none" w:sz="0" w:space="0" w:color="auto"/>
      </w:divBdr>
      <w:divsChild>
        <w:div w:id="594941928">
          <w:marLeft w:val="0"/>
          <w:marRight w:val="0"/>
          <w:marTop w:val="0"/>
          <w:marBottom w:val="0"/>
          <w:divBdr>
            <w:top w:val="none" w:sz="0" w:space="0" w:color="auto"/>
            <w:left w:val="none" w:sz="0" w:space="0" w:color="auto"/>
            <w:bottom w:val="none" w:sz="0" w:space="0" w:color="auto"/>
            <w:right w:val="none" w:sz="0" w:space="0" w:color="auto"/>
          </w:divBdr>
          <w:divsChild>
            <w:div w:id="20408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851">
      <w:bodyDiv w:val="1"/>
      <w:marLeft w:val="0"/>
      <w:marRight w:val="0"/>
      <w:marTop w:val="0"/>
      <w:marBottom w:val="0"/>
      <w:divBdr>
        <w:top w:val="none" w:sz="0" w:space="0" w:color="auto"/>
        <w:left w:val="none" w:sz="0" w:space="0" w:color="auto"/>
        <w:bottom w:val="none" w:sz="0" w:space="0" w:color="auto"/>
        <w:right w:val="none" w:sz="0" w:space="0" w:color="auto"/>
      </w:divBdr>
    </w:div>
    <w:div w:id="1132559460">
      <w:bodyDiv w:val="1"/>
      <w:marLeft w:val="0"/>
      <w:marRight w:val="0"/>
      <w:marTop w:val="0"/>
      <w:marBottom w:val="0"/>
      <w:divBdr>
        <w:top w:val="none" w:sz="0" w:space="0" w:color="auto"/>
        <w:left w:val="none" w:sz="0" w:space="0" w:color="auto"/>
        <w:bottom w:val="none" w:sz="0" w:space="0" w:color="auto"/>
        <w:right w:val="none" w:sz="0" w:space="0" w:color="auto"/>
      </w:divBdr>
    </w:div>
    <w:div w:id="1403870040">
      <w:bodyDiv w:val="1"/>
      <w:marLeft w:val="0"/>
      <w:marRight w:val="0"/>
      <w:marTop w:val="0"/>
      <w:marBottom w:val="0"/>
      <w:divBdr>
        <w:top w:val="none" w:sz="0" w:space="0" w:color="auto"/>
        <w:left w:val="none" w:sz="0" w:space="0" w:color="auto"/>
        <w:bottom w:val="none" w:sz="0" w:space="0" w:color="auto"/>
        <w:right w:val="none" w:sz="0" w:space="0" w:color="auto"/>
      </w:divBdr>
    </w:div>
    <w:div w:id="1506673871">
      <w:bodyDiv w:val="1"/>
      <w:marLeft w:val="0"/>
      <w:marRight w:val="0"/>
      <w:marTop w:val="0"/>
      <w:marBottom w:val="0"/>
      <w:divBdr>
        <w:top w:val="none" w:sz="0" w:space="0" w:color="auto"/>
        <w:left w:val="none" w:sz="0" w:space="0" w:color="auto"/>
        <w:bottom w:val="none" w:sz="0" w:space="0" w:color="auto"/>
        <w:right w:val="none" w:sz="0" w:space="0" w:color="auto"/>
      </w:divBdr>
    </w:div>
    <w:div w:id="1762944109">
      <w:bodyDiv w:val="1"/>
      <w:marLeft w:val="0"/>
      <w:marRight w:val="0"/>
      <w:marTop w:val="0"/>
      <w:marBottom w:val="0"/>
      <w:divBdr>
        <w:top w:val="none" w:sz="0" w:space="0" w:color="auto"/>
        <w:left w:val="none" w:sz="0" w:space="0" w:color="auto"/>
        <w:bottom w:val="none" w:sz="0" w:space="0" w:color="auto"/>
        <w:right w:val="none" w:sz="0" w:space="0" w:color="auto"/>
      </w:divBdr>
    </w:div>
    <w:div w:id="1881091688">
      <w:bodyDiv w:val="1"/>
      <w:marLeft w:val="0"/>
      <w:marRight w:val="0"/>
      <w:marTop w:val="0"/>
      <w:marBottom w:val="0"/>
      <w:divBdr>
        <w:top w:val="none" w:sz="0" w:space="0" w:color="auto"/>
        <w:left w:val="none" w:sz="0" w:space="0" w:color="auto"/>
        <w:bottom w:val="none" w:sz="0" w:space="0" w:color="auto"/>
        <w:right w:val="none" w:sz="0" w:space="0" w:color="auto"/>
      </w:divBdr>
    </w:div>
    <w:div w:id="1909221032">
      <w:bodyDiv w:val="1"/>
      <w:marLeft w:val="0"/>
      <w:marRight w:val="0"/>
      <w:marTop w:val="0"/>
      <w:marBottom w:val="0"/>
      <w:divBdr>
        <w:top w:val="none" w:sz="0" w:space="0" w:color="auto"/>
        <w:left w:val="none" w:sz="0" w:space="0" w:color="auto"/>
        <w:bottom w:val="none" w:sz="0" w:space="0" w:color="auto"/>
        <w:right w:val="none" w:sz="0" w:space="0" w:color="auto"/>
      </w:divBdr>
    </w:div>
    <w:div w:id="20351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Che16</b:Tag>
    <b:SourceType>JournalArticle</b:SourceType>
    <b:Guid>{86D5970F-DFB2-4D0C-9197-7E8CEFD0693B}</b:Guid>
    <b:Author>
      <b:Author>
        <b:NameList>
          <b:Person>
            <b:Last>Chen</b:Last>
            <b:First>M</b:First>
          </b:Person>
          <b:Person>
            <b:Last>Sung</b:Last>
            <b:First>F</b:First>
          </b:Person>
        </b:NameList>
      </b:Author>
    </b:Author>
    <b:Title>Integrated service discovery architecture for heterogeneous networks</b:Title>
    <b:Year>2016</b:Year>
    <b:RefOrder>1</b:RefOrder>
  </b:Source>
  <b:Source>
    <b:Tag>Zim</b:Tag>
    <b:SourceType>JournalArticle</b:SourceType>
    <b:Guid>{9D28C3E5-06A7-4897-B9AC-28FF32D3948E}</b:Guid>
    <b:Author>
      <b:Author>
        <b:NameList>
          <b:Person>
            <b:Last>Zimmermann</b:Last>
            <b:First>H</b:First>
          </b:Person>
        </b:NameList>
      </b:Author>
    </b:Author>
    <b:Title>OSI Reference Model-The ISO Model of Architecture for Open Systems Interconnection</b:Title>
    <b:Year>1980</b:Year>
    <b:RefOrder>2</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3</b:RefOrder>
  </b:Source>
  <b:Source>
    <b:Tag>Thi</b:Tag>
    <b:SourceType>JournalArticle</b:SourceType>
    <b:Guid>{A478E8D0-7BE6-4687-BCA9-848D467B7DE6}</b:Guid>
    <b:Author>
      <b:Author>
        <b:NameList>
          <b:Person>
            <b:Last>Thiele</b:Last>
          </b:Person>
          <b:Person>
            <b:Last>Wirth</b:Last>
          </b:Person>
          <b:Person>
            <b:Last>Oblrich</b:Last>
          </b:Person>
          <b:Person>
            <b:Last>Schierl</b:Last>
          </b:Person>
          <b:Person>
            <b:Last>Haustein</b:Last>
          </b:Person>
          <b:Person>
            <b:Last>Frascolla</b:Last>
          </b:Person>
        </b:NameList>
      </b:Author>
    </b:Author>
    <b:Title>High Performance Cluster Computing as a Tool for 4G Wireless System Development</b:Title>
    <b:JournalName>2014</b:JournalName>
    <b:RefOrder>4</b:RefOrder>
  </b:Source>
  <b:Source>
    <b:Tag>Cel19</b:Tag>
    <b:SourceType>InternetSite</b:SourceType>
    <b:Guid>{D2A69ACE-E037-48BB-B932-52FD4024E780}</b:Guid>
    <b:Title>Hours of video uploaded to YouTube every minute as of May 2019</b:Title>
    <b:Year>2019</b:Year>
    <b:Author>
      <b:Author>
        <b:NameList>
          <b:Person>
            <b:Last>Celement</b:Last>
            <b:First>J</b:First>
          </b:Person>
        </b:NameList>
      </b:Author>
    </b:Author>
    <b:InternetSiteTitle>Statista</b:InternetSiteTitle>
    <b:Month>August</b:Month>
    <b:Day>9</b:Day>
    <b:URL>https://www.statista.com/statistics/259477/hours-of-video-uploaded-to-youtube-every-minute/</b:URL>
    <b:RefOrder>5</b:RefOrder>
  </b:Source>
  <b:Source>
    <b:Tag>IBM19</b:Tag>
    <b:SourceType>InternetSite</b:SourceType>
    <b:Guid>{22F7A5DA-8AE6-4DDE-AB04-CE48ED6BD0F4}</b:Guid>
    <b:Author>
      <b:Author>
        <b:Corporate>IBM</b:Corporate>
      </b:Author>
    </b:Author>
    <b:Title>IBM Z Service Management Suite</b:Title>
    <b:InternetSiteTitle>IBM</b:InternetSiteTitle>
    <b:Year>2019</b:Year>
    <b:URL>https://www.ibm.com/us-en/marketplace/service-management-suite-for-z</b:URL>
    <b:RefOrder>10</b:RefOrder>
  </b:Source>
  <b:Source>
    <b:Tag>Apa19</b:Tag>
    <b:SourceType>InternetSite</b:SourceType>
    <b:Guid>{A3A4BF5D-C0D7-41C3-9739-E736E5B9659D}</b:Guid>
    <b:Author>
      <b:Author>
        <b:Corporate>Apache</b:Corporate>
      </b:Author>
    </b:Author>
    <b:Title>Apache Hadoop Yarn</b:Title>
    <b:InternetSiteTitle>Apache Hadoop</b:InternetSiteTitle>
    <b:Year>2019</b:Year>
    <b:URL>https://hadoop.apache.org/docs/current/hadoop-yarn/hadoop-yarn-site/YARN.html</b:URL>
    <b:RefOrder>7</b:RefOrder>
  </b:Source>
  <b:Source>
    <b:Tag>Goo19</b:Tag>
    <b:SourceType>InternetSite</b:SourceType>
    <b:Guid>{5384B3F2-C384-4088-8D18-2CC32B9C64DC}</b:Guid>
    <b:Author>
      <b:Author>
        <b:Corporate>Google</b:Corporate>
      </b:Author>
    </b:Author>
    <b:Title>Production Grade Orchestration</b:Title>
    <b:InternetSiteTitle>Kubernetes</b:InternetSiteTitle>
    <b:Year>2019</b:Year>
    <b:URL>https://kubernetes.io/</b:URL>
    <b:RefOrder>8</b:RefOrder>
  </b:Source>
  <b:Source>
    <b:Tag>Ama19</b:Tag>
    <b:SourceType>InternetSite</b:SourceType>
    <b:Guid>{254EDC0C-6E56-4043-A132-9D3E17DBF1B8}</b:Guid>
    <b:Author>
      <b:Author>
        <b:Corporate>Amazon</b:Corporate>
      </b:Author>
    </b:Author>
    <b:Title>Amazon Elastic File System</b:Title>
    <b:InternetSiteTitle>Amazon Web Services</b:InternetSiteTitle>
    <b:Year>2019</b:Year>
    <b:URL>https://aws.amazon.com/efs/</b:URL>
    <b:RefOrder>9</b:RefOrder>
  </b:Source>
  <b:Source>
    <b:Tag>Apa191</b:Tag>
    <b:SourceType>InternetSite</b:SourceType>
    <b:Guid>{56574EB6-80E2-4050-A1BA-82C7AAD53A0C}</b:Guid>
    <b:Author>
      <b:Author>
        <b:Corporate>Apache Hadoop</b:Corporate>
      </b:Author>
    </b:Author>
    <b:Title>Hadoop Ecosystem</b:Title>
    <b:InternetSiteTitle>Apache</b:InternetSiteTitle>
    <b:Year>2019</b:Year>
    <b:URL>https://hadoop.apache.org/</b:URL>
    <b:RefOrder>6</b:RefOrder>
  </b:Source>
  <b:Source>
    <b:Tag>Doc19</b:Tag>
    <b:SourceType>InternetSite</b:SourceType>
    <b:Guid>{8902A608-BE63-42A8-94F2-6479DFA6579B}</b:Guid>
    <b:Author>
      <b:Author>
        <b:Corporate>Docker</b:Corporate>
      </b:Author>
    </b:Author>
    <b:Title>Swarm Mode Overview</b:Title>
    <b:InternetSiteTitle>Docker</b:InternetSiteTitle>
    <b:Year>2019</b:Year>
    <b:URL>https://docs.docker.com/engine/swarm/</b:URL>
    <b:RefOrder>11</b:RefOrder>
  </b:Source>
  <b:Source>
    <b:Tag>Red19</b:Tag>
    <b:SourceType>InternetSite</b:SourceType>
    <b:Guid>{ADE7B163-E630-4766-931D-A5EA5533D1D3}</b:Guid>
    <b:Author>
      <b:Author>
        <b:Corporate>Redhat</b:Corporate>
      </b:Author>
    </b:Author>
    <b:Title>The best way to manage your Red Hat infrastructure</b:Title>
    <b:InternetSiteTitle>Redhat</b:InternetSiteTitle>
    <b:Year>2019</b:Year>
    <b:URL>https://www.redhat.com/en/technologies/management/satellite</b:URL>
    <b:RefOrder>12</b:RefOrder>
  </b:Source>
  <b:Source>
    <b:Tag>Mic19</b:Tag>
    <b:SourceType>InternetSite</b:SourceType>
    <b:Guid>{A57F9901-5241-4A1F-AF0A-FCAA1EF2D95D}</b:Guid>
    <b:Author>
      <b:Author>
        <b:Corporate>Microsoft</b:Corporate>
      </b:Author>
    </b:Author>
    <b:Title>Simplify deployment, configuration, management, and infrastructure monitoring</b:Title>
    <b:InternetSiteTitle>Microsoft Partner Solutions</b:InternetSiteTitle>
    <b:Year>2019</b:Year>
    <b:URL>https://partner.microsoft.com/en-us/solutions/microsoft-system-center</b:URL>
    <b:RefOrder>13</b:RefOrder>
  </b:Source>
  <b:Source>
    <b:Tag>Eri19</b:Tag>
    <b:SourceType>InternetSite</b:SourceType>
    <b:Guid>{3753523A-14C1-4723-8362-73A12380088F}</b:Guid>
    <b:Author>
      <b:Author>
        <b:NameList>
          <b:Person>
            <b:Last>Ericsson</b:Last>
            <b:First>A</b:First>
          </b:Person>
        </b:NameList>
      </b:Author>
    </b:Author>
    <b:Title>Getting Started with Erlang</b:Title>
    <b:InternetSiteTitle>Erlang</b:InternetSiteTitle>
    <b:Year>2019</b:Year>
    <b:Month>September</b:Month>
    <b:URL>http://erlang.org/doc/getting_started/users_guide.html</b:URL>
    <b:RefOrder>14</b:RefOrder>
  </b:Source>
  <b:Source>
    <b:Tag>Kla18</b:Tag>
    <b:SourceType>Book</b:SourceType>
    <b:Guid>{2B041810-BD08-421C-A011-63A9307811C4}</b:Guid>
    <b:Title>The Rust Programming Language</b:Title>
    <b:Year>2018</b:Year>
    <b:Author>
      <b:Author>
        <b:NameList>
          <b:Person>
            <b:Last>Klabnik</b:Last>
            <b:First>S</b:First>
          </b:Person>
          <b:Person>
            <b:Last>Nichols</b:Last>
            <b:First>C</b:First>
          </b:Person>
        </b:NameList>
      </b:Author>
    </b:Author>
    <b:RefOrder>15</b:RefOrder>
  </b:Source>
</b:Sources>
</file>

<file path=customXml/itemProps1.xml><?xml version="1.0" encoding="utf-8"?>
<ds:datastoreItem xmlns:ds="http://schemas.openxmlformats.org/officeDocument/2006/customXml" ds:itemID="{CF6D5C5D-E9BA-4348-9BE9-1696B1444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5</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2019-10-06T18:35:00Z</dcterms:modified>
</cp:coreProperties>
</file>