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1200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967FE5" w:rsidP="0082223F">
      <w:pPr>
        <w:jc w:val="center"/>
      </w:pPr>
      <w:r>
        <w:t>October</w:t>
      </w:r>
      <w:r w:rsidR="0082223F">
        <w:t xml:space="preserve"> </w:t>
      </w:r>
      <w:r>
        <w:t>6</w:t>
      </w:r>
      <w:r w:rsidRPr="00967FE5">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67FE5" w:rsidP="00967FE5">
      <w:pPr>
        <w:jc w:val="center"/>
        <w:rPr>
          <w:b/>
        </w:rPr>
      </w:pPr>
      <w:r w:rsidRPr="00967FE5">
        <w:rPr>
          <w:b/>
        </w:rPr>
        <w:lastRenderedPageBreak/>
        <w:t>Communication Mechanisms</w:t>
      </w:r>
    </w:p>
    <w:p w:rsidR="00D4589B" w:rsidRP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Content>
          <w:r>
            <w:fldChar w:fldCharType="begin"/>
          </w:r>
          <w:r>
            <w:instrText xml:space="preserve">CITATION Che16 \l 1033 </w:instrText>
          </w:r>
          <w:r>
            <w:fldChar w:fldCharType="separate"/>
          </w:r>
          <w:r>
            <w:rPr>
              <w:noProof/>
            </w:rPr>
            <w:t xml:space="preserve"> (Chen &amp; Sung, 2016)</w:t>
          </w:r>
          <w:r>
            <w:fldChar w:fldCharType="end"/>
          </w:r>
        </w:sdtContent>
      </w:sdt>
      <w:r>
        <w:t>.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w:t>
      </w:r>
      <w:proofErr w:type="spellStart"/>
      <w:r>
        <w:t>cognisent</w:t>
      </w:r>
      <w:proofErr w:type="spellEnd"/>
      <w:r>
        <w:t xml:space="preserve"> of the target audience when selecting a network protocol.</w:t>
      </w:r>
    </w:p>
    <w:p w:rsidR="0016447E" w:rsidRDefault="0016447E" w:rsidP="0016447E">
      <w:pPr>
        <w:pStyle w:val="Heading1"/>
      </w:pPr>
      <w:r>
        <w:t>Common Protocols in Networked Applications</w:t>
      </w:r>
    </w:p>
    <w:p w:rsidR="0016447E" w:rsidRPr="0016447E" w:rsidRDefault="0016447E" w:rsidP="0016447E">
      <w:r>
        <w:tab/>
        <w:t>The Open Systems Interconnection (OSI) model represents network communication as a series of layers</w:t>
      </w:r>
      <w:sdt>
        <w:sdtPr>
          <w:id w:val="-903602450"/>
          <w:citation/>
        </w:sdt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are clear </w:t>
      </w:r>
      <w:proofErr w:type="spellStart"/>
      <w:r>
        <w:t>sepearation</w:t>
      </w:r>
      <w:proofErr w:type="spellEnd"/>
      <w:r>
        <w:t xml:space="preserve"> of duties with other aspects of the system.</w:t>
      </w:r>
    </w:p>
    <w:tbl>
      <w:tblPr>
        <w:tblStyle w:val="GridTable5Dark-Accent6"/>
        <w:tblW w:w="10255" w:type="dxa"/>
        <w:tblLook w:val="04A0" w:firstRow="1" w:lastRow="0" w:firstColumn="1" w:lastColumn="0" w:noHBand="0" w:noVBand="1"/>
      </w:tblPr>
      <w:tblGrid>
        <w:gridCol w:w="1885"/>
        <w:gridCol w:w="2722"/>
        <w:gridCol w:w="5648"/>
      </w:tblGrid>
      <w:tr w:rsidR="008E66CB" w:rsidTr="00EE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Pr="0016447E" w:rsidRDefault="008E66CB" w:rsidP="0016447E">
            <w:pPr>
              <w:jc w:val="center"/>
              <w:rPr>
                <w:b w:val="0"/>
              </w:rPr>
            </w:pPr>
            <w:r w:rsidRPr="0016447E">
              <w:rPr>
                <w:b w:val="0"/>
              </w:rPr>
              <w:t>OSI Level</w:t>
            </w:r>
          </w:p>
        </w:tc>
        <w:tc>
          <w:tcPr>
            <w:tcW w:w="2722"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Application </w:t>
            </w:r>
            <w:r>
              <w:br/>
              <w:t>(Layer 7)</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Presentation </w:t>
            </w:r>
            <w:r>
              <w:br/>
              <w:t>(Layer 6)</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Session </w:t>
            </w:r>
            <w:r>
              <w:br/>
              <w:t>(Layer 5)</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Transport </w:t>
            </w:r>
            <w:r>
              <w:br/>
              <w:t>(Layer 4)</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 effort delivery and multi-casting scenarios</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lastRenderedPageBreak/>
              <w:t>Network Link (Layer 3)</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Data Link </w:t>
            </w:r>
            <w:r>
              <w:br/>
              <w:t>(Layer 2)</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w:t>
            </w:r>
            <w:proofErr w:type="gramStart"/>
            <w:r w:rsidRPr="008E66CB">
              <w:t xml:space="preserve">. </w:t>
            </w:r>
            <w:proofErr w:type="gramEnd"/>
            <w:r w:rsidRPr="008E66CB">
              <w:t>Detects and corrects errors transmitted from the physical layer</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Physical Layer (Layer 1)</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rsidR="00986557" w:rsidRDefault="00044E85" w:rsidP="003A28D5">
      <w:pPr>
        <w:pStyle w:val="Heading1"/>
      </w:pPr>
      <w:r>
        <w:t>Network Management Suites</w:t>
      </w:r>
    </w:p>
    <w:p w:rsidR="003A28D5" w:rsidRPr="00477BDB" w:rsidRDefault="003A28D5" w:rsidP="003A28D5">
      <w:r>
        <w:tab/>
        <w:t>Distributed systems can reduce their net costs, through higher utilization by sharing storage and compute resources across multiple tenants</w:t>
      </w:r>
      <w:sdt>
        <w:sdtPr>
          <w:id w:val="-8699133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xml:space="preserve">.  These resource allocations become multi-process decompositions, as the </w:t>
      </w:r>
      <w:proofErr w:type="gramStart"/>
      <w:r>
        <w:t>High Performance</w:t>
      </w:r>
      <w:proofErr w:type="gramEnd"/>
      <w:r>
        <w:t xml:space="preserve"> Computing Service (HPCS) breaks them into manageable units of work</w:t>
      </w:r>
      <w:sdt>
        <w:sdtPr>
          <w:id w:val="-175958574"/>
          <w:citation/>
        </w:sdtPr>
        <w:sdtContent>
          <w:r>
            <w:fldChar w:fldCharType="begin"/>
          </w:r>
          <w:r>
            <w:instrText xml:space="preserve"> CITATION Thi \l 1033 </w:instrText>
          </w:r>
          <w:r>
            <w:fldChar w:fldCharType="separate"/>
          </w:r>
          <w:r>
            <w:rPr>
              <w:noProof/>
            </w:rPr>
            <w:t xml:space="preserve"> (Thiele, et al.)</w:t>
          </w:r>
          <w:r>
            <w:fldChar w:fldCharType="end"/>
          </w:r>
        </w:sdtContent>
      </w:sdt>
      <w:r>
        <w:t>.  For example, YouTube subscribers upload 500 hours of video every single minute</w:t>
      </w:r>
      <w:sdt>
        <w:sdtPr>
          <w:id w:val="1406792944"/>
          <w:citation/>
        </w:sdtPr>
        <w:sdtContent>
          <w:r>
            <w:fldChar w:fldCharType="begin"/>
          </w:r>
          <w:r>
            <w:instrText xml:space="preserve"> CITATION Cel19 \l 1033 </w:instrText>
          </w:r>
          <w:r>
            <w:fldChar w:fldCharType="separate"/>
          </w:r>
          <w:r>
            <w:rPr>
              <w:noProof/>
            </w:rPr>
            <w:t xml:space="preserve"> (Celement, 2019)</w:t>
          </w:r>
          <w:r>
            <w:fldChar w:fldCharType="end"/>
          </w:r>
        </w:sdtContent>
      </w:sdt>
      <w:r>
        <w:t>.  These videos need to be encoded, replicated,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organize </w:t>
      </w:r>
      <w:r w:rsidR="00477BDB" w:rsidRPr="00477BDB">
        <w:rPr>
          <w:i/>
        </w:rPr>
        <w:t>remote</w:t>
      </w:r>
      <w:r w:rsidR="00477BDB">
        <w:t xml:space="preserve"> resources.</w:t>
      </w:r>
    </w:p>
    <w:tbl>
      <w:tblPr>
        <w:tblStyle w:val="GridTable4-Accent6"/>
        <w:tblW w:w="10255" w:type="dxa"/>
        <w:tblLook w:val="04A0" w:firstRow="1" w:lastRow="0" w:firstColumn="1" w:lastColumn="0" w:noHBand="0" w:noVBand="1"/>
      </w:tblPr>
      <w:tblGrid>
        <w:gridCol w:w="2605"/>
        <w:gridCol w:w="3628"/>
        <w:gridCol w:w="4022"/>
      </w:tblGrid>
      <w:tr w:rsidR="00986557" w:rsidTr="00651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Pr="00986557" w:rsidRDefault="00986557" w:rsidP="00986557">
            <w:pPr>
              <w:jc w:val="center"/>
              <w:rPr>
                <w:b w:val="0"/>
              </w:rPr>
            </w:pPr>
            <w:r w:rsidRPr="00986557">
              <w:rPr>
                <w:b w:val="0"/>
              </w:rPr>
              <w:t>Product</w:t>
            </w:r>
          </w:p>
        </w:tc>
        <w:tc>
          <w:tcPr>
            <w:tcW w:w="3628"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Default="00651AAE" w:rsidP="00986557">
            <w:r>
              <w:t>Apache Hadoop</w:t>
            </w:r>
            <w:sdt>
              <w:sdtPr>
                <w:id w:val="-1353946436"/>
                <w:citation/>
              </w:sdt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w:t>
            </w:r>
            <w:proofErr w:type="gramStart"/>
            <w:r>
              <w:t xml:space="preserve">. </w:t>
            </w:r>
            <w:proofErr w:type="gramEnd"/>
            <w:r>
              <w:t>Major cloud providers have addressed this challenge with managed solutions.</w:t>
            </w:r>
          </w:p>
          <w:p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or related tools for many use cases.</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lastRenderedPageBreak/>
              <w:t>Apache Yarn</w:t>
            </w:r>
            <w:r w:rsidR="00531327">
              <w:br/>
            </w:r>
            <w:sdt>
              <w:sdtPr>
                <w:id w:val="-1953320585"/>
                <w:citation/>
              </w:sdt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 purpose task orchestration.</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rsidRPr="00651AAE">
              <w:t>Kubernetes</w:t>
            </w:r>
            <w:sdt>
              <w:sdtPr>
                <w:id w:val="-1984384303"/>
                <w:citation/>
              </w:sdt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Pr="00651AAE" w:rsidRDefault="00651AAE" w:rsidP="00986557">
            <w:r>
              <w:t>Microsoft AppFabric</w:t>
            </w:r>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w:t>
            </w:r>
            <w:proofErr w:type="gramStart"/>
            <w:r>
              <w:t xml:space="preserve">. </w:t>
            </w:r>
            <w:proofErr w:type="gramEnd"/>
            <w:r>
              <w:t>Targets the .NET ecosystem</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t>Amazon EFS</w:t>
            </w:r>
            <w:sdt>
              <w:sdtPr>
                <w:id w:val="442968808"/>
                <w:citation/>
              </w:sdt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Administrators need to mount the remote resources, as local storage. High risk of network latency</w:t>
            </w:r>
            <w:proofErr w:type="gramStart"/>
            <w:r>
              <w:t xml:space="preserve">. </w:t>
            </w:r>
            <w:proofErr w:type="gramEnd"/>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531327" w:rsidP="00986557">
            <w:r>
              <w:t>IBM Service Management Suite</w:t>
            </w:r>
            <w:sdt>
              <w:sdtPr>
                <w:id w:val="1936936329"/>
                <w:citation/>
              </w:sdt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 centric environment.</w:t>
            </w:r>
          </w:p>
        </w:tc>
        <w:tc>
          <w:tcPr>
            <w:tcW w:w="4022"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B7ACF" w:rsidRDefault="000B7ACF" w:rsidP="00986557">
            <w:r>
              <w:t>Docker Swarm</w:t>
            </w:r>
            <w:sdt>
              <w:sdtPr>
                <w:id w:val="1575930758"/>
                <w:citation/>
              </w:sdt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rsidTr="00651AAE">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proofErr w:type="spellStart"/>
            <w:r>
              <w:t>Redhat</w:t>
            </w:r>
            <w:proofErr w:type="spellEnd"/>
            <w:r>
              <w:t xml:space="preserve"> </w:t>
            </w:r>
            <w:proofErr w:type="spellStart"/>
            <w:r>
              <w:t>Satallite</w:t>
            </w:r>
            <w:proofErr w:type="spellEnd"/>
            <w:sdt>
              <w:sdtPr>
                <w:id w:val="1962835449"/>
                <w:citation/>
              </w:sdt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r>
              <w:t>Microsoft System Center</w:t>
            </w:r>
            <w:sdt>
              <w:sdtPr>
                <w:id w:val="-472288545"/>
                <w:citation/>
              </w:sdt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rsidR="00986557" w:rsidRPr="00986557" w:rsidRDefault="00986557" w:rsidP="00986557">
      <w:bookmarkStart w:id="0" w:name="_GoBack"/>
      <w:bookmarkEnd w:id="0"/>
    </w:p>
    <w:sectPr w:rsidR="00986557" w:rsidRPr="0098655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00B" w:rsidRDefault="00B1200B" w:rsidP="0082223F">
      <w:pPr>
        <w:spacing w:line="240" w:lineRule="auto"/>
      </w:pPr>
      <w:r>
        <w:separator/>
      </w:r>
    </w:p>
  </w:endnote>
  <w:endnote w:type="continuationSeparator" w:id="0">
    <w:p w:rsidR="00B1200B" w:rsidRDefault="00B1200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00B" w:rsidRDefault="00B1200B" w:rsidP="0082223F">
      <w:pPr>
        <w:spacing w:line="240" w:lineRule="auto"/>
      </w:pPr>
      <w:r>
        <w:separator/>
      </w:r>
    </w:p>
  </w:footnote>
  <w:footnote w:type="continuationSeparator" w:id="0">
    <w:p w:rsidR="00B1200B" w:rsidRDefault="00B1200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270F"/>
    <w:rsid w:val="00036708"/>
    <w:rsid w:val="00036F58"/>
    <w:rsid w:val="00044E85"/>
    <w:rsid w:val="000B7ACF"/>
    <w:rsid w:val="0016447E"/>
    <w:rsid w:val="00183597"/>
    <w:rsid w:val="002806B7"/>
    <w:rsid w:val="003A28D5"/>
    <w:rsid w:val="00401D65"/>
    <w:rsid w:val="004223E8"/>
    <w:rsid w:val="00477BDB"/>
    <w:rsid w:val="004A784B"/>
    <w:rsid w:val="00531327"/>
    <w:rsid w:val="005867FA"/>
    <w:rsid w:val="00651AAE"/>
    <w:rsid w:val="0082223F"/>
    <w:rsid w:val="008B5129"/>
    <w:rsid w:val="008E66CB"/>
    <w:rsid w:val="00967FE5"/>
    <w:rsid w:val="00986557"/>
    <w:rsid w:val="00A51EA1"/>
    <w:rsid w:val="00B1200B"/>
    <w:rsid w:val="00C73692"/>
    <w:rsid w:val="00C93BB7"/>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BA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s>
</file>

<file path=customXml/itemProps1.xml><?xml version="1.0" encoding="utf-8"?>
<ds:datastoreItem xmlns:ds="http://schemas.openxmlformats.org/officeDocument/2006/customXml" ds:itemID="{18D81CBB-93DB-463E-BC45-DC8065A7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2019-10-06T17:55:00Z</dcterms:modified>
</cp:coreProperties>
</file>