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73E1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D2ABA">
        <w:t>2</w:t>
      </w:r>
      <w:r>
        <w:t xml:space="preserve">: Week </w:t>
      </w:r>
      <w:r w:rsidR="000D2ABA">
        <w:t>4</w:t>
      </w:r>
      <w:r>
        <w:t xml:space="preserve">: </w:t>
      </w:r>
      <w:r w:rsidR="000D2ABA">
        <w:t xml:space="preserve">Network and Node File </w:t>
      </w:r>
      <w:r w:rsidR="00C93BB7">
        <w:t>System</w:t>
      </w:r>
      <w:r w:rsidR="000D2ABA">
        <w:t>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0D2ABA" w:rsidP="0082223F">
      <w:pPr>
        <w:jc w:val="center"/>
      </w:pPr>
      <w:r>
        <w:t>October 13</w:t>
      </w:r>
      <w:r w:rsidRPr="000D2AB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2ABA" w:rsidP="0082223F">
      <w:pPr>
        <w:pStyle w:val="Heading1"/>
      </w:pPr>
      <w:r>
        <w:lastRenderedPageBreak/>
        <w:t>Network and Node File Systems</w:t>
      </w:r>
    </w:p>
    <w:p w:rsidR="000D2ABA" w:rsidRDefault="000D2ABA" w:rsidP="000D2ABA">
      <w:r>
        <w:tab/>
        <w:t xml:space="preserve">Different optimization objectives exist between remote and local file systems.  These differences must account for the scenario’s specific needs and purposes.  For instance, an embedded device might choose FAT32, because it doesn’t need the multi-user security overhead of NTFS.  Or, Linux’s EXT4 is </w:t>
      </w:r>
      <w:proofErr w:type="gramStart"/>
      <w:r>
        <w:t>sufficient</w:t>
      </w:r>
      <w:proofErr w:type="gramEnd"/>
      <w:r>
        <w:t xml:space="preserve"> for a branch office file server but might be more challenging than Hadoop’s HDFS to manage large data sets.</w:t>
      </w:r>
    </w:p>
    <w:p w:rsidR="000D2ABA" w:rsidRDefault="000D2ABA" w:rsidP="000D2ABA">
      <w:pPr>
        <w:pStyle w:val="Heading1"/>
      </w:pPr>
      <w:r>
        <w:t>Compare Common File Systems</w:t>
      </w:r>
    </w:p>
    <w:p w:rsidR="000D2ABA" w:rsidRPr="000D2ABA" w:rsidRDefault="000D2ABA" w:rsidP="000D2ABA">
      <w:r>
        <w:tab/>
        <w:t>Table 1 enumerates the strengths and weaknesses of a collection of commonly used file systems. This table is by no means an exhaustive list of popular file systems.</w:t>
      </w:r>
    </w:p>
    <w:tbl>
      <w:tblPr>
        <w:tblStyle w:val="GridTable4"/>
        <w:tblW w:w="10345" w:type="dxa"/>
        <w:tblLook w:val="04A0" w:firstRow="1" w:lastRow="0" w:firstColumn="1" w:lastColumn="0" w:noHBand="0" w:noVBand="1"/>
      </w:tblPr>
      <w:tblGrid>
        <w:gridCol w:w="1525"/>
        <w:gridCol w:w="1980"/>
        <w:gridCol w:w="2105"/>
        <w:gridCol w:w="1870"/>
        <w:gridCol w:w="2865"/>
      </w:tblGrid>
      <w:tr w:rsidR="000D2ABA" w:rsidTr="006A6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pPr>
              <w:jc w:val="center"/>
            </w:pPr>
            <w:r>
              <w:t>File System</w:t>
            </w:r>
          </w:p>
        </w:tc>
        <w:tc>
          <w:tcPr>
            <w:tcW w:w="198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Technical Features</w:t>
            </w:r>
          </w:p>
        </w:tc>
        <w:tc>
          <w:tcPr>
            <w:tcW w:w="210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Strengths</w:t>
            </w:r>
          </w:p>
        </w:tc>
        <w:tc>
          <w:tcPr>
            <w:tcW w:w="187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Limitations</w:t>
            </w:r>
          </w:p>
        </w:tc>
        <w:tc>
          <w:tcPr>
            <w:tcW w:w="286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Use Cases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FAT16</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Stores allocations in a single table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Easy to implement</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4GB</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 xml:space="preserve">Legacy Systems and embedded devices </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FAT32</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Increased the max sizes of FAT16</w:t>
            </w:r>
            <w:proofErr w:type="gramStart"/>
            <w:r>
              <w:t xml:space="preserve">. </w:t>
            </w:r>
            <w:proofErr w:type="gramEnd"/>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Highly portable and supported across devices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Limited file system level security</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Modern single user systems (e.g., smart devices)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NTFS</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Added Access Control Lists</w:t>
            </w:r>
            <w:r w:rsidR="00622B6D">
              <w:t>, Compression, and Encryption</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proofErr w:type="spellStart"/>
            <w:r>
              <w:t>Defact</w:t>
            </w:r>
            <w:proofErr w:type="spellEnd"/>
            <w:r>
              <w:t>-o standard across Windows</w:t>
            </w:r>
            <w:r w:rsidR="00622B6D">
              <w:t xml:space="preserve"> products</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9.2EB</w:t>
            </w:r>
            <w:r>
              <w:br/>
              <w:t>Limited support outside on Unix</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Any modern Windows client/server environment</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NFS (Unix)</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Remote mounted and treated as-if local storage</w:t>
            </w:r>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Lightweight protocol</w:t>
            </w:r>
          </w:p>
        </w:tc>
        <w:tc>
          <w:tcPr>
            <w:tcW w:w="187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Network latency can impact performance</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Brach office file servers, small computer labs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AFP </w:t>
            </w:r>
            <w:sdt>
              <w:sdtPr>
                <w:id w:val="-250824869"/>
                <w:citation/>
              </w:sdtPr>
              <w:sdtContent>
                <w:r>
                  <w:fldChar w:fldCharType="begin"/>
                </w:r>
                <w:r>
                  <w:instrText xml:space="preserve"> CITATION App19 \l 1033 </w:instrText>
                </w:r>
                <w:r>
                  <w:fldChar w:fldCharType="separate"/>
                </w:r>
                <w:r>
                  <w:rPr>
                    <w:noProof/>
                  </w:rPr>
                  <w:t>(Apple, 2019)</w:t>
                </w:r>
                <w:r>
                  <w:fldChar w:fldCharType="end"/>
                </w:r>
              </w:sdtContent>
            </w:sdt>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Remote mounted storage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Transparent to User</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Portability, all operations are byte ordered</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Mostly Mac OS.</w:t>
            </w:r>
          </w:p>
          <w:p w:rsidR="000D2ABA" w:rsidRDefault="000D2ABA" w:rsidP="000D2ABA">
            <w:pPr>
              <w:cnfStyle w:val="000000100000" w:firstRow="0" w:lastRow="0" w:firstColumn="0" w:lastColumn="0" w:oddVBand="0" w:evenVBand="0" w:oddHBand="1" w:evenHBand="0" w:firstRowFirstColumn="0" w:firstRowLastColumn="0" w:lastRowFirstColumn="0" w:lastRowLastColumn="0"/>
            </w:pPr>
            <w:r>
              <w:t>Some MS-DOS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AFS </w:t>
            </w:r>
            <w:sdt>
              <w:sdtPr>
                <w:id w:val="-990560577"/>
                <w:citation/>
              </w:sdtPr>
              <w:sdtContent>
                <w:r w:rsidR="00622B6D">
                  <w:fldChar w:fldCharType="begin"/>
                </w:r>
                <w:r w:rsidR="00622B6D">
                  <w:instrText xml:space="preserve"> CITATION App191 \l 1033 </w:instrText>
                </w:r>
                <w:r w:rsidR="00622B6D">
                  <w:fldChar w:fldCharType="separate"/>
                </w:r>
                <w:r w:rsidR="00622B6D">
                  <w:rPr>
                    <w:noProof/>
                  </w:rPr>
                  <w:t>(Apple, 2019)</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Expands on HFS+ and exclude space in sparse files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proofErr w:type="spellStart"/>
            <w:r>
              <w:t>Defact</w:t>
            </w:r>
            <w:proofErr w:type="spellEnd"/>
            <w:r>
              <w:t>-o standard across Apple products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Case sensitive file names</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Any modern Apple product (e.g., iOS)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HFS+</w:t>
            </w:r>
            <w:r w:rsidR="00622B6D">
              <w:t xml:space="preserve"> </w:t>
            </w:r>
            <w:sdt>
              <w:sdtPr>
                <w:id w:val="1252553803"/>
                <w:citation/>
              </w:sdtPr>
              <w:sdtContent>
                <w:r w:rsidR="00622B6D">
                  <w:fldChar w:fldCharType="begin"/>
                </w:r>
                <w:r w:rsidR="00622B6D">
                  <w:instrText xml:space="preserve"> CITATION Sir11 \l 1033 </w:instrText>
                </w:r>
                <w:r w:rsidR="00622B6D">
                  <w:fldChar w:fldCharType="separate"/>
                </w:r>
                <w:r w:rsidR="00622B6D">
                  <w:rPr>
                    <w:noProof/>
                  </w:rPr>
                  <w:t xml:space="preserve"> (Siracusa, 2011)</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Free space shared between partitions on a volume</w:t>
            </w:r>
            <w:proofErr w:type="gramStart"/>
            <w:r>
              <w:t xml:space="preserve">. </w:t>
            </w:r>
            <w:proofErr w:type="gramEnd"/>
            <w:r>
              <w:t>Added journaling support</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Analogous to FAT32 improvements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 xml:space="preserve">Based on a </w:t>
            </w:r>
            <w:proofErr w:type="gramStart"/>
            <w:r>
              <w:t>25 year old</w:t>
            </w:r>
            <w:proofErr w:type="gramEnd"/>
            <w:r>
              <w:t xml:space="preserve"> technology</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Legacy Mac OS scenarios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lastRenderedPageBreak/>
              <w:t>ZFS</w:t>
            </w:r>
            <w:sdt>
              <w:sdtPr>
                <w:id w:val="-752820493"/>
                <w:citation/>
              </w:sdtPr>
              <w:sdtContent>
                <w:r w:rsidR="00622B6D">
                  <w:fldChar w:fldCharType="begin"/>
                </w:r>
                <w:r w:rsidR="00622B6D">
                  <w:instrText xml:space="preserve"> CITATION Ora10 \l 1033 </w:instrText>
                </w:r>
                <w:r w:rsidR="00622B6D">
                  <w:fldChar w:fldCharType="separate"/>
                </w:r>
                <w:r w:rsidR="00622B6D">
                  <w:rPr>
                    <w:noProof/>
                  </w:rPr>
                  <w:t xml:space="preserve"> (Oracle, 2010)</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Virtualizes storage into storage pools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Removes the volume manager</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Distributed technology</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Server storage arrays with multiple volumes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Apple Xsan</w:t>
            </w:r>
            <w:sdt>
              <w:sdtPr>
                <w:id w:val="-648053243"/>
                <w:citation/>
              </w:sdtPr>
              <w:sdtContent>
                <w:r w:rsidR="00622B6D">
                  <w:fldChar w:fldCharType="begin"/>
                </w:r>
                <w:r w:rsidR="00622B6D">
                  <w:instrText xml:space="preserve"> CITATION App04 \l 1033 </w:instrText>
                </w:r>
                <w:r w:rsidR="00622B6D">
                  <w:fldChar w:fldCharType="separate"/>
                </w:r>
                <w:r w:rsidR="00622B6D">
                  <w:rPr>
                    <w:noProof/>
                  </w:rPr>
                  <w:t xml:space="preserve"> (Apple, 2004)</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Remote Clustered Storage (Storage Area Network)</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 cheap and performant mechanism to bring Enterprise concepts to smaller offices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64 parallel consumers</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Small to mid-sized business shared networking scenarios on Mac 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VMFS</w:t>
            </w:r>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Virtualized device storage, a clustered storage abstraction for virtual machines</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Sharable across multiple VMWare versions and concurrent users</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VMWare Product specific</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Businesses that centralized on VMWare Product line</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APPN</w:t>
            </w:r>
            <w:sdt>
              <w:sdtPr>
                <w:id w:val="495845113"/>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Maintain a list of SNA resources to reduce complex MPIO</w:t>
            </w:r>
          </w:p>
        </w:tc>
        <w:tc>
          <w:tcPr>
            <w:tcW w:w="210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Abstracts the notion of local and remote storage</w:t>
            </w:r>
          </w:p>
        </w:tc>
        <w:tc>
          <w:tcPr>
            <w:tcW w:w="187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Requires pairing with APPC</w:t>
            </w:r>
          </w:p>
        </w:tc>
        <w:tc>
          <w:tcPr>
            <w:tcW w:w="286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IBM Mainframes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APPC</w:t>
            </w:r>
            <w:sdt>
              <w:sdtPr>
                <w:id w:val="-22326578"/>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A protocol over APPN for abstracting communication with an entity</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Facilitates the conversation of store/load over a network or local disk</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Requires pairing with APPN</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IBM Mainframes</w:t>
            </w:r>
          </w:p>
        </w:tc>
      </w:tr>
    </w:tbl>
    <w:p w:rsidR="000D2ABA" w:rsidRPr="000D2ABA" w:rsidRDefault="000D2ABA" w:rsidP="000D2ABA">
      <w:pPr>
        <w:pStyle w:val="Caption"/>
        <w:jc w:val="center"/>
        <w:rPr>
          <w:i w:val="0"/>
          <w:color w:val="auto"/>
        </w:rPr>
      </w:pPr>
      <w:r w:rsidRPr="000D2ABA">
        <w:rPr>
          <w:i w:val="0"/>
          <w:color w:val="auto"/>
        </w:rPr>
        <w:t xml:space="preserve">Table </w:t>
      </w:r>
      <w:r w:rsidRPr="000D2ABA">
        <w:rPr>
          <w:i w:val="0"/>
          <w:color w:val="auto"/>
        </w:rPr>
        <w:fldChar w:fldCharType="begin"/>
      </w:r>
      <w:r w:rsidRPr="000D2ABA">
        <w:rPr>
          <w:i w:val="0"/>
          <w:color w:val="auto"/>
        </w:rPr>
        <w:instrText xml:space="preserve"> SEQ Table \* ARABIC </w:instrText>
      </w:r>
      <w:r w:rsidRPr="000D2ABA">
        <w:rPr>
          <w:i w:val="0"/>
          <w:color w:val="auto"/>
        </w:rPr>
        <w:fldChar w:fldCharType="separate"/>
      </w:r>
      <w:r w:rsidRPr="000D2ABA">
        <w:rPr>
          <w:i w:val="0"/>
          <w:noProof/>
          <w:color w:val="auto"/>
        </w:rPr>
        <w:t>1</w:t>
      </w:r>
      <w:r w:rsidRPr="000D2ABA">
        <w:rPr>
          <w:i w:val="0"/>
          <w:color w:val="auto"/>
        </w:rPr>
        <w:fldChar w:fldCharType="end"/>
      </w:r>
      <w:r w:rsidRPr="000D2ABA">
        <w:rPr>
          <w:i w:val="0"/>
          <w:color w:val="auto"/>
        </w:rPr>
        <w:t>: File Systems</w:t>
      </w:r>
    </w:p>
    <w:p w:rsidR="0082223F" w:rsidRDefault="00992EE1" w:rsidP="00992EE1">
      <w:pPr>
        <w:pStyle w:val="Heading1"/>
      </w:pPr>
      <w:r>
        <w:t>Using File Systems in Distributed Systems</w:t>
      </w:r>
    </w:p>
    <w:p w:rsidR="00992EE1" w:rsidRDefault="00992EE1" w:rsidP="00992EE1">
      <w:r>
        <w:tab/>
        <w:t>Contoso Manufacturing exposes a product catalog for its employees as presented in Figure 1.  These employees will make requests from heterogeneous devices, such as iOS, Windows 10, and Linux desktops.  Aspects of their local file system will “leak” into their interaction with the services.  For instance, file names containing colons might require additional steps to access after downloading on NTFS (e.g. foo:bar.txt).  This behavior is due to the colon denoting the alternate data stream (e.g., bar.txt in file foo).</w:t>
      </w:r>
      <w:r w:rsidR="00106B4E">
        <w:t xml:space="preserve">  Another example occurs within AFS, EXT4, and other Unix style systems as the file name can be case sensitive.  These subtle differences can break the portability of specific scenarios.</w:t>
      </w:r>
    </w:p>
    <w:p w:rsidR="00445B24" w:rsidRDefault="00445B24" w:rsidP="00992EE1">
      <w:r>
        <w:tab/>
        <w:t xml:space="preserve">The client’s requests flow into the service stack that resides on Microsoft Hyper-V virtualization servers.  These servers mount Remote Storage Spaces, from an IBM z/OS cluster, </w:t>
      </w:r>
      <w:r>
        <w:lastRenderedPageBreak/>
        <w:t xml:space="preserve">as a mechanism for a clear separation of duties between the storage and compute nodes.  After the clustered network volumes are attached, NTFS is applied to allow the operating system of the local virtualization to manage the physical file.  Within the NTFS filesystem, Virtual Hard Disk (VHDX) files are created to project volumes into the managed service nodes.  This layering of virtualized file systems introduces one set of challenges, in exchange for simplification in other areas.  For example, physical disks are </w:t>
      </w:r>
      <w:proofErr w:type="spellStart"/>
      <w:r>
        <w:t>replaceble</w:t>
      </w:r>
      <w:proofErr w:type="spellEnd"/>
      <w:r>
        <w:t xml:space="preserve"> without adding downtime on the production services.</w:t>
      </w:r>
      <w:r w:rsidR="000D3D19">
        <w:t xml:space="preserve">  Similarly, live migration can occur across the virtual service instances, as clusters of physical hosts rebalance their work load distributions.</w:t>
      </w:r>
    </w:p>
    <w:p w:rsidR="000D3D19" w:rsidRPr="00992EE1" w:rsidRDefault="000D3D19" w:rsidP="00992EE1">
      <w:r>
        <w:tab/>
        <w:t xml:space="preserve">Inside of the virtualized compute environment are three clustered services: (1) Web Frontend on </w:t>
      </w:r>
      <w:r w:rsidR="00EB61BE">
        <w:t>Linux</w:t>
      </w:r>
      <w:bookmarkStart w:id="0" w:name="_GoBack"/>
      <w:bookmarkEnd w:id="0"/>
      <w:r>
        <w:t>, (2) an NFS service on FreeBSD, and (3) a SQL Server on Windows Server.</w:t>
      </w:r>
      <w:r w:rsidR="00EB61BE">
        <w:t xml:space="preserve">  Each node within this </w:t>
      </w:r>
      <w:proofErr w:type="spellStart"/>
      <w:r w:rsidR="00EB61BE">
        <w:t>toplogy</w:t>
      </w:r>
      <w:proofErr w:type="spellEnd"/>
      <w:r w:rsidR="00EB61BE">
        <w:t xml:space="preserve"> leverages a different file system, however they able to interop through clearly defined network service contracts.  Consider the LAMP</w:t>
      </w:r>
    </w:p>
    <w:p w:rsidR="00992EE1" w:rsidRDefault="000D3D19" w:rsidP="00992EE1">
      <w:pPr>
        <w:keepNext/>
        <w:jc w:val="center"/>
      </w:pPr>
      <w:r>
        <w:rPr>
          <w:noProof/>
        </w:rPr>
        <w:lastRenderedPageBreak/>
        <w:drawing>
          <wp:inline distT="0" distB="0" distL="0" distR="0" wp14:anchorId="46FF63E7" wp14:editId="2C71D3E3">
            <wp:extent cx="3354779" cy="410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9740" cy="4111411"/>
                    </a:xfrm>
                    <a:prstGeom prst="rect">
                      <a:avLst/>
                    </a:prstGeom>
                  </pic:spPr>
                </pic:pic>
              </a:graphicData>
            </a:graphic>
          </wp:inline>
        </w:drawing>
      </w:r>
    </w:p>
    <w:p w:rsidR="00992EE1" w:rsidRPr="00992EE1" w:rsidRDefault="00992EE1" w:rsidP="00992EE1">
      <w:pPr>
        <w:pStyle w:val="Caption"/>
        <w:jc w:val="center"/>
        <w:rPr>
          <w:i w:val="0"/>
          <w:color w:val="auto"/>
        </w:rPr>
      </w:pPr>
      <w:r w:rsidRPr="00992EE1">
        <w:rPr>
          <w:i w:val="0"/>
          <w:color w:val="auto"/>
        </w:rPr>
        <w:t xml:space="preserve">Figure </w:t>
      </w:r>
      <w:r w:rsidRPr="00992EE1">
        <w:rPr>
          <w:i w:val="0"/>
          <w:color w:val="auto"/>
        </w:rPr>
        <w:fldChar w:fldCharType="begin"/>
      </w:r>
      <w:r w:rsidRPr="00992EE1">
        <w:rPr>
          <w:i w:val="0"/>
          <w:color w:val="auto"/>
        </w:rPr>
        <w:instrText xml:space="preserve"> SEQ Figure \* ARABIC </w:instrText>
      </w:r>
      <w:r w:rsidRPr="00992EE1">
        <w:rPr>
          <w:i w:val="0"/>
          <w:color w:val="auto"/>
        </w:rPr>
        <w:fldChar w:fldCharType="separate"/>
      </w:r>
      <w:r w:rsidRPr="00992EE1">
        <w:rPr>
          <w:i w:val="0"/>
          <w:noProof/>
          <w:color w:val="auto"/>
        </w:rPr>
        <w:t>1</w:t>
      </w:r>
      <w:r w:rsidRPr="00992EE1">
        <w:rPr>
          <w:i w:val="0"/>
          <w:color w:val="auto"/>
        </w:rPr>
        <w:fldChar w:fldCharType="end"/>
      </w:r>
      <w:r w:rsidRPr="00992EE1">
        <w:rPr>
          <w:i w:val="0"/>
          <w:color w:val="auto"/>
        </w:rPr>
        <w:t xml:space="preserve"> File Systems Used</w:t>
      </w:r>
    </w:p>
    <w:sectPr w:rsidR="00992EE1" w:rsidRPr="00992EE1"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E19" w:rsidRDefault="00A73E19" w:rsidP="0082223F">
      <w:pPr>
        <w:spacing w:line="240" w:lineRule="auto"/>
      </w:pPr>
      <w:r>
        <w:separator/>
      </w:r>
    </w:p>
  </w:endnote>
  <w:endnote w:type="continuationSeparator" w:id="0">
    <w:p w:rsidR="00A73E19" w:rsidRDefault="00A73E1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E19" w:rsidRDefault="00A73E19" w:rsidP="0082223F">
      <w:pPr>
        <w:spacing w:line="240" w:lineRule="auto"/>
      </w:pPr>
      <w:r>
        <w:separator/>
      </w:r>
    </w:p>
  </w:footnote>
  <w:footnote w:type="continuationSeparator" w:id="0">
    <w:p w:rsidR="00A73E19" w:rsidRDefault="00A73E1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827B4"/>
    <w:multiLevelType w:val="hybridMultilevel"/>
    <w:tmpl w:val="9D12629A"/>
    <w:lvl w:ilvl="0" w:tplc="F5963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D2ABA"/>
    <w:rsid w:val="000D3D19"/>
    <w:rsid w:val="00106B4E"/>
    <w:rsid w:val="00183597"/>
    <w:rsid w:val="002806B7"/>
    <w:rsid w:val="00401D65"/>
    <w:rsid w:val="004223E8"/>
    <w:rsid w:val="00445B24"/>
    <w:rsid w:val="004A784B"/>
    <w:rsid w:val="00622B6D"/>
    <w:rsid w:val="006A662D"/>
    <w:rsid w:val="0082223F"/>
    <w:rsid w:val="008B5129"/>
    <w:rsid w:val="00992EE1"/>
    <w:rsid w:val="00A73E19"/>
    <w:rsid w:val="00C73692"/>
    <w:rsid w:val="00C93BB7"/>
    <w:rsid w:val="00DE2224"/>
    <w:rsid w:val="00EB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E45"/>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0D2A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D2A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D2ABA"/>
    <w:pPr>
      <w:spacing w:after="200" w:line="240" w:lineRule="auto"/>
    </w:pPr>
    <w:rPr>
      <w:i/>
      <w:iCs/>
      <w:color w:val="44546A" w:themeColor="text2"/>
      <w:sz w:val="18"/>
      <w:szCs w:val="18"/>
    </w:rPr>
  </w:style>
  <w:style w:type="paragraph" w:styleId="ListParagraph">
    <w:name w:val="List Paragraph"/>
    <w:basedOn w:val="Normal"/>
    <w:uiPriority w:val="34"/>
    <w:qFormat/>
    <w:rsid w:val="000D2ABA"/>
    <w:pPr>
      <w:ind w:left="720"/>
      <w:contextualSpacing/>
    </w:pPr>
  </w:style>
  <w:style w:type="paragraph" w:styleId="BalloonText">
    <w:name w:val="Balloon Text"/>
    <w:basedOn w:val="Normal"/>
    <w:link w:val="BalloonTextChar"/>
    <w:uiPriority w:val="99"/>
    <w:semiHidden/>
    <w:unhideWhenUsed/>
    <w:rsid w:val="00992E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E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4532">
      <w:bodyDiv w:val="1"/>
      <w:marLeft w:val="0"/>
      <w:marRight w:val="0"/>
      <w:marTop w:val="0"/>
      <w:marBottom w:val="0"/>
      <w:divBdr>
        <w:top w:val="none" w:sz="0" w:space="0" w:color="auto"/>
        <w:left w:val="none" w:sz="0" w:space="0" w:color="auto"/>
        <w:bottom w:val="none" w:sz="0" w:space="0" w:color="auto"/>
        <w:right w:val="none" w:sz="0" w:space="0" w:color="auto"/>
      </w:divBdr>
    </w:div>
    <w:div w:id="157811305">
      <w:bodyDiv w:val="1"/>
      <w:marLeft w:val="0"/>
      <w:marRight w:val="0"/>
      <w:marTop w:val="0"/>
      <w:marBottom w:val="0"/>
      <w:divBdr>
        <w:top w:val="none" w:sz="0" w:space="0" w:color="auto"/>
        <w:left w:val="none" w:sz="0" w:space="0" w:color="auto"/>
        <w:bottom w:val="none" w:sz="0" w:space="0" w:color="auto"/>
        <w:right w:val="none" w:sz="0" w:space="0" w:color="auto"/>
      </w:divBdr>
    </w:div>
    <w:div w:id="905141821">
      <w:bodyDiv w:val="1"/>
      <w:marLeft w:val="0"/>
      <w:marRight w:val="0"/>
      <w:marTop w:val="0"/>
      <w:marBottom w:val="0"/>
      <w:divBdr>
        <w:top w:val="none" w:sz="0" w:space="0" w:color="auto"/>
        <w:left w:val="none" w:sz="0" w:space="0" w:color="auto"/>
        <w:bottom w:val="none" w:sz="0" w:space="0" w:color="auto"/>
        <w:right w:val="none" w:sz="0" w:space="0" w:color="auto"/>
      </w:divBdr>
    </w:div>
    <w:div w:id="1028457026">
      <w:bodyDiv w:val="1"/>
      <w:marLeft w:val="0"/>
      <w:marRight w:val="0"/>
      <w:marTop w:val="0"/>
      <w:marBottom w:val="0"/>
      <w:divBdr>
        <w:top w:val="none" w:sz="0" w:space="0" w:color="auto"/>
        <w:left w:val="none" w:sz="0" w:space="0" w:color="auto"/>
        <w:bottom w:val="none" w:sz="0" w:space="0" w:color="auto"/>
        <w:right w:val="none" w:sz="0" w:space="0" w:color="auto"/>
      </w:divBdr>
    </w:div>
    <w:div w:id="1128664716">
      <w:bodyDiv w:val="1"/>
      <w:marLeft w:val="0"/>
      <w:marRight w:val="0"/>
      <w:marTop w:val="0"/>
      <w:marBottom w:val="0"/>
      <w:divBdr>
        <w:top w:val="none" w:sz="0" w:space="0" w:color="auto"/>
        <w:left w:val="none" w:sz="0" w:space="0" w:color="auto"/>
        <w:bottom w:val="none" w:sz="0" w:space="0" w:color="auto"/>
        <w:right w:val="none" w:sz="0" w:space="0" w:color="auto"/>
      </w:divBdr>
    </w:div>
    <w:div w:id="1588995061">
      <w:bodyDiv w:val="1"/>
      <w:marLeft w:val="0"/>
      <w:marRight w:val="0"/>
      <w:marTop w:val="0"/>
      <w:marBottom w:val="0"/>
      <w:divBdr>
        <w:top w:val="none" w:sz="0" w:space="0" w:color="auto"/>
        <w:left w:val="none" w:sz="0" w:space="0" w:color="auto"/>
        <w:bottom w:val="none" w:sz="0" w:space="0" w:color="auto"/>
        <w:right w:val="none" w:sz="0" w:space="0" w:color="auto"/>
      </w:divBdr>
    </w:div>
    <w:div w:id="19443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App19</b:Tag>
    <b:SourceType>InternetSite</b:SourceType>
    <b:Guid>{E6E8C9B6-1425-48AF-BDC8-89FB424805AE}</b:Guid>
    <b:Title>Apple File Protocol Concepts</b:Title>
    <b:Year>2019</b:Year>
    <b:Author>
      <b:Author>
        <b:Corporate>Apple</b:Corporate>
      </b:Author>
    </b:Author>
    <b:InternetSiteTitle>Apple Developer</b:InternetSiteTitle>
    <b:URL>https://developer.apple.com/library/archive/documentation/Networking/Conceptual/AFP/Concepts/Concepts.html</b:URL>
    <b:RefOrder>1</b:RefOrder>
  </b:Source>
  <b:Source>
    <b:Tag>App191</b:Tag>
    <b:SourceType>InternetSite</b:SourceType>
    <b:Guid>{3C924413-98AC-45B6-9936-4A557A62B022}</b:Guid>
    <b:Author>
      <b:Author>
        <b:Corporate>Apple</b:Corporate>
      </b:Author>
    </b:Author>
    <b:Title>About Apple File System</b:Title>
    <b:InternetSiteTitle>Apple Developer</b:InternetSiteTitle>
    <b:Year>2019</b:Year>
    <b:URL>https://developer.apple.com/documentation/foundation/file_system/about_apple_file_system</b:URL>
    <b:RefOrder>2</b:RefOrder>
  </b:Source>
  <b:Source>
    <b:Tag>Sir11</b:Tag>
    <b:SourceType>InternetSite</b:SourceType>
    <b:Guid>{F4699060-AECE-4A6C-BAD9-DE4FC96CA710}</b:Guid>
    <b:Author>
      <b:Author>
        <b:NameList>
          <b:Person>
            <b:Last>Siracusa</b:Last>
            <b:First>J</b:First>
          </b:Person>
        </b:NameList>
      </b:Author>
    </b:Author>
    <b:Title>Mac OS X 10.7 Lion: the Ars Technica review</b:Title>
    <b:InternetSiteTitle>Arstechnica</b:InternetSiteTitle>
    <b:Year>2011</b:Year>
    <b:Month>July</b:Month>
    <b:Day>20</b:Day>
    <b:URL>https://arstechnica.com/gadgets/2011/07/mac-os-x-10-7/12/</b:URL>
    <b:RefOrder>3</b:RefOrder>
  </b:Source>
  <b:Source>
    <b:Tag>Ora10</b:Tag>
    <b:SourceType>InternetSite</b:SourceType>
    <b:Guid>{AC5D3E95-A17D-4029-902F-509193185078}</b:Guid>
    <b:Author>
      <b:Author>
        <b:Corporate>Oracle</b:Corporate>
      </b:Author>
    </b:Author>
    <b:Title>What is ZFS</b:Title>
    <b:InternetSiteTitle>ZFS Overview</b:InternetSiteTitle>
    <b:Year>2010</b:Year>
    <b:URL>https://docs.oracle.com/cd/E19253-01/819-5461/zfsover-2/</b:URL>
    <b:RefOrder>4</b:RefOrder>
  </b:Source>
  <b:Source>
    <b:Tag>App04</b:Tag>
    <b:SourceType>InternetSite</b:SourceType>
    <b:Guid>{91890CEE-1F08-4FCE-B88D-52B68F8C626F}</b:Guid>
    <b:Author>
      <b:Author>
        <b:Corporate>Apple</b:Corporate>
      </b:Author>
    </b:Author>
    <b:Title>Apple Introduces Xsan Storage Area Network File System</b:Title>
    <b:InternetSiteTitle>Newsroom</b:InternetSiteTitle>
    <b:Year>2004</b:Year>
    <b:Month>April</b:Month>
    <b:Day>18</b:Day>
    <b:URL>https://www.apple.com/newsroom/2004/04/18Apple-Introduces-Xsan-Storage-Area-Network-File-System/</b:URL>
    <b:RefOrder>5</b:RefOrder>
  </b:Source>
  <b:Source>
    <b:Tag>IBM10</b:Tag>
    <b:SourceType>InternetSite</b:SourceType>
    <b:Guid>{7147F4CF-6F75-4E0D-958A-776FFFD8F070}</b:Guid>
    <b:Author>
      <b:Author>
        <b:Corporate>IBM</b:Corporate>
      </b:Author>
    </b:Author>
    <b:Title>Advanced Peer-to-Peer Networking</b:Title>
    <b:InternetSiteTitle>Knowledge Center</b:InternetSiteTitle>
    <b:Year>2010</b:Year>
    <b:URL>https://www.ibm.com/support/knowledgecenter/zosbasics/com.ibm.zos.znetwork/znetwork_181.htm</b:URL>
    <b:RefOrder>6</b:RefOrder>
  </b:Source>
</b:Sources>
</file>

<file path=customXml/itemProps1.xml><?xml version="1.0" encoding="utf-8"?>
<ds:datastoreItem xmlns:ds="http://schemas.openxmlformats.org/officeDocument/2006/customXml" ds:itemID="{80ADE889-8B2C-4D25-84F5-E8ADBE938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14</cp:revision>
  <dcterms:created xsi:type="dcterms:W3CDTF">2019-05-19T17:38:00Z</dcterms:created>
  <dcterms:modified xsi:type="dcterms:W3CDTF">2019-10-13T16:09:00Z</dcterms:modified>
</cp:coreProperties>
</file>