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7549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 These timers rely on the oscillation of quartz crystal as a means to decrement a counter, signifying the duration until the clock tick system interrupt occurs</w:t>
      </w:r>
      <w:sdt>
        <w:sdtPr>
          <w:id w:val="1594281147"/>
          <w:citation/>
        </w:sdtPr>
        <w:sdtContent>
          <w:r>
            <w:fldChar w:fldCharType="begin"/>
          </w:r>
          <w:r>
            <w:instrText xml:space="preserve"> CITATION Ubo05 \l 1033 </w:instrText>
          </w:r>
          <w:r>
            <w:fldChar w:fldCharType="separate"/>
          </w:r>
          <w:r>
            <w:rPr>
              <w:noProof/>
            </w:rPr>
            <w:t xml:space="preserve"> (Ubolkosold, Knedlik, &amp; Loffeld, 2005)</w:t>
          </w:r>
          <w:r>
            <w:fldChar w:fldCharType="end"/>
          </w:r>
        </w:sdtContent>
      </w:sdt>
      <w:r>
        <w:t>.  These crystals “suffer from large frequency shifts due</w:t>
      </w:r>
      <w:r w:rsidR="003405B5">
        <w:t xml:space="preserve"> [to]</w:t>
      </w:r>
      <w:r>
        <w:t xml:space="preserve"> the </w:t>
      </w:r>
      <w:proofErr w:type="spellStart"/>
      <w:r>
        <w:t>the</w:t>
      </w:r>
      <w:proofErr w:type="spellEnd"/>
      <w:r>
        <w:t xml:space="preserve"> high sensitivity to external or internal factors</w:t>
      </w:r>
      <w:sdt>
        <w:sdtPr>
          <w:id w:val="-659685192"/>
          <w:citation/>
        </w:sdtPr>
        <w:sdtContent>
          <w:r>
            <w:fldChar w:fldCharType="begin"/>
          </w:r>
          <w:r>
            <w:instrText xml:space="preserve"> CITATION Zha191 \l 1033 </w:instrText>
          </w:r>
          <w:r>
            <w:fldChar w:fldCharType="separate"/>
          </w:r>
          <w:r>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 xml:space="preserve">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 This design introduces additional </w:t>
      </w:r>
      <w:proofErr w:type="spellStart"/>
      <w:r w:rsidR="001654D9">
        <w:t>challeges</w:t>
      </w:r>
      <w:proofErr w:type="spellEnd"/>
      <w:r w:rsidR="001654D9">
        <w:t xml:space="preserve">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 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proofErr w:type="spellStart"/>
            <w:r>
              <w:t>Hierachial</w:t>
            </w:r>
            <w:proofErr w:type="spellEnd"/>
            <w:r>
              <w:t xml:space="preserve">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Content>
                <w:r>
                  <w:fldChar w:fldCharType="begin"/>
                </w:r>
                <w:r>
                  <w:instrText xml:space="preserve">CITATION The89 \l 1033 </w:instrText>
                </w:r>
                <w:r>
                  <w:fldChar w:fldCharType="separate"/>
                </w:r>
                <w:r>
                  <w:rPr>
                    <w:noProof/>
                  </w:rPr>
                  <w:t xml:space="preserve"> (Gusella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w:t>
            </w:r>
            <w:r>
              <w:t xml:space="preserve"> group of peers performing an election process to choose a master.  The master periodically polls the slaves for their local time, then </w:t>
            </w:r>
            <w:proofErr w:type="spellStart"/>
            <w:r>
              <w:t>adjustes</w:t>
            </w:r>
            <w:proofErr w:type="spellEnd"/>
            <w:r>
              <w:t xml:space="preserve">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Content>
                <w:r>
                  <w:fldChar w:fldCharType="begin"/>
                </w:r>
                <w:r>
                  <w:instrText xml:space="preserve"> CITATION Akb19 \l 1033 </w:instrText>
                </w:r>
                <w:r>
                  <w:fldChar w:fldCharType="separate"/>
                </w:r>
                <w:r>
                  <w:rPr>
                    <w:noProof/>
                  </w:rPr>
                  <w:t xml:space="preserve"> (Akbar,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w:t>
            </w:r>
            <w:r>
              <w:t>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It removes the </w:t>
            </w:r>
            <w:proofErr w:type="spellStart"/>
            <w:r>
              <w:t>distorsion</w:t>
            </w:r>
            <w:proofErr w:type="spellEnd"/>
            <w:r>
              <w:t xml:space="preserve">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w:t>
            </w:r>
            <w:r>
              <w:t xml:space="preserve">Alice sends a message (with counter=0) to Bob, then Bob forwards then </w:t>
            </w:r>
            <w:r>
              <w:t xml:space="preserve">the </w:t>
            </w:r>
            <w:r>
              <w:t>message (with counter=1) to Charlie.</w:t>
            </w:r>
            <w:r>
              <w:t xml:space="preserve">  </w:t>
            </w:r>
            <w:r>
              <w:t xml:space="preserve">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Content>
                <w:r>
                  <w:fldChar w:fldCharType="begin"/>
                </w:r>
                <w:r>
                  <w:instrText xml:space="preserve"> CITATION Def04 \l 1033 </w:instrText>
                </w:r>
                <w:r>
                  <w:fldChar w:fldCharType="separate"/>
                </w:r>
                <w:r>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Each process updates a </w:t>
            </w:r>
            <w:proofErr w:type="spellStart"/>
            <w:r>
              <w:t>unqiue</w:t>
            </w:r>
            <w:proofErr w:type="spellEnd"/>
            <w:r>
              <w:t xml:space="preserv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 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is allowed to enter a critical section.  This solution differs from non-token systems that use </w:t>
            </w:r>
            <w:r w:rsidRPr="003405B5">
              <w:rPr>
                <w:i/>
              </w:rPr>
              <w:t>timestamps</w:t>
            </w:r>
            <w:r>
              <w:rPr>
                <w:i/>
              </w:rPr>
              <w:t xml:space="preserve"> </w:t>
            </w:r>
            <w:r>
              <w:t>to sequence afterwards.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 xml:space="preserve">Contoso’s Retail eCommerce Platform (see Figure 1) needs to use a </w:t>
      </w:r>
      <w:proofErr w:type="spellStart"/>
      <w:r>
        <w:t>varienty</w:t>
      </w:r>
      <w:proofErr w:type="spellEnd"/>
      <w:r>
        <w:t xml:space="preserve"> of event synchronization strategies.</w:t>
      </w:r>
      <w:r w:rsidR="00BB3B46">
        <w:t xml:space="preserve">  Multiple solutions are necessary as each focuses on a different aspect of the holistic system.</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aligned, but can still fall victim to clock drift.  For instance, the shopping cart service runs on virtualized hardware, and the multi-tenant computation environment does not guarantee every system interrupt is timely delivered. Similar, the authentication services run in a part of the data center that abnormally hot, and causes the quartz to </w:t>
      </w:r>
      <w:proofErr w:type="spellStart"/>
      <w:r>
        <w:t>oscilate</w:t>
      </w:r>
      <w:proofErr w:type="spellEnd"/>
      <w:r>
        <w:t xml:space="preserv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that this strategy does not scale, as multiple web portal instances need to use token based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through the use of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F13422">
        <w:rPr>
          <w:i w:val="0"/>
          <w:noProof/>
          <w:color w:val="auto"/>
        </w:rPr>
        <w:t>1</w:t>
      </w:r>
      <w:r w:rsidRPr="003405B5">
        <w:rPr>
          <w:i w:val="0"/>
          <w:color w:val="auto"/>
        </w:rPr>
        <w:fldChar w:fldCharType="end"/>
      </w:r>
      <w:r w:rsidRPr="003405B5">
        <w:rPr>
          <w:i w:val="0"/>
          <w:color w:val="auto"/>
        </w:rPr>
        <w:t xml:space="preserve">: High Level </w:t>
      </w:r>
      <w:proofErr w:type="spellStart"/>
      <w:r w:rsidRPr="003405B5">
        <w:rPr>
          <w:i w:val="0"/>
          <w:color w:val="auto"/>
        </w:rPr>
        <w:t>SoA</w:t>
      </w:r>
      <w:proofErr w:type="spellEnd"/>
    </w:p>
    <w:p w:rsidR="00202B80" w:rsidRDefault="00202B80" w:rsidP="00202B80">
      <w:pPr>
        <w:pStyle w:val="Heading1"/>
      </w:pPr>
      <w:r>
        <w:lastRenderedPageBreak/>
        <w:t>Processor Comparisons</w:t>
      </w:r>
    </w:p>
    <w:p w:rsidR="00CE6094" w:rsidRDefault="00F13422" w:rsidP="00CE6094">
      <w:pPr>
        <w:pStyle w:val="Heading2"/>
      </w:pPr>
      <w:r>
        <w:t>Chart AMD versus Intel versus ARM Pipelining</w:t>
      </w:r>
    </w:p>
    <w:p w:rsidR="00F13422" w:rsidRPr="00F13422" w:rsidRDefault="00F13422" w:rsidP="00F13422">
      <w:r>
        <w:tab/>
      </w:r>
      <w:r>
        <w:t xml:space="preserve">Instructions into a CPU processor need decoding, fetching, transforming, and then writing back to memory.  This process, called a pipeline, is performed on both Reduced and Complex Instruction (RISC/CISC) set processors.  </w:t>
      </w:r>
      <w:r>
        <w:t>Modern Intel and AMD 64bit processors, use a combination of the two with many CISC instructions implemented as a series of RISC execute operations</w:t>
      </w:r>
      <w:sdt>
        <w:sdtPr>
          <w:id w:val="-108589956"/>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Both manufactures support the execution of two instructions per core with consumer grade silicon supporting up to 32 cores per chip.  Each physical core supports Simultaneous Multithreading (SMT) and can weave out of order instructions into the gaps</w:t>
      </w:r>
      <w:sdt>
        <w:sdtPr>
          <w:id w:val="-501356119"/>
          <w:citation/>
        </w:sdtPr>
        <w:sdtContent>
          <w:r>
            <w:fldChar w:fldCharType="begin"/>
          </w:r>
          <w:r>
            <w:instrText xml:space="preserve"> CITATION Wik19 \l 1033 </w:instrText>
          </w:r>
          <w:r>
            <w:fldChar w:fldCharType="separate"/>
          </w:r>
          <w:r>
            <w:rPr>
              <w:noProof/>
            </w:rPr>
            <w:t xml:space="preserve"> (WikiChip, 2019)</w:t>
          </w:r>
          <w:r>
            <w:fldChar w:fldCharType="end"/>
          </w:r>
        </w:sdtContent>
      </w:sdt>
      <w:r>
        <w:t>.  Where the two manufactures differ, is architectural decisions around which objects are shared or decoupled.  For instance, Intel chose a single instruction scheduler, or AMD coupled instructions and data into the same cache</w:t>
      </w:r>
      <w:sdt>
        <w:sdtPr>
          <w:id w:val="1452202449"/>
          <w:citation/>
        </w:sdtPr>
        <w:sdtContent>
          <w:r>
            <w:fldChar w:fldCharType="begin"/>
          </w:r>
          <w:r>
            <w:instrText xml:space="preserve"> CITATION Ado16 \l 1033 </w:instrText>
          </w:r>
          <w:r>
            <w:fldChar w:fldCharType="separate"/>
          </w:r>
          <w:r>
            <w:rPr>
              <w:noProof/>
            </w:rPr>
            <w:t xml:space="preserve"> (AdoredTV, 2016)</w:t>
          </w:r>
          <w:r>
            <w:fldChar w:fldCharType="end"/>
          </w:r>
        </w:sdtContent>
      </w:sdt>
      <w:r>
        <w:t>.  There have also been deviations with the memory management units and strategies for branch predictions</w:t>
      </w:r>
      <w:sdt>
        <w:sdtPr>
          <w:id w:val="1130903623"/>
          <w:citation/>
        </w:sdtPr>
        <w:sdtContent>
          <w:r>
            <w:fldChar w:fldCharType="begin"/>
          </w:r>
          <w:r>
            <w:instrText xml:space="preserve"> CITATION Fog15 \l 1033 </w:instrText>
          </w:r>
          <w:r>
            <w:fldChar w:fldCharType="separate"/>
          </w:r>
          <w:r>
            <w:rPr>
              <w:noProof/>
            </w:rPr>
            <w:t xml:space="preserve"> (Fog, 2015)</w:t>
          </w:r>
          <w:r>
            <w:fldChar w:fldCharType="end"/>
          </w:r>
        </w:sdtContent>
      </w:sdt>
      <w:r>
        <w:t>.</w:t>
      </w:r>
    </w:p>
    <w:p w:rsidR="00F13422" w:rsidRDefault="00F13422" w:rsidP="00F13422">
      <w:pPr>
        <w:keepNext/>
        <w:jc w:val="center"/>
      </w:pPr>
      <w:r>
        <w:rPr>
          <w:noProof/>
        </w:rPr>
        <w:drawing>
          <wp:inline distT="0" distB="0" distL="0" distR="0" wp14:anchorId="47C72B7C" wp14:editId="25BD2396">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Pr="00F13422">
        <w:rPr>
          <w:i w:val="0"/>
          <w:noProof/>
          <w:color w:val="auto"/>
        </w:rPr>
        <w:t>2</w:t>
      </w:r>
      <w:r w:rsidRPr="00F13422">
        <w:rPr>
          <w:i w:val="0"/>
          <w:color w:val="auto"/>
        </w:rPr>
        <w:fldChar w:fldCharType="end"/>
      </w:r>
      <w:r w:rsidRPr="00F13422">
        <w:rPr>
          <w:i w:val="0"/>
          <w:color w:val="auto"/>
        </w:rPr>
        <w:t>: Pipelining</w:t>
      </w:r>
    </w:p>
    <w:p w:rsidR="00CE6094" w:rsidRPr="00CE6094" w:rsidRDefault="00CE6094" w:rsidP="00CE6094"/>
    <w:p w:rsidR="00CE6094" w:rsidRPr="00CE6094" w:rsidRDefault="00CE6094" w:rsidP="00CE6094">
      <w:pPr>
        <w:pStyle w:val="Heading2"/>
      </w:pPr>
      <w:r>
        <w:t>Choosing RISC versus CISC for Distributed Systems</w:t>
      </w:r>
    </w:p>
    <w:p w:rsidR="00F13422" w:rsidRDefault="00202B80" w:rsidP="00202B80">
      <w:r>
        <w:tab/>
        <w:t xml:space="preserve"> “One of the major differences between RISC and CISC is that RISC emphasizes efficiency in cycles per instruction, and CISC emphasizes efficiency in instructions per program</w:t>
      </w:r>
      <w:sdt>
        <w:sdtPr>
          <w:id w:val="578031438"/>
          <w:citation/>
        </w:sdtPr>
        <w:sdtContent>
          <w:r>
            <w:fldChar w:fldCharType="begin"/>
          </w:r>
          <w:r>
            <w:instrText xml:space="preserve"> CITATION Tho18 \l 1033 </w:instrText>
          </w:r>
          <w:r>
            <w:fldChar w:fldCharType="separate"/>
          </w:r>
          <w:r>
            <w:rPr>
              <w:noProof/>
            </w:rPr>
            <w:t xml:space="preserve"> (Thornton, 2018)</w:t>
          </w:r>
          <w:r>
            <w:fldChar w:fldCharType="end"/>
          </w:r>
        </w:sdtContent>
      </w:sdt>
      <w:r>
        <w:t xml:space="preserve">.”  RISC has the potential for greater </w:t>
      </w:r>
      <w:r w:rsidRPr="00202B80">
        <w:rPr>
          <w:i/>
        </w:rPr>
        <w:t>portability</w:t>
      </w:r>
      <w:r>
        <w:t xml:space="preserve">, as there are fewer design requirements.  On the other hand, CISC has a higher potential for </w:t>
      </w:r>
      <w:proofErr w:type="spellStart"/>
      <w:r>
        <w:rPr>
          <w:i/>
        </w:rPr>
        <w:t>compatability</w:t>
      </w:r>
      <w:proofErr w:type="spellEnd"/>
      <w:r>
        <w:rPr>
          <w:i/>
        </w:rPr>
        <w:t xml:space="preserve">, </w:t>
      </w:r>
      <w:r>
        <w:t xml:space="preserve">as it implements </w:t>
      </w:r>
      <w:r>
        <w:lastRenderedPageBreak/>
        <w:t xml:space="preserve">a broader specification. </w:t>
      </w:r>
      <w:r w:rsidR="007E3AD9">
        <w:t xml:space="preserve">  The mainstream market has decided that RISC is the de-facto solution for mobile, and CISC for desktop and server scenarios.  Since the early 2000s, the software landscape has drastically changed, but not this dividing line in the sand</w:t>
      </w:r>
      <w:sdt>
        <w:sdtPr>
          <w:id w:val="-1844228133"/>
          <w:citation/>
        </w:sdtPr>
        <w:sdtContent>
          <w:r w:rsidR="007E3AD9">
            <w:fldChar w:fldCharType="begin"/>
          </w:r>
          <w:r w:rsidR="007E3AD9">
            <w:instrText xml:space="preserve"> CITATION Ble15 \l 1033 </w:instrText>
          </w:r>
          <w:r w:rsidR="007E3AD9">
            <w:fldChar w:fldCharType="separate"/>
          </w:r>
          <w:r w:rsidR="007E3AD9">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points, and conclude the line should not exist as the Instruction Set Architecture (ISA) is irrelevant.  </w:t>
      </w:r>
    </w:p>
    <w:p w:rsidR="00636103" w:rsidRPr="00DB59C6" w:rsidRDefault="00F13422" w:rsidP="00FE0E85">
      <w:pPr>
        <w:ind w:firstLine="720"/>
      </w:pPr>
      <w:r>
        <w:t xml:space="preserve">Patterson states that the challenges between CISC versus RISC are not the ISA </w:t>
      </w:r>
      <w:proofErr w:type="spellStart"/>
      <w:r>
        <w:t>itselves</w:t>
      </w:r>
      <w:proofErr w:type="spellEnd"/>
      <w:r>
        <w:t>, but come from the bloat that is expensive and unused</w:t>
      </w:r>
      <w:sdt>
        <w:sdtPr>
          <w:id w:val="-525797227"/>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xml:space="preserve">.  He provides an example of DEC’s VAX instructions, which account for 60% of the microcode and 0.2% of the execution time.  Perhaps something </w:t>
      </w:r>
      <w:proofErr w:type="spellStart"/>
      <w:r>
        <w:t>inbetween</w:t>
      </w:r>
      <w:proofErr w:type="spellEnd"/>
      <w:r>
        <w:t xml:space="preserve"> these two extremes needs to exist, allowing device manufactures to create a “RISC++” that focuses on a modular design</w:t>
      </w:r>
      <w:r w:rsidR="005077F2">
        <w:t xml:space="preserve"> for a Domain Specific Architectures (DSAs), </w:t>
      </w:r>
      <w:r w:rsidR="00FE0E85">
        <w:t>similar</w:t>
      </w:r>
      <w:r w:rsidR="005077F2">
        <w:t xml:space="preserve"> as Google’s Tensor Processing Unit</w:t>
      </w:r>
      <w:sdt>
        <w:sdtPr>
          <w:id w:val="-868064643"/>
          <w:citation/>
        </w:sdtPr>
        <w:sdtContent>
          <w:r w:rsidR="005077F2">
            <w:fldChar w:fldCharType="begin"/>
          </w:r>
          <w:r w:rsidR="005077F2">
            <w:instrText xml:space="preserve"> CITATION Muz19 \l 1033 </w:instrText>
          </w:r>
          <w:r w:rsidR="005077F2">
            <w:fldChar w:fldCharType="separate"/>
          </w:r>
          <w:r w:rsidR="005077F2">
            <w:rPr>
              <w:noProof/>
            </w:rPr>
            <w:t xml:space="preserve"> (Muzaffar &amp; Elfadel, 2019)</w:t>
          </w:r>
          <w:r w:rsidR="005077F2">
            <w:fldChar w:fldCharType="end"/>
          </w:r>
        </w:sdtContent>
      </w:sdt>
      <w:r w:rsidR="005E2CA5">
        <w:t xml:space="preserve"> or Amazon’s Nitro ASICs</w:t>
      </w:r>
      <w:sdt>
        <w:sdtPr>
          <w:id w:val="8956718"/>
          <w:citation/>
        </w:sdtPr>
        <w:sdtContent>
          <w:r w:rsidR="005E2CA5">
            <w:fldChar w:fldCharType="begin"/>
          </w:r>
          <w:r w:rsidR="005E2CA5">
            <w:instrText xml:space="preserve"> CITATION Sha17 \l 1033 </w:instrText>
          </w:r>
          <w:r w:rsidR="005E2CA5">
            <w:fldChar w:fldCharType="separate"/>
          </w:r>
          <w:r w:rsidR="005E2CA5">
            <w:rPr>
              <w:noProof/>
            </w:rPr>
            <w:t xml:space="preserve"> (Sharwood, 2017)</w:t>
          </w:r>
          <w:r w:rsidR="005E2CA5">
            <w:fldChar w:fldCharType="end"/>
          </w:r>
        </w:sdtContent>
      </w:sdt>
      <w:r w:rsidR="005077F2">
        <w:t>.  As the conversation moves away from CISC versus RISC and toward DSA, distributed systems can gain efficiencies by removing waste and adding hardware acceleration.</w:t>
      </w:r>
      <w:bookmarkStart w:id="0" w:name="_GoBack"/>
      <w:bookmarkEnd w:id="0"/>
    </w:p>
    <w:sectPr w:rsidR="00636103" w:rsidRPr="00DB59C6"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49A" w:rsidRDefault="00C7549A" w:rsidP="0082223F">
      <w:pPr>
        <w:spacing w:line="240" w:lineRule="auto"/>
      </w:pPr>
      <w:r>
        <w:separator/>
      </w:r>
    </w:p>
  </w:endnote>
  <w:endnote w:type="continuationSeparator" w:id="0">
    <w:p w:rsidR="00C7549A" w:rsidRDefault="00C7549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49A" w:rsidRDefault="00C7549A" w:rsidP="0082223F">
      <w:pPr>
        <w:spacing w:line="240" w:lineRule="auto"/>
      </w:pPr>
      <w:r>
        <w:separator/>
      </w:r>
    </w:p>
  </w:footnote>
  <w:footnote w:type="continuationSeparator" w:id="0">
    <w:p w:rsidR="00C7549A" w:rsidRDefault="00C7549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654D9"/>
    <w:rsid w:val="00183597"/>
    <w:rsid w:val="00202B80"/>
    <w:rsid w:val="002806B7"/>
    <w:rsid w:val="003405B5"/>
    <w:rsid w:val="00400D32"/>
    <w:rsid w:val="00401D65"/>
    <w:rsid w:val="004223E8"/>
    <w:rsid w:val="004A784B"/>
    <w:rsid w:val="005077F2"/>
    <w:rsid w:val="005654CA"/>
    <w:rsid w:val="005E2CA5"/>
    <w:rsid w:val="00636103"/>
    <w:rsid w:val="00695E5C"/>
    <w:rsid w:val="007E3AD9"/>
    <w:rsid w:val="0082223F"/>
    <w:rsid w:val="008B5129"/>
    <w:rsid w:val="009636BF"/>
    <w:rsid w:val="00AB73C2"/>
    <w:rsid w:val="00BB3B46"/>
    <w:rsid w:val="00C73692"/>
    <w:rsid w:val="00C7549A"/>
    <w:rsid w:val="00C93BB7"/>
    <w:rsid w:val="00CE6094"/>
    <w:rsid w:val="00D57EF9"/>
    <w:rsid w:val="00DB16A6"/>
    <w:rsid w:val="00DB59C6"/>
    <w:rsid w:val="00DE2224"/>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58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s>
</file>

<file path=customXml/itemProps1.xml><?xml version="1.0" encoding="utf-8"?>
<ds:datastoreItem xmlns:ds="http://schemas.openxmlformats.org/officeDocument/2006/customXml" ds:itemID="{2BF64C28-DBAA-4A2E-9870-45766B88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2019-10-27T21:12:00Z</dcterms:modified>
</cp:coreProperties>
</file>