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D259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EndPr/>
        <w:sdtContent>
          <w:r>
            <w:fldChar w:fldCharType="begin"/>
          </w:r>
          <w:r>
            <w:instrText xml:space="preserve"> CITATION Ubo05 \l 1033 </w:instrText>
          </w:r>
          <w:r>
            <w:fldChar w:fldCharType="separate"/>
          </w:r>
          <w:r w:rsidR="00B212C3">
            <w:rPr>
              <w:noProof/>
            </w:rPr>
            <w:t xml:space="preserve"> (Ubolkosold, Knedlik, &amp; Loffeld, 2005)</w:t>
          </w:r>
          <w:r>
            <w:fldChar w:fldCharType="end"/>
          </w:r>
        </w:sdtContent>
      </w:sdt>
      <w:r>
        <w:t>.  These crystals “suffer from large frequency shifts due</w:t>
      </w:r>
      <w:r w:rsidR="003405B5">
        <w:t xml:space="preserve"> [to]</w:t>
      </w:r>
      <w:r>
        <w:t xml:space="preserve"> the high sensitivity to external or internal factors</w:t>
      </w:r>
      <w:sdt>
        <w:sdtPr>
          <w:id w:val="-659685192"/>
          <w:citation/>
        </w:sdtPr>
        <w:sdtEndPr/>
        <w:sdtContent>
          <w:r>
            <w:fldChar w:fldCharType="begin"/>
          </w:r>
          <w:r>
            <w:instrText xml:space="preserve"> CITATION Zha191 \l 1033 </w:instrText>
          </w:r>
          <w:r>
            <w:fldChar w:fldCharType="separate"/>
          </w:r>
          <w:r w:rsidR="00B212C3">
            <w:rPr>
              <w:noProof/>
            </w:rPr>
            <w:t xml:space="preserve"> (Zhang, et al., 2019)</w:t>
          </w:r>
          <w:r>
            <w:fldChar w:fldCharType="end"/>
          </w:r>
        </w:sdtContent>
      </w:sdt>
      <w:r>
        <w:t>.”  According to Zhang et al., atomic clocks rely on energy transitions to achi</w:t>
      </w:r>
      <w:r w:rsidR="00833A5F">
        <w:t>e</w:t>
      </w:r>
      <w:r>
        <w:t>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w:t>
      </w:r>
      <w:r w:rsidR="00833A5F">
        <w:t>-</w:t>
      </w:r>
      <w:r w:rsidR="001654D9">
        <w:t>cutting concerns.  For example, Eastern Time in America changes at different points of the year for daylight savings.  Another solution is to rely on the local time zone of the device</w:t>
      </w:r>
      <w:proofErr w:type="gramStart"/>
      <w:r w:rsidR="001654D9">
        <w:t xml:space="preserve">. </w:t>
      </w:r>
      <w:proofErr w:type="gramEnd"/>
      <w:r w:rsidR="001654D9">
        <w:t>This design introduces additional challe</w:t>
      </w:r>
      <w:r w:rsidR="00833A5F">
        <w:t>n</w:t>
      </w:r>
      <w:r w:rsidR="001654D9">
        <w:t xml:space="preserve">ges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Hiera</w:t>
            </w:r>
            <w:r w:rsidR="00833A5F">
              <w:t>rchic</w:t>
            </w:r>
            <w:r>
              <w:t>al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EndPr/>
              <w:sdtContent>
                <w:r>
                  <w:fldChar w:fldCharType="begin"/>
                </w:r>
                <w:r>
                  <w:instrText xml:space="preserve">CITATION The89 \l 1033 </w:instrText>
                </w:r>
                <w:r>
                  <w:fldChar w:fldCharType="separate"/>
                </w:r>
                <w:r w:rsidR="00B212C3">
                  <w:rPr>
                    <w:noProof/>
                  </w:rPr>
                  <w:t>(Gusella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group of peers performing an election process to choose a master.  The master periodically polls the slaves for their local time, then adjusts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EndPr/>
              <w:sdtContent>
                <w:r>
                  <w:fldChar w:fldCharType="begin"/>
                </w:r>
                <w:r>
                  <w:instrText xml:space="preserve"> CITATION Akb19 \l 1033 </w:instrText>
                </w:r>
                <w:r>
                  <w:fldChar w:fldCharType="separate"/>
                </w:r>
                <w:r w:rsidR="00B212C3">
                  <w:rPr>
                    <w:noProof/>
                  </w:rPr>
                  <w:t>(Akbar,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It removes the distor</w:t>
            </w:r>
            <w:r w:rsidR="00833A5F">
              <w:t>t</w:t>
            </w:r>
            <w:r>
              <w:t>ion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Alice sends a message (with counter=0) to Bob, then Bob forwards then the message (with counter=1) to Charlie.  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EndPr/>
              <w:sdtContent>
                <w:r>
                  <w:fldChar w:fldCharType="begin"/>
                </w:r>
                <w:r>
                  <w:instrText xml:space="preserve"> CITATION Def04 \l 1033 </w:instrText>
                </w:r>
                <w:r>
                  <w:fldChar w:fldCharType="separate"/>
                </w:r>
                <w:r w:rsidR="00B212C3">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Each process updates a un</w:t>
            </w:r>
            <w:r w:rsidR="00833A5F">
              <w:t>iq</w:t>
            </w:r>
            <w:r>
              <w:t>ue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Contoso’s Retail eCommerce Platform (see Figure 1) needs to use a variety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osci</w:t>
      </w:r>
      <w:r w:rsidR="00833A5F">
        <w:t>l</w:t>
      </w:r>
      <w:r>
        <w:t>late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that this strategy does not scale, as multiple web portal instances need to use token</w:t>
      </w:r>
      <w:r w:rsidR="00833A5F">
        <w:t>-</w:t>
      </w:r>
      <w:r w:rsidR="009636BF">
        <w:t>based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661B51">
        <w:rPr>
          <w:i w:val="0"/>
          <w:noProof/>
          <w:color w:val="auto"/>
        </w:rPr>
        <w:t>1</w:t>
      </w:r>
      <w:r w:rsidRPr="003405B5">
        <w:rPr>
          <w:i w:val="0"/>
          <w:color w:val="auto"/>
        </w:rPr>
        <w:fldChar w:fldCharType="end"/>
      </w:r>
      <w:r w:rsidRPr="003405B5">
        <w:rPr>
          <w:i w:val="0"/>
          <w:color w:val="auto"/>
        </w:rPr>
        <w:t>: High</w:t>
      </w:r>
      <w:r w:rsidR="00833A5F">
        <w:rPr>
          <w:i w:val="0"/>
          <w:color w:val="auto"/>
        </w:rPr>
        <w:t>-</w:t>
      </w:r>
      <w:r w:rsidRPr="003405B5">
        <w:rPr>
          <w:i w:val="0"/>
          <w:color w:val="auto"/>
        </w:rPr>
        <w:t xml:space="preserve">Level </w:t>
      </w:r>
      <w:proofErr w:type="spellStart"/>
      <w:r w:rsidRPr="003405B5">
        <w:rPr>
          <w:i w:val="0"/>
          <w:color w:val="auto"/>
        </w:rPr>
        <w:t>SoA</w:t>
      </w:r>
      <w:proofErr w:type="spellEnd"/>
    </w:p>
    <w:p w:rsidR="00202B80" w:rsidRDefault="00202B80" w:rsidP="00202B80">
      <w:pPr>
        <w:pStyle w:val="Heading1"/>
      </w:pPr>
      <w:r>
        <w:lastRenderedPageBreak/>
        <w:t>Processor</w:t>
      </w:r>
      <w:r w:rsidR="00423E9D">
        <w:t>s</w:t>
      </w:r>
    </w:p>
    <w:p w:rsidR="00CE6094" w:rsidRDefault="00F13422" w:rsidP="00CE6094">
      <w:pPr>
        <w:pStyle w:val="Heading2"/>
      </w:pPr>
      <w:r>
        <w:t>Chart AMD versus Intel versus ARM Pipelining</w:t>
      </w:r>
    </w:p>
    <w:p w:rsidR="00F13422" w:rsidRPr="00F13422" w:rsidRDefault="00F13422" w:rsidP="00F13422">
      <w:r>
        <w:tab/>
        <w:t>Instructions into a CPU processor need decoding, fetching, transforming, and then writing back to memory.  This process, called a pipeline, is performed on both Reduced and Complex Instruction (RISC/CISC) set processors.  Modern Intel and AMD 64bit processors, use a combination of the two with many CISC instructions implemented as a series of RISC execute operations</w:t>
      </w:r>
      <w:sdt>
        <w:sdtPr>
          <w:id w:val="-108589956"/>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Both manufacture</w:t>
      </w:r>
      <w:r w:rsidR="001A34EC">
        <w:t>r</w:t>
      </w:r>
      <w:r>
        <w:t>s support the execution of two instructions per core with consumer</w:t>
      </w:r>
      <w:r w:rsidR="001A34EC">
        <w:t>-</w:t>
      </w:r>
      <w:r>
        <w:t>grade silicon supporting up to 32 cores per chip.  Each physical core supports Simultaneous Multithreading (SMT) and can weave out of order instructions into the gaps</w:t>
      </w:r>
      <w:sdt>
        <w:sdtPr>
          <w:id w:val="-501356119"/>
          <w:citation/>
        </w:sdtPr>
        <w:sdtEndPr/>
        <w:sdtContent>
          <w:r>
            <w:fldChar w:fldCharType="begin"/>
          </w:r>
          <w:r>
            <w:instrText xml:space="preserve"> CITATION Wik19 \l 1033 </w:instrText>
          </w:r>
          <w:r>
            <w:fldChar w:fldCharType="separate"/>
          </w:r>
          <w:r w:rsidR="00B212C3">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EndPr/>
        <w:sdtContent>
          <w:r>
            <w:fldChar w:fldCharType="begin"/>
          </w:r>
          <w:r>
            <w:instrText xml:space="preserve"> CITATION Ado16 \l 1033 </w:instrText>
          </w:r>
          <w:r>
            <w:fldChar w:fldCharType="separate"/>
          </w:r>
          <w:r w:rsidR="00B212C3">
            <w:rPr>
              <w:noProof/>
            </w:rPr>
            <w:t xml:space="preserve"> (AdoredTV, 2016)</w:t>
          </w:r>
          <w:r>
            <w:fldChar w:fldCharType="end"/>
          </w:r>
        </w:sdtContent>
      </w:sdt>
      <w:r>
        <w:t>.  There have also been deviations with the memory management units and strategies for branch predictions</w:t>
      </w:r>
      <w:sdt>
        <w:sdtPr>
          <w:id w:val="1130903623"/>
          <w:citation/>
        </w:sdtPr>
        <w:sdtEndPr/>
        <w:sdtContent>
          <w:r>
            <w:fldChar w:fldCharType="begin"/>
          </w:r>
          <w:r>
            <w:instrText xml:space="preserve"> CITATION Fog15 \l 1033 </w:instrText>
          </w:r>
          <w:r>
            <w:fldChar w:fldCharType="separate"/>
          </w:r>
          <w:r w:rsidR="00B212C3">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661B51">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EndPr/>
        <w:sdtContent>
          <w:r>
            <w:fldChar w:fldCharType="begin"/>
          </w:r>
          <w:r>
            <w:instrText xml:space="preserve"> CITATION Tho18 \l 1033 </w:instrText>
          </w:r>
          <w:r>
            <w:fldChar w:fldCharType="separate"/>
          </w:r>
          <w:r w:rsidR="00B212C3">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r>
        <w:rPr>
          <w:i/>
        </w:rPr>
        <w:t>compat</w:t>
      </w:r>
      <w:r w:rsidR="00833A5F">
        <w:rPr>
          <w:i/>
        </w:rPr>
        <w:t>i</w:t>
      </w:r>
      <w:r>
        <w:rPr>
          <w:i/>
        </w:rPr>
        <w:t xml:space="preserve">bility,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EndPr/>
        <w:sdtContent>
          <w:r w:rsidR="007E3AD9">
            <w:fldChar w:fldCharType="begin"/>
          </w:r>
          <w:r w:rsidR="007E3AD9">
            <w:instrText xml:space="preserve"> CITATION Ble15 \l 1033 </w:instrText>
          </w:r>
          <w:r w:rsidR="007E3AD9">
            <w:fldChar w:fldCharType="separate"/>
          </w:r>
          <w:r w:rsidR="00B212C3">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w:t>
      </w:r>
      <w:r w:rsidR="004F36F3">
        <w:t>--</w:t>
      </w:r>
      <w:r w:rsidR="007E3AD9">
        <w:t xml:space="preserve">  </w:t>
      </w:r>
      <w:r w:rsidR="004F36F3">
        <w:t>CISC can copy and optimization that RISC introduces.</w:t>
      </w:r>
    </w:p>
    <w:p w:rsidR="00636103" w:rsidRDefault="00F13422" w:rsidP="00FE0E85">
      <w:pPr>
        <w:ind w:firstLine="720"/>
      </w:pPr>
      <w:r>
        <w:t>Patterson states that the challenges between CISC versus RISC are not the ISA itsel</w:t>
      </w:r>
      <w:r w:rsidR="00833A5F">
        <w:t>f</w:t>
      </w:r>
      <w:r>
        <w:t>, but come from the bloat that is expensive and unused</w:t>
      </w:r>
      <w:sdt>
        <w:sdtPr>
          <w:id w:val="-525797227"/>
          <w:citation/>
        </w:sdtPr>
        <w:sdtEndPr/>
        <w:sdtContent>
          <w:r>
            <w:fldChar w:fldCharType="begin"/>
          </w:r>
          <w:r>
            <w:instrText xml:space="preserve"> CITATION Pat17 \l 1033 </w:instrText>
          </w:r>
          <w:r>
            <w:fldChar w:fldCharType="separate"/>
          </w:r>
          <w:r w:rsidR="00B212C3">
            <w:rPr>
              <w:noProof/>
            </w:rPr>
            <w:t xml:space="preserve"> (Patterson, 2017)</w:t>
          </w:r>
          <w:r>
            <w:fldChar w:fldCharType="end"/>
          </w:r>
        </w:sdtContent>
      </w:sdt>
      <w:r>
        <w:t>.  He provides an example of DEC’s VAX instructions, which account for 60% of the microcode and 0.2% of the execution time.  Perhaps something in</w:t>
      </w:r>
      <w:r w:rsidR="00833A5F">
        <w:t xml:space="preserve"> </w:t>
      </w:r>
      <w:r>
        <w:t>between these two extremes needs to exist, allowing device manufacture</w:t>
      </w:r>
      <w:r w:rsidR="00833A5F">
        <w:t>r</w:t>
      </w:r>
      <w:r>
        <w:t>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EndPr/>
        <w:sdtContent>
          <w:r w:rsidR="005077F2">
            <w:fldChar w:fldCharType="begin"/>
          </w:r>
          <w:r w:rsidR="005077F2">
            <w:instrText xml:space="preserve"> CITATION Muz19 \l 1033 </w:instrText>
          </w:r>
          <w:r w:rsidR="005077F2">
            <w:fldChar w:fldCharType="separate"/>
          </w:r>
          <w:r w:rsidR="00B212C3">
            <w:rPr>
              <w:noProof/>
            </w:rPr>
            <w:t xml:space="preserve"> (Muzaffar &amp; Elfadel, 2019)</w:t>
          </w:r>
          <w:r w:rsidR="005077F2">
            <w:fldChar w:fldCharType="end"/>
          </w:r>
        </w:sdtContent>
      </w:sdt>
      <w:r w:rsidR="005E2CA5">
        <w:t xml:space="preserve"> or Amazon’s Nitro ASICs</w:t>
      </w:r>
      <w:sdt>
        <w:sdtPr>
          <w:id w:val="8956718"/>
          <w:citation/>
        </w:sdtPr>
        <w:sdtEndPr/>
        <w:sdtContent>
          <w:r w:rsidR="005E2CA5">
            <w:fldChar w:fldCharType="begin"/>
          </w:r>
          <w:r w:rsidR="005E2CA5">
            <w:instrText xml:space="preserve"> CITATION Sha17 \l 1033 </w:instrText>
          </w:r>
          <w:r w:rsidR="005E2CA5">
            <w:fldChar w:fldCharType="separate"/>
          </w:r>
          <w:r w:rsidR="00B212C3">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rsidR="00D75043" w:rsidRDefault="00D75043" w:rsidP="00FE0E85">
      <w:pPr>
        <w:ind w:firstLine="720"/>
      </w:pPr>
      <w:r>
        <w:t xml:space="preserve">Figure 3 contains a distributed system with labels for the potential processor types.  It starts with users continuing to use either CISC based desktops or RISC based mobile devices.  ASIC edge routers will service their requests by forwarding into legacy traffic management systems on CISC.  Web Frontend components will transition towards lighter instruction </w:t>
      </w:r>
      <w:proofErr w:type="gramStart"/>
      <w:r>
        <w:t>sets, and</w:t>
      </w:r>
      <w:proofErr w:type="gramEnd"/>
      <w:r>
        <w:t xml:space="preserve"> rely on dedicated ASIC or FPGA to accelerate their hardware needs.  Backend services are the least incentivized to move </w:t>
      </w:r>
      <w:proofErr w:type="gramStart"/>
      <w:r>
        <w:t>off of</w:t>
      </w:r>
      <w:proofErr w:type="gramEnd"/>
      <w:r>
        <w:t xml:space="preserve"> CISC, as these are the target audience of many instruction set extensions.  Storage networks and stores can leverage RISC, FPGA, and other DSA strategies to gain the most performance at the lowest price point.</w:t>
      </w:r>
    </w:p>
    <w:p w:rsidR="00D75043" w:rsidRDefault="00D75043" w:rsidP="00D75043">
      <w:pPr>
        <w:keepNext/>
        <w:jc w:val="center"/>
      </w:pPr>
      <w:r>
        <w:rPr>
          <w:noProof/>
        </w:rPr>
        <w:lastRenderedPageBreak/>
        <w:drawing>
          <wp:inline distT="0" distB="0" distL="0" distR="0" wp14:anchorId="502BA4EF" wp14:editId="3A85A79D">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00661B51">
        <w:rPr>
          <w:i w:val="0"/>
          <w:noProof/>
          <w:color w:val="auto"/>
        </w:rPr>
        <w:t>3</w:t>
      </w:r>
      <w:r w:rsidRPr="00D75043">
        <w:rPr>
          <w:i w:val="0"/>
          <w:color w:val="auto"/>
        </w:rPr>
        <w:fldChar w:fldCharType="end"/>
      </w:r>
      <w:r w:rsidRPr="00D75043">
        <w:rPr>
          <w:i w:val="0"/>
          <w:color w:val="auto"/>
        </w:rPr>
        <w:t>: Processor Architecture of Future</w:t>
      </w:r>
    </w:p>
    <w:p w:rsidR="00C3087C" w:rsidRDefault="00C3087C" w:rsidP="00C3087C">
      <w:pPr>
        <w:pStyle w:val="Heading2"/>
      </w:pPr>
      <w:r>
        <w:t>Importance of Processor Concurrency</w:t>
      </w:r>
    </w:p>
    <w:p w:rsidR="00661B51" w:rsidRDefault="00C3087C" w:rsidP="00C3087C">
      <w:r>
        <w:tab/>
      </w:r>
      <w:r w:rsidR="00661B51">
        <w:t>The critical difference between High</w:t>
      </w:r>
      <w:r w:rsidR="00833A5F">
        <w:t>-</w:t>
      </w:r>
      <w:r w:rsidR="00661B51">
        <w:t>Performance Computing (HPC) versus High Throughput Computing (HTC) is faster versus more (see Figure 4)</w:t>
      </w:r>
      <w:sdt>
        <w:sdtPr>
          <w:id w:val="-79289229"/>
          <w:citation/>
        </w:sdtPr>
        <w:sdtEndPr/>
        <w:sdtContent>
          <w:r w:rsidR="00661B51">
            <w:fldChar w:fldCharType="begin"/>
          </w:r>
          <w:r w:rsidR="00661B51">
            <w:instrText xml:space="preserve"> CITATION Fan181 \l 1033 </w:instrText>
          </w:r>
          <w:r w:rsidR="00661B51">
            <w:fldChar w:fldCharType="separate"/>
          </w:r>
          <w:r w:rsidR="00B212C3">
            <w:rPr>
              <w:noProof/>
            </w:rPr>
            <w:t xml:space="preserve"> (Fan, et al., 2018)</w:t>
          </w:r>
          <w:r w:rsidR="00661B51">
            <w:fldChar w:fldCharType="end"/>
          </w:r>
        </w:sdtContent>
      </w:sdt>
      <w:r w:rsidR="00661B51">
        <w:t>.  Under HTC scenarios, such as serving hard real-time web content, the system needs the ability to schedule more logical threads.  In contrast, an HPC can decompose the job into queued tasks and distribute them as resources are ready to pull them.  Ideally, both scenarios could dedicate a physical core to each request, however that is not economical.  Instead, the system needs to understand the workload and strike the right balance.  Fan et al.’s experiments across large-scale many-core architectures show that balance differs for HPC and HTC concurrency.  As the pendulum swings further towards the HTC scenario, it can be tempting to provision a server with hundreds of physical cores.  However, managing the concurrency across a single system becomes highly complex, and performance degrades.  Instead, an external scheduler can be used to orchestrate hundreds of individual virtual core servers. Using this horizontal scaling strategy reduces the contention of one virtual node impacting another.</w:t>
      </w:r>
    </w:p>
    <w:p w:rsidR="00661B51" w:rsidRDefault="00661B51" w:rsidP="00661B51">
      <w:pPr>
        <w:keepNext/>
        <w:jc w:val="center"/>
      </w:pPr>
      <w:r>
        <w:rPr>
          <w:noProof/>
        </w:rPr>
        <w:lastRenderedPageBreak/>
        <w:drawing>
          <wp:inline distT="0" distB="0" distL="0" distR="0" wp14:anchorId="6A57DE25" wp14:editId="2D960496">
            <wp:extent cx="2771063" cy="187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2125" cy="1883860"/>
                    </a:xfrm>
                    <a:prstGeom prst="rect">
                      <a:avLst/>
                    </a:prstGeom>
                  </pic:spPr>
                </pic:pic>
              </a:graphicData>
            </a:graphic>
          </wp:inline>
        </w:drawing>
      </w:r>
    </w:p>
    <w:p w:rsidR="00661B51" w:rsidRPr="00661B51" w:rsidRDefault="00661B51" w:rsidP="00661B51">
      <w:pPr>
        <w:pStyle w:val="Caption"/>
        <w:jc w:val="center"/>
        <w:rPr>
          <w:i w:val="0"/>
          <w:color w:val="auto"/>
        </w:rPr>
      </w:pPr>
      <w:r w:rsidRPr="00661B51">
        <w:rPr>
          <w:i w:val="0"/>
          <w:color w:val="auto"/>
        </w:rPr>
        <w:t xml:space="preserve">Figure </w:t>
      </w:r>
      <w:r w:rsidRPr="00661B51">
        <w:rPr>
          <w:i w:val="0"/>
          <w:color w:val="auto"/>
        </w:rPr>
        <w:fldChar w:fldCharType="begin"/>
      </w:r>
      <w:r w:rsidRPr="00661B51">
        <w:rPr>
          <w:i w:val="0"/>
          <w:color w:val="auto"/>
        </w:rPr>
        <w:instrText xml:space="preserve"> SEQ Figure \* ARABIC </w:instrText>
      </w:r>
      <w:r w:rsidRPr="00661B51">
        <w:rPr>
          <w:i w:val="0"/>
          <w:color w:val="auto"/>
        </w:rPr>
        <w:fldChar w:fldCharType="separate"/>
      </w:r>
      <w:r w:rsidRPr="00661B51">
        <w:rPr>
          <w:i w:val="0"/>
          <w:noProof/>
          <w:color w:val="auto"/>
        </w:rPr>
        <w:t>4</w:t>
      </w:r>
      <w:r w:rsidRPr="00661B51">
        <w:rPr>
          <w:i w:val="0"/>
          <w:color w:val="auto"/>
        </w:rPr>
        <w:fldChar w:fldCharType="end"/>
      </w:r>
      <w:r w:rsidRPr="00661B51">
        <w:rPr>
          <w:i w:val="0"/>
          <w:color w:val="auto"/>
        </w:rPr>
        <w:t xml:space="preserve">: HTC versus HPC </w:t>
      </w:r>
      <w:sdt>
        <w:sdtPr>
          <w:rPr>
            <w:i w:val="0"/>
            <w:color w:val="auto"/>
          </w:rPr>
          <w:id w:val="-1257054861"/>
          <w:citation/>
        </w:sdtPr>
        <w:sdtEndPr/>
        <w:sdtContent>
          <w:r w:rsidRPr="00661B51">
            <w:rPr>
              <w:i w:val="0"/>
              <w:color w:val="auto"/>
            </w:rPr>
            <w:fldChar w:fldCharType="begin"/>
          </w:r>
          <w:r w:rsidRPr="00661B51">
            <w:rPr>
              <w:i w:val="0"/>
              <w:color w:val="auto"/>
            </w:rPr>
            <w:instrText xml:space="preserve"> CITATION Fan181 \l 1033 </w:instrText>
          </w:r>
          <w:r w:rsidRPr="00661B51">
            <w:rPr>
              <w:i w:val="0"/>
              <w:color w:val="auto"/>
            </w:rPr>
            <w:fldChar w:fldCharType="separate"/>
          </w:r>
          <w:r w:rsidR="00B212C3" w:rsidRPr="00B212C3">
            <w:rPr>
              <w:noProof/>
              <w:color w:val="auto"/>
            </w:rPr>
            <w:t>(Fan, et al., 2018)</w:t>
          </w:r>
          <w:r w:rsidRPr="00661B51">
            <w:rPr>
              <w:i w:val="0"/>
              <w:color w:val="auto"/>
            </w:rPr>
            <w:fldChar w:fldCharType="end"/>
          </w:r>
        </w:sdtContent>
      </w:sdt>
    </w:p>
    <w:p w:rsidR="00661B51" w:rsidRDefault="00661B51" w:rsidP="00661B51">
      <w:pPr>
        <w:pStyle w:val="Heading1"/>
      </w:pPr>
      <w:r>
        <w:t>Conclusions</w:t>
      </w:r>
    </w:p>
    <w:p w:rsidR="00661B51" w:rsidRDefault="00661B51" w:rsidP="00661B51">
      <w:r>
        <w:tab/>
        <w:t>Distributed systems need mechanisms for synchronizing events into a time</w:t>
      </w:r>
      <w:r w:rsidR="001A34EC">
        <w:t>-</w:t>
      </w:r>
      <w:r>
        <w:t>ordered single system image.  If the order cannot be reliably determined, then race conditions will appear in the user experience and cause undesirable behaviors.  When determining the sequence, protocols exist for both absolute timestamps and relative counters.  For many production environments, like Contoso’s eCommerce Portal, a combination of both types will be required.</w:t>
      </w:r>
    </w:p>
    <w:p w:rsidR="00661B51" w:rsidRPr="00661B51" w:rsidRDefault="00661B51" w:rsidP="00661B51">
      <w:r>
        <w:tab/>
        <w:t xml:space="preserve">Modern Processors are some of the most complex distributed systems available, and researchers need to understand their designs.  They come in two flavors CISC and RISC, with CISC presently the </w:t>
      </w:r>
      <w:proofErr w:type="spellStart"/>
      <w:r>
        <w:t>defacto</w:t>
      </w:r>
      <w:proofErr w:type="spellEnd"/>
      <w:r>
        <w:t xml:space="preserve"> solution for desktops and service, while RISC continues as the market leader of mobile and embedded platforms.  However, in the future</w:t>
      </w:r>
      <w:r w:rsidR="00833A5F">
        <w:t>,</w:t>
      </w:r>
      <w:r>
        <w:t xml:space="preserve"> a transition more toward the center is likely to unfold, as the necessity to offload complexity into dedicated modules becomes more commonplace.</w:t>
      </w:r>
    </w:p>
    <w:p w:rsidR="00661B51" w:rsidRDefault="00661B51"/>
    <w:p w:rsidR="00661B51" w:rsidRDefault="00661B51"/>
    <w:p w:rsidR="00B212C3" w:rsidRDefault="00B212C3">
      <w:r>
        <w:br w:type="page"/>
      </w:r>
    </w:p>
    <w:sdt>
      <w:sdtPr>
        <w:rPr>
          <w:b w:val="0"/>
        </w:rPr>
        <w:id w:val="1965153430"/>
        <w:docPartObj>
          <w:docPartGallery w:val="Bibliographies"/>
          <w:docPartUnique/>
        </w:docPartObj>
      </w:sdtPr>
      <w:sdtEndPr/>
      <w:sdtContent>
        <w:p w:rsidR="00930115" w:rsidRDefault="00930115">
          <w:pPr>
            <w:pStyle w:val="Heading1"/>
          </w:pPr>
          <w:r>
            <w:t>References</w:t>
          </w:r>
        </w:p>
        <w:sdt>
          <w:sdtPr>
            <w:id w:val="-573587230"/>
            <w:bibliography/>
          </w:sdtPr>
          <w:sdtEndPr/>
          <w:sdtContent>
            <w:p w:rsidR="00B212C3" w:rsidRDefault="00930115" w:rsidP="00B212C3">
              <w:pPr>
                <w:pStyle w:val="Bibliography"/>
                <w:ind w:left="720" w:hanging="720"/>
                <w:rPr>
                  <w:noProof/>
                </w:rPr>
              </w:pPr>
              <w:r>
                <w:fldChar w:fldCharType="begin"/>
              </w:r>
              <w:r>
                <w:instrText xml:space="preserve"> BIBLIOGRAPHY </w:instrText>
              </w:r>
              <w:r>
                <w:fldChar w:fldCharType="separate"/>
              </w:r>
              <w:r w:rsidR="00B212C3">
                <w:rPr>
                  <w:noProof/>
                </w:rPr>
                <w:t xml:space="preserve">AdoredTV. (2016, August 26). </w:t>
              </w:r>
              <w:r w:rsidR="00B212C3">
                <w:rPr>
                  <w:i/>
                  <w:iCs/>
                  <w:noProof/>
                </w:rPr>
                <w:t>Zen - AMD's New CPU Architecture</w:t>
              </w:r>
              <w:r w:rsidR="00B212C3">
                <w:rPr>
                  <w:noProof/>
                </w:rPr>
                <w:t>. Retrieved from YouTube: https://www.youtube.com/watch?v=vBXk-VSJ7UI</w:t>
              </w:r>
            </w:p>
            <w:p w:rsidR="00B212C3" w:rsidRDefault="00B212C3" w:rsidP="00B212C3">
              <w:pPr>
                <w:pStyle w:val="Bibliography"/>
                <w:ind w:left="720" w:hanging="720"/>
                <w:rPr>
                  <w:noProof/>
                </w:rPr>
              </w:pPr>
              <w:r>
                <w:rPr>
                  <w:noProof/>
                </w:rPr>
                <w:t xml:space="preserve">Akbar, S., Ichsan, M., &amp; Darmawan, A. (2019). Reference broadcast synchronization and time division multiple access implementations on WSN. </w:t>
              </w:r>
              <w:r>
                <w:rPr>
                  <w:i/>
                  <w:iCs/>
                  <w:noProof/>
                </w:rPr>
                <w:t>TELKOMNIKA, Vol.17, No.1, February</w:t>
              </w:r>
              <w:r>
                <w:rPr>
                  <w:noProof/>
                </w:rPr>
                <w:t>, 291-298.</w:t>
              </w:r>
            </w:p>
            <w:p w:rsidR="00B212C3" w:rsidRDefault="00B212C3" w:rsidP="00B212C3">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 Issue 1</w:t>
              </w:r>
              <w:r>
                <w:rPr>
                  <w:noProof/>
                </w:rPr>
                <w:t>, 1-34.</w:t>
              </w:r>
            </w:p>
            <w:p w:rsidR="00B212C3" w:rsidRDefault="00B212C3" w:rsidP="00B212C3">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 Issue 4</w:t>
              </w:r>
              <w:r>
                <w:rPr>
                  <w:noProof/>
                </w:rPr>
                <w:t>, 372.</w:t>
              </w:r>
            </w:p>
            <w:p w:rsidR="00B212C3" w:rsidRDefault="00B212C3" w:rsidP="00B212C3">
              <w:pPr>
                <w:pStyle w:val="Bibliography"/>
                <w:ind w:left="720" w:hanging="720"/>
                <w:rPr>
                  <w:noProof/>
                </w:rPr>
              </w:pPr>
              <w:r>
                <w:rPr>
                  <w:noProof/>
                </w:rPr>
                <w:t xml:space="preserve">Fan, D., Li, W., Yi, X., Wang, D., Zhang, H., Tang, Z., &amp; Sun, N. (2018). SmarCo: An Efficient Many-Core Processor for High-Throughput Applications in Datacenters. </w:t>
              </w:r>
              <w:r>
                <w:rPr>
                  <w:i/>
                  <w:iCs/>
                  <w:noProof/>
                </w:rPr>
                <w:t>2018 IEEE International Symposium on High</w:t>
              </w:r>
              <w:r w:rsidR="001A34EC">
                <w:rPr>
                  <w:i/>
                  <w:iCs/>
                  <w:noProof/>
                </w:rPr>
                <w:t>-</w:t>
              </w:r>
              <w:r>
                <w:rPr>
                  <w:i/>
                  <w:iCs/>
                  <w:noProof/>
                </w:rPr>
                <w:t>Performance Computer Architecture (HPCA) HPCA High</w:t>
              </w:r>
              <w:r w:rsidR="001A34EC">
                <w:rPr>
                  <w:i/>
                  <w:iCs/>
                  <w:noProof/>
                </w:rPr>
                <w:t>-</w:t>
              </w:r>
              <w:r>
                <w:rPr>
                  <w:i/>
                  <w:iCs/>
                  <w:noProof/>
                </w:rPr>
                <w:t>Performance Computer Architecture (HPCA), 2018 IEEE International Symposium on.</w:t>
              </w:r>
              <w:r>
                <w:rPr>
                  <w:noProof/>
                </w:rPr>
                <w:t>, 596-607.</w:t>
              </w:r>
            </w:p>
            <w:p w:rsidR="00B212C3" w:rsidRDefault="00B212C3" w:rsidP="00B212C3">
              <w:pPr>
                <w:pStyle w:val="Bibliography"/>
                <w:ind w:left="720" w:hanging="720"/>
                <w:rPr>
                  <w:noProof/>
                </w:rPr>
              </w:pPr>
              <w:r>
                <w:rPr>
                  <w:noProof/>
                </w:rPr>
                <w:t xml:space="preserve">Fog, A. (2015). The microarchitecture of Intel, AMD, and VIA CPUs: An optimization guide for assembly programmers and compiler makers. </w:t>
              </w:r>
              <w:r w:rsidR="001A34EC">
                <w:rPr>
                  <w:noProof/>
                </w:rPr>
                <w:t xml:space="preserve">The </w:t>
              </w:r>
              <w:r>
                <w:rPr>
                  <w:i/>
                  <w:iCs/>
                  <w:noProof/>
                </w:rPr>
                <w:t>Technical University of Denmark</w:t>
              </w:r>
              <w:r>
                <w:rPr>
                  <w:noProof/>
                </w:rPr>
                <w:t>.</w:t>
              </w:r>
            </w:p>
            <w:p w:rsidR="00B212C3" w:rsidRDefault="00B212C3" w:rsidP="00B212C3">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rsidR="00B212C3" w:rsidRDefault="00B212C3" w:rsidP="00B212C3">
              <w:pPr>
                <w:pStyle w:val="Bibliography"/>
                <w:ind w:left="720" w:hanging="720"/>
                <w:rPr>
                  <w:noProof/>
                </w:rPr>
              </w:pPr>
              <w:r>
                <w:rPr>
                  <w:noProof/>
                </w:rPr>
                <w:lastRenderedPageBreak/>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B212C3" w:rsidRDefault="00B212C3" w:rsidP="00B212C3">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B212C3" w:rsidRDefault="00B212C3" w:rsidP="00B212C3">
              <w:pPr>
                <w:pStyle w:val="Bibliography"/>
                <w:ind w:left="720" w:hanging="720"/>
                <w:rPr>
                  <w:noProof/>
                </w:rPr>
              </w:pPr>
              <w:r>
                <w:rPr>
                  <w:noProof/>
                </w:rPr>
                <w:t xml:space="preserve">Sharwood, S. (2017, November 29). </w:t>
              </w:r>
              <w:r>
                <w:rPr>
                  <w:i/>
                  <w:iCs/>
                  <w:noProof/>
                </w:rPr>
                <w:t>Amazon reveals 'Nitro'... Custom ASICs and boxes that do grunt work so EC2 hosts can just run instances</w:t>
              </w:r>
              <w:r>
                <w:rPr>
                  <w:noProof/>
                </w:rPr>
                <w:t>. Retrieved from The Register: https://www.theregister.co.uk/2017/11/29/aws_reveals_nitro_architecture_bare_metal_ec2_guard_duty_security_tool/</w:t>
              </w:r>
            </w:p>
            <w:p w:rsidR="00B212C3" w:rsidRDefault="00B212C3" w:rsidP="00B212C3">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B212C3" w:rsidRDefault="00B212C3" w:rsidP="00B212C3">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w:t>
              </w:r>
              <w:r>
                <w:rPr>
                  <w:noProof/>
                </w:rPr>
                <w:t>.</w:t>
              </w:r>
            </w:p>
            <w:p w:rsidR="00B212C3" w:rsidRDefault="00B212C3" w:rsidP="00B212C3">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B212C3" w:rsidRDefault="00B212C3" w:rsidP="00B212C3">
              <w:pPr>
                <w:pStyle w:val="Bibliography"/>
                <w:ind w:left="720" w:hanging="720"/>
                <w:rPr>
                  <w:noProof/>
                </w:rPr>
              </w:pPr>
              <w:r>
                <w:rPr>
                  <w:noProof/>
                </w:rPr>
                <w:t xml:space="preserve">Zhang, H, </w:t>
              </w:r>
              <w:bookmarkStart w:id="0" w:name="_GoBack"/>
              <w:bookmarkEnd w:id="0"/>
              <w:r>
                <w:rPr>
                  <w:noProof/>
                </w:rPr>
                <w:t xml:space="preserve">Herdian, H., Narayanan, A., Shirane, A., Suzuki, M., . . . Okada, K. (2019). ULPAC: A Miniaturized Ultralow-Power Atomic Clock. </w:t>
              </w:r>
              <w:r>
                <w:rPr>
                  <w:i/>
                  <w:iCs/>
                  <w:noProof/>
                </w:rPr>
                <w:t>IEEE JOURNAL OF SOLID-STATE CIRCUITS, VOL. 54, NO. 11, NOVEMBER, 2019</w:t>
              </w:r>
              <w:r>
                <w:rPr>
                  <w:noProof/>
                </w:rPr>
                <w:t>, 3135-3149.</w:t>
              </w:r>
            </w:p>
            <w:p w:rsidR="00EA0E80" w:rsidRPr="00DB59C6" w:rsidRDefault="00930115" w:rsidP="00EA0E80">
              <w:r>
                <w:rPr>
                  <w:b/>
                  <w:bCs/>
                  <w:noProof/>
                </w:rPr>
                <w:fldChar w:fldCharType="end"/>
              </w:r>
            </w:p>
          </w:sdtContent>
        </w:sdt>
      </w:sdtContent>
    </w:sdt>
    <w:sectPr w:rsidR="00EA0E80" w:rsidRPr="00DB59C6" w:rsidSect="0082223F">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597" w:rsidRDefault="00BD2597" w:rsidP="0082223F">
      <w:pPr>
        <w:spacing w:line="240" w:lineRule="auto"/>
      </w:pPr>
      <w:r>
        <w:separator/>
      </w:r>
    </w:p>
  </w:endnote>
  <w:endnote w:type="continuationSeparator" w:id="0">
    <w:p w:rsidR="00BD2597" w:rsidRDefault="00BD259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597" w:rsidRDefault="00BD2597" w:rsidP="0082223F">
      <w:pPr>
        <w:spacing w:line="240" w:lineRule="auto"/>
      </w:pPr>
      <w:r>
        <w:separator/>
      </w:r>
    </w:p>
  </w:footnote>
  <w:footnote w:type="continuationSeparator" w:id="0">
    <w:p w:rsidR="00BD2597" w:rsidRDefault="00BD259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627C1"/>
    <w:rsid w:val="000D6655"/>
    <w:rsid w:val="001654D9"/>
    <w:rsid w:val="00183597"/>
    <w:rsid w:val="001A34EC"/>
    <w:rsid w:val="00202B80"/>
    <w:rsid w:val="002806B7"/>
    <w:rsid w:val="003405B5"/>
    <w:rsid w:val="003422CD"/>
    <w:rsid w:val="00400D32"/>
    <w:rsid w:val="00401D65"/>
    <w:rsid w:val="004223E8"/>
    <w:rsid w:val="00423E9D"/>
    <w:rsid w:val="004A784B"/>
    <w:rsid w:val="004F36F3"/>
    <w:rsid w:val="005077F2"/>
    <w:rsid w:val="005548D7"/>
    <w:rsid w:val="00563D13"/>
    <w:rsid w:val="005654CA"/>
    <w:rsid w:val="005E2CA5"/>
    <w:rsid w:val="00636103"/>
    <w:rsid w:val="00661B51"/>
    <w:rsid w:val="00695E5C"/>
    <w:rsid w:val="007E3AD9"/>
    <w:rsid w:val="0082223F"/>
    <w:rsid w:val="00833A5F"/>
    <w:rsid w:val="0084755D"/>
    <w:rsid w:val="008B5129"/>
    <w:rsid w:val="00930115"/>
    <w:rsid w:val="009636BF"/>
    <w:rsid w:val="00AB73C2"/>
    <w:rsid w:val="00B212C3"/>
    <w:rsid w:val="00BB3B46"/>
    <w:rsid w:val="00BD2597"/>
    <w:rsid w:val="00BD462C"/>
    <w:rsid w:val="00C3087C"/>
    <w:rsid w:val="00C73692"/>
    <w:rsid w:val="00C93BB7"/>
    <w:rsid w:val="00CE6094"/>
    <w:rsid w:val="00D57EF9"/>
    <w:rsid w:val="00D75043"/>
    <w:rsid w:val="00DB16A6"/>
    <w:rsid w:val="00DB59C6"/>
    <w:rsid w:val="00DE2224"/>
    <w:rsid w:val="00E7216B"/>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7322">
      <w:bodyDiv w:val="1"/>
      <w:marLeft w:val="0"/>
      <w:marRight w:val="0"/>
      <w:marTop w:val="0"/>
      <w:marBottom w:val="0"/>
      <w:divBdr>
        <w:top w:val="none" w:sz="0" w:space="0" w:color="auto"/>
        <w:left w:val="none" w:sz="0" w:space="0" w:color="auto"/>
        <w:bottom w:val="none" w:sz="0" w:space="0" w:color="auto"/>
        <w:right w:val="none" w:sz="0" w:space="0" w:color="auto"/>
      </w:divBdr>
    </w:div>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158934318">
      <w:bodyDiv w:val="1"/>
      <w:marLeft w:val="0"/>
      <w:marRight w:val="0"/>
      <w:marTop w:val="0"/>
      <w:marBottom w:val="0"/>
      <w:divBdr>
        <w:top w:val="none" w:sz="0" w:space="0" w:color="auto"/>
        <w:left w:val="none" w:sz="0" w:space="0" w:color="auto"/>
        <w:bottom w:val="none" w:sz="0" w:space="0" w:color="auto"/>
        <w:right w:val="none" w:sz="0" w:space="0" w:color="auto"/>
      </w:divBdr>
    </w:div>
    <w:div w:id="250361877">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10908912">
      <w:bodyDiv w:val="1"/>
      <w:marLeft w:val="0"/>
      <w:marRight w:val="0"/>
      <w:marTop w:val="0"/>
      <w:marBottom w:val="0"/>
      <w:divBdr>
        <w:top w:val="none" w:sz="0" w:space="0" w:color="auto"/>
        <w:left w:val="none" w:sz="0" w:space="0" w:color="auto"/>
        <w:bottom w:val="none" w:sz="0" w:space="0" w:color="auto"/>
        <w:right w:val="none" w:sz="0" w:space="0" w:color="auto"/>
      </w:divBdr>
    </w:div>
    <w:div w:id="369837518">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411589628">
      <w:bodyDiv w:val="1"/>
      <w:marLeft w:val="0"/>
      <w:marRight w:val="0"/>
      <w:marTop w:val="0"/>
      <w:marBottom w:val="0"/>
      <w:divBdr>
        <w:top w:val="none" w:sz="0" w:space="0" w:color="auto"/>
        <w:left w:val="none" w:sz="0" w:space="0" w:color="auto"/>
        <w:bottom w:val="none" w:sz="0" w:space="0" w:color="auto"/>
        <w:right w:val="none" w:sz="0" w:space="0" w:color="auto"/>
      </w:divBdr>
    </w:div>
    <w:div w:id="421803135">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518084324">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283612820">
      <w:bodyDiv w:val="1"/>
      <w:marLeft w:val="0"/>
      <w:marRight w:val="0"/>
      <w:marTop w:val="0"/>
      <w:marBottom w:val="0"/>
      <w:divBdr>
        <w:top w:val="none" w:sz="0" w:space="0" w:color="auto"/>
        <w:left w:val="none" w:sz="0" w:space="0" w:color="auto"/>
        <w:bottom w:val="none" w:sz="0" w:space="0" w:color="auto"/>
        <w:right w:val="none" w:sz="0" w:space="0" w:color="auto"/>
      </w:divBdr>
    </w:div>
    <w:div w:id="1366827101">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20436309">
      <w:bodyDiv w:val="1"/>
      <w:marLeft w:val="0"/>
      <w:marRight w:val="0"/>
      <w:marTop w:val="0"/>
      <w:marBottom w:val="0"/>
      <w:divBdr>
        <w:top w:val="none" w:sz="0" w:space="0" w:color="auto"/>
        <w:left w:val="none" w:sz="0" w:space="0" w:color="auto"/>
        <w:bottom w:val="none" w:sz="0" w:space="0" w:color="auto"/>
        <w:right w:val="none" w:sz="0" w:space="0" w:color="auto"/>
      </w:divBdr>
    </w:div>
    <w:div w:id="1535002278">
      <w:bodyDiv w:val="1"/>
      <w:marLeft w:val="0"/>
      <w:marRight w:val="0"/>
      <w:marTop w:val="0"/>
      <w:marBottom w:val="0"/>
      <w:divBdr>
        <w:top w:val="none" w:sz="0" w:space="0" w:color="auto"/>
        <w:left w:val="none" w:sz="0" w:space="0" w:color="auto"/>
        <w:bottom w:val="none" w:sz="0" w:space="0" w:color="auto"/>
        <w:right w:val="none" w:sz="0" w:space="0" w:color="auto"/>
      </w:divBdr>
    </w:div>
    <w:div w:id="1538160485">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587769167">
      <w:bodyDiv w:val="1"/>
      <w:marLeft w:val="0"/>
      <w:marRight w:val="0"/>
      <w:marTop w:val="0"/>
      <w:marBottom w:val="0"/>
      <w:divBdr>
        <w:top w:val="none" w:sz="0" w:space="0" w:color="auto"/>
        <w:left w:val="none" w:sz="0" w:space="0" w:color="auto"/>
        <w:bottom w:val="none" w:sz="0" w:space="0" w:color="auto"/>
        <w:right w:val="none" w:sz="0" w:space="0" w:color="auto"/>
      </w:divBdr>
    </w:div>
    <w:div w:id="1690568850">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40750290">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 w:id="2012760065">
      <w:bodyDiv w:val="1"/>
      <w:marLeft w:val="0"/>
      <w:marRight w:val="0"/>
      <w:marTop w:val="0"/>
      <w:marBottom w:val="0"/>
      <w:divBdr>
        <w:top w:val="none" w:sz="0" w:space="0" w:color="auto"/>
        <w:left w:val="none" w:sz="0" w:space="0" w:color="auto"/>
        <w:bottom w:val="none" w:sz="0" w:space="0" w:color="auto"/>
        <w:right w:val="none" w:sz="0" w:space="0" w:color="auto"/>
      </w:divBdr>
    </w:div>
    <w:div w:id="2096584950">
      <w:bodyDiv w:val="1"/>
      <w:marLeft w:val="0"/>
      <w:marRight w:val="0"/>
      <w:marTop w:val="0"/>
      <w:marBottom w:val="0"/>
      <w:divBdr>
        <w:top w:val="none" w:sz="0" w:space="0" w:color="auto"/>
        <w:left w:val="none" w:sz="0" w:space="0" w:color="auto"/>
        <w:bottom w:val="none" w:sz="0" w:space="0" w:color="auto"/>
        <w:right w:val="none" w:sz="0" w:space="0" w:color="auto"/>
      </w:divBdr>
    </w:div>
    <w:div w:id="21156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
    <b:Tag>Fan181</b:Tag>
    <b:SourceType>JournalArticle</b:SourceType>
    <b:Guid>{EFBA5BC1-C315-4CE1-BB64-E5CC7773330B}</b:Guid>
    <b:Title>SmarCo: An Efficient Many-Core Processor for High-Throughput Applications in Datacenters</b:Title>
    <b:Year>2018</b:Year>
    <b:Pages>596-607</b:Pages>
    <b:Author>
      <b:Author>
        <b:NameList>
          <b:Person>
            <b:Last>Fan</b:Last>
            <b:First>D</b:First>
          </b:Person>
          <b:Person>
            <b:Last>Li</b:Last>
            <b:First>W</b:First>
          </b:Person>
          <b:Person>
            <b:Last>Yi</b:Last>
            <b:First>X</b:First>
          </b:Person>
          <b:Person>
            <b:Last>Wang</b:Last>
            <b:First>D</b:First>
          </b:Person>
          <b:Person>
            <b:Last>Zhang</b:Last>
            <b:First>H</b:First>
          </b:Person>
          <b:Person>
            <b:Last>Tang</b:Last>
            <b:First>Z</b:First>
          </b:Person>
          <b:Person>
            <b:Last>Sun</b:Last>
            <b:First>N</b:First>
          </b:Person>
        </b:NameList>
      </b:Author>
    </b:Author>
    <b:JournalName>2018 IEEE International Symposium on High Performance Computer Architecture (HPCA) HPCA High Performance Computer Architecture (HPCA), 2018 IEEE International Symposium on.</b:JournalName>
    <b:RefOrder>14</b:RefOrder>
  </b:Source>
</b:Sources>
</file>

<file path=customXml/itemProps1.xml><?xml version="1.0" encoding="utf-8"?>
<ds:datastoreItem xmlns:ds="http://schemas.openxmlformats.org/officeDocument/2006/customXml" ds:itemID="{581FA4BE-F63C-49FC-8C39-FD7D0B9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11</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2019-11-11T02:31:00Z</dcterms:modified>
</cp:coreProperties>
</file>