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3364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 xml:space="preserve">Contoso Retail and Manufacturing is </w:t>
      </w:r>
      <w:proofErr w:type="gramStart"/>
      <w:r>
        <w:t>similar to</w:t>
      </w:r>
      <w:proofErr w:type="gramEnd"/>
      <w:r>
        <w:t xml:space="preserve">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w:t>
      </w:r>
      <w:proofErr w:type="gramStart"/>
      <w:r>
        <w:t>. Therefore</w:t>
      </w:r>
      <w:proofErr w:type="gramEnd"/>
      <w:r>
        <w:t xml:space="preserv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055AD1">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w:t>
      </w:r>
      <w:proofErr w:type="gramStart"/>
      <w:r>
        <w:t>similar, but</w:t>
      </w:r>
      <w:proofErr w:type="gramEnd"/>
      <w:r>
        <w:t xml:space="preserve">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proofErr w:type="gramStart"/>
      <w:r w:rsidR="00C72E44">
        <w:t xml:space="preserve">. </w:t>
      </w:r>
      <w:proofErr w:type="gramEnd"/>
      <w:r w:rsidR="00C72E44">
        <w:t xml:space="preserve">Zhao describes several variations of logging, checkpointing, </w:t>
      </w:r>
      <w:r w:rsidR="00AC03DC">
        <w:t xml:space="preserve">isolation, </w:t>
      </w:r>
      <w:r w:rsidR="00C72E44">
        <w:t xml:space="preserve">replication strategies, along with implications such as group communication and consensus.  </w:t>
      </w:r>
      <w:r w:rsidR="00AC03DC">
        <w:t xml:space="preserve">A checkpoint must contain </w:t>
      </w:r>
      <w:proofErr w:type="gramStart"/>
      <w:r w:rsidR="00AC03DC">
        <w:t>sufficient</w:t>
      </w:r>
      <w:proofErr w:type="gramEnd"/>
      <w:r w:rsidR="00AC03DC">
        <w:t xml:space="preserve">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 xml:space="preserve">Consider the difference in recovery responsibility of a fail-stop between B-C and E-F.  In the case of B-C, the error needs to be trapped and retried by the actor.  Then contrast that with E-F where the responsibility lies with E.  While it may be </w:t>
      </w:r>
      <w:proofErr w:type="gramStart"/>
      <w:r w:rsidR="00082133">
        <w:t>sufficient</w:t>
      </w:r>
      <w:proofErr w:type="gramEnd"/>
      <w:r w:rsidR="00082133">
        <w:t xml:space="preserve">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055AD1">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055AD1">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proofErr w:type="gramStart"/>
      <w:r>
        <w:t xml:space="preserve">. </w:t>
      </w:r>
      <w:proofErr w:type="gramEnd"/>
      <w:r>
        <w:t xml:space="preserve">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w:t>
      </w:r>
      <w:proofErr w:type="gramStart"/>
      <w:r w:rsidR="00534CFA">
        <w:t>enters into</w:t>
      </w:r>
      <w:proofErr w:type="gramEnd"/>
      <w:r w:rsidR="00534CFA">
        <w:t xml:space="preserve">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055AD1">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055AD1">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00055AD1">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lastRenderedPageBreak/>
        <w:t>Literature Review on the Influence of NP-Hard</w:t>
      </w:r>
    </w:p>
    <w:p w:rsidR="00B33135" w:rsidRDefault="00B33135" w:rsidP="00B33135">
      <w:r>
        <w:tab/>
        <w:t>A problem that is NP-Hard requires nondeterministic polynomial time to solve but is verifiable in polynomial time.  These challenges appear across scheduling, security, reliability, and allocation scenarios, to name a few.  When an efficient algorithm does not exist, the system designers must structure their implementations to exploit or create shortcuts.</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w:t>
      </w:r>
      <w:proofErr w:type="gramStart"/>
      <w:r>
        <w:t>particular set</w:t>
      </w:r>
      <w:proofErr w:type="gramEnd"/>
      <w:r>
        <w:t xml:space="preserve">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B13E4C" w:rsidRDefault="00B13E4C" w:rsidP="00B13E4C">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5F7A2B" w:rsidRDefault="005F7A2B">
      <w:pPr>
        <w:rPr>
          <w:b/>
        </w:rPr>
      </w:pPr>
      <w:r>
        <w:br w:type="page"/>
      </w:r>
    </w:p>
    <w:p w:rsidR="000A7380" w:rsidRPr="005F7A2B" w:rsidRDefault="000A7380" w:rsidP="000A7380">
      <w:pPr>
        <w:pStyle w:val="Heading2"/>
      </w:pPr>
      <w:r w:rsidRPr="000A7380">
        <w:lastRenderedPageBreak/>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w:t>
      </w:r>
      <w:proofErr w:type="gramStart"/>
      <w:r>
        <w:t>particular duration</w:t>
      </w:r>
      <w:proofErr w:type="gramEnd"/>
      <w:r>
        <w:t xml:space="preserve">.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w:t>
      </w:r>
      <w:r w:rsidR="005F7A2B">
        <w:lastRenderedPageBreak/>
        <w:t xml:space="preserve">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w:t>
      </w:r>
      <w:r>
        <w:lastRenderedPageBreak/>
        <w:t>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w:t>
      </w:r>
      <w:proofErr w:type="gramStart"/>
      <w:r w:rsidR="003A6F68">
        <w:t>Similar to</w:t>
      </w:r>
      <w:proofErr w:type="gramEnd"/>
      <w:r w:rsidR="003A6F68">
        <w:t xml:space="preserve"> other examples, the authors highlight the need to have well-defined objectives and not admit defeat because the most generic solution cannot be efficiently solved.</w:t>
      </w:r>
    </w:p>
    <w:p w:rsidR="00B84866" w:rsidRDefault="00B84866" w:rsidP="00B84866">
      <w:pPr>
        <w:pStyle w:val="Heading2"/>
      </w:pPr>
      <w:r>
        <w:t>A</w:t>
      </w:r>
      <w:r>
        <w:t xml:space="preserve">pproximation </w:t>
      </w:r>
      <w:r>
        <w:t>A</w:t>
      </w:r>
      <w:r>
        <w:t xml:space="preserve">lgorithms for </w:t>
      </w:r>
      <w:r>
        <w:t>F</w:t>
      </w:r>
      <w:r>
        <w:t>ault</w:t>
      </w:r>
      <w:r>
        <w:t>-T</w:t>
      </w:r>
      <w:r>
        <w:t>olerant</w:t>
      </w:r>
      <w:r>
        <w:t xml:space="preserve"> F</w:t>
      </w:r>
      <w:r>
        <w:t xml:space="preserve">acility </w:t>
      </w:r>
      <w:r>
        <w:t>A</w:t>
      </w:r>
      <w:r>
        <w:t>llocation</w:t>
      </w:r>
      <w:r>
        <w:t xml:space="preserve"> (2013)</w:t>
      </w:r>
    </w:p>
    <w:p w:rsid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p>
    <w:p w:rsidR="00F14CF8" w:rsidRDefault="00F14CF8" w:rsidP="00F14CF8">
      <w:pPr>
        <w:pStyle w:val="Heading2"/>
      </w:pPr>
      <w:r>
        <w:lastRenderedPageBreak/>
        <w:t>On Complexity of Effective Data Granulation in</w:t>
      </w:r>
      <w:r>
        <w:t xml:space="preserve"> </w:t>
      </w:r>
      <w:r>
        <w:t>Databases</w:t>
      </w:r>
      <w:r>
        <w:t xml:space="preserve"> (2014)</w:t>
      </w:r>
    </w:p>
    <w:p w:rsidR="000D0810" w:rsidRDefault="00F14CF8" w:rsidP="000D0810">
      <w:r>
        <w:tab/>
        <w:t xml:space="preserve">An open problem in research is to devise an efficient </w:t>
      </w:r>
      <w:r w:rsidRPr="00F14CF8">
        <w:rPr>
          <w:i/>
        </w:rPr>
        <w:t>granulation</w:t>
      </w:r>
      <w:r>
        <w:rPr>
          <w:i/>
        </w:rPr>
        <w:t xml:space="preserve"> </w:t>
      </w:r>
      <w:r>
        <w:t xml:space="preserve">algorithm for columnar storage.  Imagine business needs to determine total sales across the last month from a table that contains </w:t>
      </w:r>
      <w:proofErr w:type="spellStart"/>
      <w:r>
        <w:t>user_id</w:t>
      </w:r>
      <w:proofErr w:type="spellEnd"/>
      <w:r>
        <w:t xml:space="preserve">, date, </w:t>
      </w:r>
      <w:proofErr w:type="spellStart"/>
      <w:r>
        <w:t>item_id</w:t>
      </w:r>
      <w:proofErr w:type="spellEnd"/>
      <w:r>
        <w:t xml:space="preserve">, and price.  The granulation of their query must (1) filter by the </w:t>
      </w:r>
      <w:r w:rsidRPr="000D0810">
        <w:rPr>
          <w:i/>
        </w:rPr>
        <w:t>date</w:t>
      </w:r>
      <w:r>
        <w:t xml:space="preserve"> column, (2) fetch the associated price value, (3) aggregate the values on each physical memory page, and then (4) sum the aggregation.  Performing these steps is an NP-hard problem because the multiple layers of inclusion and exclusion are equivalent to SAT</w:t>
      </w:r>
      <w:sdt>
        <w:sdtPr>
          <w:id w:val="73941157"/>
          <w:citation/>
        </w:sdtPr>
        <w:sdtContent>
          <w:r>
            <w:fldChar w:fldCharType="begin"/>
          </w:r>
          <w:r>
            <w:instrText xml:space="preserve"> CITATION Wró14 \l 1033 </w:instrText>
          </w:r>
          <w:r>
            <w:fldChar w:fldCharType="separate"/>
          </w:r>
          <w:r>
            <w:rPr>
              <w:noProof/>
            </w:rPr>
            <w:t xml:space="preserve"> (Wróblewski &amp; Kowalski, 2014)</w:t>
          </w:r>
          <w:r>
            <w:fldChar w:fldCharType="end"/>
          </w:r>
        </w:sdtContent>
      </w:sdt>
      <w:r>
        <w:t>.</w:t>
      </w:r>
      <w:r w:rsidR="000D0810">
        <w:t xml:space="preserve">  </w:t>
      </w:r>
      <w:proofErr w:type="spellStart"/>
      <w:r w:rsidR="000D0810">
        <w:t>Wroblewski</w:t>
      </w:r>
      <w:proofErr w:type="spellEnd"/>
      <w:r w:rsidR="000D0810">
        <w:t xml:space="preserve"> and Kowalski explain that the performance-critical point is to read a record once.  </w:t>
      </w:r>
    </w:p>
    <w:p w:rsidR="00F14CF8" w:rsidRDefault="000D0810" w:rsidP="000D0810">
      <w:pPr>
        <w:ind w:firstLine="720"/>
      </w:pPr>
      <w:r>
        <w:t xml:space="preserve">Based on their diagrams, it appears the fundamental issue is that a record contains a </w:t>
      </w:r>
      <w:r w:rsidRPr="00946570">
        <w:rPr>
          <w:i/>
        </w:rPr>
        <w:t>directed</w:t>
      </w:r>
      <w:r>
        <w:t xml:space="preserve"> link to an offset in a per column file.  However, if this structure is changed to be </w:t>
      </w:r>
      <w:r w:rsidR="00946570">
        <w:t>uni</w:t>
      </w:r>
      <w:r>
        <w:t>directional and fully connected, then it should be possible to apply linear set theory for many common scenarios</w:t>
      </w:r>
      <w:r w:rsidR="00055AD1">
        <w:t xml:space="preserve"> (see Figure 7)</w:t>
      </w:r>
      <w:r>
        <w:t xml:space="preserve">.  For instance, the original example could start at the sorted </w:t>
      </w:r>
      <w:r w:rsidRPr="000D0810">
        <w:rPr>
          <w:i/>
        </w:rPr>
        <w:t>date</w:t>
      </w:r>
      <w:r>
        <w:t xml:space="preserve"> column </w:t>
      </w:r>
      <w:r w:rsidR="00946570">
        <w:t>file, filter</w:t>
      </w:r>
      <w:r>
        <w:t xml:space="preserve"> </w:t>
      </w:r>
      <w:r w:rsidR="00946570">
        <w:t>appropriately</w:t>
      </w:r>
      <w:r>
        <w:t xml:space="preserve">, and traverse the object pointers directly to the </w:t>
      </w:r>
      <w:r w:rsidR="00946570">
        <w:t xml:space="preserve">value offset in the </w:t>
      </w:r>
      <w:r>
        <w:t xml:space="preserve">price </w:t>
      </w:r>
      <w:r w:rsidR="00946570">
        <w:t>column file</w:t>
      </w:r>
      <w:r>
        <w:t>.  These prices can be enumerated and inline incremented</w:t>
      </w:r>
      <w:r w:rsidR="007A2502">
        <w:t xml:space="preserve"> during the traversal</w:t>
      </w:r>
      <w:r>
        <w:t xml:space="preserve">.  </w:t>
      </w:r>
    </w:p>
    <w:p w:rsidR="00055AD1" w:rsidRDefault="00055AD1" w:rsidP="007A2502">
      <w:pPr>
        <w:keepNext/>
        <w:jc w:val="center"/>
      </w:pPr>
      <w:r>
        <w:rPr>
          <w:noProof/>
        </w:rPr>
        <w:drawing>
          <wp:inline distT="0" distB="0" distL="0" distR="0" wp14:anchorId="7FDFA715" wp14:editId="2943ED16">
            <wp:extent cx="2119746" cy="228465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7567" cy="2336195"/>
                    </a:xfrm>
                    <a:prstGeom prst="rect">
                      <a:avLst/>
                    </a:prstGeom>
                  </pic:spPr>
                </pic:pic>
              </a:graphicData>
            </a:graphic>
          </wp:inline>
        </w:drawing>
      </w:r>
    </w:p>
    <w:p w:rsidR="00055AD1" w:rsidRDefault="00055AD1" w:rsidP="007A2502">
      <w:pPr>
        <w:pStyle w:val="Caption"/>
        <w:jc w:val="center"/>
        <w:rPr>
          <w:i w:val="0"/>
          <w:color w:val="auto"/>
        </w:rPr>
      </w:pPr>
      <w:r w:rsidRPr="00055AD1">
        <w:rPr>
          <w:i w:val="0"/>
          <w:color w:val="auto"/>
        </w:rPr>
        <w:t xml:space="preserve">Figure </w:t>
      </w:r>
      <w:r w:rsidRPr="00055AD1">
        <w:rPr>
          <w:i w:val="0"/>
          <w:color w:val="auto"/>
        </w:rPr>
        <w:fldChar w:fldCharType="begin"/>
      </w:r>
      <w:r w:rsidRPr="00055AD1">
        <w:rPr>
          <w:i w:val="0"/>
          <w:color w:val="auto"/>
        </w:rPr>
        <w:instrText xml:space="preserve"> SEQ Figure \* ARABIC </w:instrText>
      </w:r>
      <w:r w:rsidRPr="00055AD1">
        <w:rPr>
          <w:i w:val="0"/>
          <w:color w:val="auto"/>
        </w:rPr>
        <w:fldChar w:fldCharType="separate"/>
      </w:r>
      <w:r w:rsidRPr="00055AD1">
        <w:rPr>
          <w:i w:val="0"/>
          <w:noProof/>
          <w:color w:val="auto"/>
        </w:rPr>
        <w:t>7</w:t>
      </w:r>
      <w:r w:rsidRPr="00055AD1">
        <w:rPr>
          <w:i w:val="0"/>
          <w:color w:val="auto"/>
        </w:rPr>
        <w:fldChar w:fldCharType="end"/>
      </w:r>
      <w:r w:rsidRPr="00055AD1">
        <w:rPr>
          <w:i w:val="0"/>
          <w:color w:val="auto"/>
        </w:rPr>
        <w:t>: Graph vs</w:t>
      </w:r>
      <w:r w:rsidR="007A2502">
        <w:rPr>
          <w:i w:val="0"/>
          <w:color w:val="auto"/>
        </w:rPr>
        <w:t>.</w:t>
      </w:r>
      <w:r w:rsidRPr="00055AD1">
        <w:rPr>
          <w:i w:val="0"/>
          <w:color w:val="auto"/>
        </w:rPr>
        <w:t xml:space="preserve"> Row vs</w:t>
      </w:r>
      <w:r w:rsidR="007A2502">
        <w:rPr>
          <w:i w:val="0"/>
          <w:color w:val="auto"/>
        </w:rPr>
        <w:t>.</w:t>
      </w:r>
      <w:r w:rsidRPr="00055AD1">
        <w:rPr>
          <w:i w:val="0"/>
          <w:color w:val="auto"/>
        </w:rPr>
        <w:t xml:space="preserve"> Column Storage</w:t>
      </w:r>
    </w:p>
    <w:p w:rsidR="00802FCC" w:rsidRDefault="00802FCC" w:rsidP="00802FCC">
      <w:pPr>
        <w:pStyle w:val="Heading2"/>
        <w:rPr>
          <w:sz w:val="48"/>
          <w:szCs w:val="48"/>
          <w:lang w:val="en"/>
        </w:rPr>
      </w:pPr>
      <w:r>
        <w:rPr>
          <w:lang w:val="en"/>
        </w:rPr>
        <w:lastRenderedPageBreak/>
        <w:t>Optimal bundles for sponsored search auctions via bracketing scheme</w:t>
      </w:r>
      <w:r>
        <w:rPr>
          <w:lang w:val="en"/>
        </w:rPr>
        <w:t xml:space="preserve"> (2019)</w:t>
      </w:r>
    </w:p>
    <w:p w:rsidR="003C6D4F" w:rsidRDefault="00802FCC" w:rsidP="00E4701D">
      <w:r>
        <w:tab/>
        <w:t xml:space="preserve">Selecting the most relevant sponsored content requires </w:t>
      </w:r>
      <w:r w:rsidR="000A2838">
        <w:t xml:space="preserve">matching </w:t>
      </w:r>
      <w:r>
        <w:t xml:space="preserve">both the user-provided search term </w:t>
      </w:r>
      <w:r w:rsidR="000A2838">
        <w:t xml:space="preserve">with </w:t>
      </w:r>
      <w:r>
        <w:t>the current advertiser bids for that space</w:t>
      </w:r>
      <w:sdt>
        <w:sdtPr>
          <w:id w:val="712547021"/>
          <w:citation/>
        </w:sdtPr>
        <w:sdtContent>
          <w:r w:rsidR="000A2838">
            <w:fldChar w:fldCharType="begin"/>
          </w:r>
          <w:r w:rsidR="000A2838">
            <w:instrText xml:space="preserve"> CITATION Xia19 \l 1033 </w:instrText>
          </w:r>
          <w:r w:rsidR="000A2838">
            <w:fldChar w:fldCharType="separate"/>
          </w:r>
          <w:r w:rsidR="000A2838">
            <w:rPr>
              <w:noProof/>
            </w:rPr>
            <w:t xml:space="preserve"> (Xia, Bu, &amp; Gong, 2019)</w:t>
          </w:r>
          <w:r w:rsidR="000A2838">
            <w:fldChar w:fldCharType="end"/>
          </w:r>
        </w:sdtContent>
      </w:sdt>
      <w:r>
        <w:t>.</w:t>
      </w:r>
      <w:r w:rsidR="000A2838">
        <w:t xml:space="preserve">  Xia et al. provide a formal proof that the industry-standard solution of bracketing bids is an NP-hard computation.  </w:t>
      </w:r>
      <w:r w:rsidR="008F713F">
        <w:t xml:space="preserve">Consider the scenario where (1) Alice bids 5$, Bob bids 2$, and Charlie bids 1$, and (2) the website only has space for two ads.  Then the desired state would be to choose the top two advertisers and bill them the n+1 bid, such that Alice pays 2$, and Bob pays 1$. </w:t>
      </w:r>
    </w:p>
    <w:p w:rsidR="00E4701D" w:rsidRDefault="000A2838" w:rsidP="003C6D4F">
      <w:pPr>
        <w:ind w:firstLine="720"/>
      </w:pPr>
      <w:r>
        <w:t>Instead</w:t>
      </w:r>
      <w:r w:rsidR="008F713F">
        <w:t xml:space="preserve"> of creating and shifting brackets, the researchers </w:t>
      </w:r>
      <w:r>
        <w:t>propose a simple valuation matrix with discrete values of zero and one.  Then a heuristic can be applied across k-signals to prune the search space to a finite list of potential matches.</w:t>
      </w:r>
      <w:r w:rsidR="003C6D4F">
        <w:t xml:space="preserve">  The purpose of the signals is to eliminate search terms that appear in multiple contexts (e.g.</w:t>
      </w:r>
      <w:r w:rsidR="00DC2EA4">
        <w:t>,</w:t>
      </w:r>
      <w:r w:rsidR="003C6D4F">
        <w:t xml:space="preserve"> Java is </w:t>
      </w:r>
      <w:r w:rsidR="00DC2EA4">
        <w:t xml:space="preserve">a </w:t>
      </w:r>
      <w:r w:rsidR="003C6D4F">
        <w:t>programming language and beverage).</w:t>
      </w:r>
      <w:r w:rsidR="008F713F">
        <w:t xml:space="preserve">  </w:t>
      </w:r>
      <w:r w:rsidR="003C6D4F">
        <w:t xml:space="preserve">Across three </w:t>
      </w:r>
      <w:r w:rsidR="008F713F">
        <w:t>test cases</w:t>
      </w:r>
      <w:r w:rsidR="003C6D4F">
        <w:t>,</w:t>
      </w:r>
      <w:r w:rsidR="008F713F">
        <w:t xml:space="preserve"> they were able to prove the heuristic was approximately equivalent to the traditional bracketed solution.</w:t>
      </w:r>
    </w:p>
    <w:p w:rsidR="00F34E59" w:rsidRDefault="00F34E59" w:rsidP="003C6D4F">
      <w:pPr>
        <w:ind w:firstLine="720"/>
      </w:pPr>
      <w:r>
        <w:t>The notion of applying filter masks to reduce the search space comes up in multiple distributed system scenarios.  For instance, multi-</w:t>
      </w:r>
      <w:proofErr w:type="gramStart"/>
      <w:r>
        <w:t>attribute based</w:t>
      </w:r>
      <w:proofErr w:type="gramEnd"/>
      <w:r>
        <w:t xml:space="preserve"> resource discovery and load balancing rely on this idea</w:t>
      </w:r>
      <w:sdt>
        <w:sdtPr>
          <w:id w:val="-1685122373"/>
          <w:citation/>
        </w:sdtPr>
        <w:sdtContent>
          <w:r>
            <w:fldChar w:fldCharType="begin"/>
          </w:r>
          <w:r>
            <w:instrText xml:space="preserve"> CITATION Lee14 \l 1033 </w:instrText>
          </w:r>
          <w:r>
            <w:fldChar w:fldCharType="separate"/>
          </w:r>
          <w:r>
            <w:rPr>
              <w:noProof/>
            </w:rPr>
            <w:t xml:space="preserve"> (Lee, Keleher, &amp; Sussman, 2014)</w:t>
          </w:r>
          <w:r>
            <w:fldChar w:fldCharType="end"/>
          </w:r>
        </w:sdtContent>
      </w:sdt>
      <w:r>
        <w:t>.</w:t>
      </w:r>
      <w:r w:rsidR="00C0542D">
        <w:t xml:space="preserve">  Lazaro et al. propose that the attributes should use discrete values from a finite set, instead of only Boolean flags.  They argue that this reduces the number of checks that need to occur</w:t>
      </w:r>
      <w:r w:rsidR="009A17A1">
        <w:t>,</w:t>
      </w:r>
      <w:r w:rsidR="00C0542D">
        <w:t xml:space="preserve"> </w:t>
      </w:r>
      <w:r w:rsidR="009A17A1">
        <w:t>resulting</w:t>
      </w:r>
      <w:r w:rsidR="00C0542D">
        <w:t xml:space="preserve"> in more efficient matching</w:t>
      </w:r>
      <w:sdt>
        <w:sdtPr>
          <w:id w:val="-1120138410"/>
          <w:citation/>
        </w:sdtPr>
        <w:sdtContent>
          <w:r w:rsidR="00C0542D">
            <w:fldChar w:fldCharType="begin"/>
          </w:r>
          <w:r w:rsidR="00C0542D">
            <w:instrText xml:space="preserve"> CITATION Laz13 \l 1033 </w:instrText>
          </w:r>
          <w:r w:rsidR="00C0542D">
            <w:fldChar w:fldCharType="separate"/>
          </w:r>
          <w:r w:rsidR="00C0542D">
            <w:rPr>
              <w:noProof/>
            </w:rPr>
            <w:t xml:space="preserve"> (Lazaro, Marques, Jorba, &amp; Vilajosana, 2013)</w:t>
          </w:r>
          <w:r w:rsidR="00C0542D">
            <w:fldChar w:fldCharType="end"/>
          </w:r>
        </w:sdtContent>
      </w:sdt>
      <w:r w:rsidR="00C0542D">
        <w:t>.</w:t>
      </w:r>
    </w:p>
    <w:p w:rsidR="00DC2EA4" w:rsidRDefault="00DC2EA4">
      <w:pPr>
        <w:rPr>
          <w:b/>
        </w:rPr>
      </w:pPr>
      <w:r>
        <w:br w:type="page"/>
      </w:r>
    </w:p>
    <w:p w:rsidR="00DC2EA4" w:rsidRDefault="00DC2EA4" w:rsidP="00DC2EA4">
      <w:pPr>
        <w:pStyle w:val="Heading2"/>
      </w:pPr>
      <w:r>
        <w:lastRenderedPageBreak/>
        <w:t xml:space="preserve">“Almost-stable” matchings in the Hospitals / Residents </w:t>
      </w:r>
      <w:r>
        <w:t>P</w:t>
      </w:r>
      <w:r>
        <w:t>roblem with Couples</w:t>
      </w:r>
      <w:r>
        <w:t xml:space="preserve"> (2017)</w:t>
      </w:r>
    </w:p>
    <w:p w:rsidR="00DC2EA4" w:rsidRDefault="00DC2EA4" w:rsidP="00DC2EA4">
      <w:r>
        <w:tab/>
        <w:t xml:space="preserve">According to </w:t>
      </w:r>
      <w:proofErr w:type="spellStart"/>
      <w:r>
        <w:t>Manlove</w:t>
      </w:r>
      <w:proofErr w:type="spellEnd"/>
      <w:r>
        <w:t xml:space="preserve"> et al., when a graduate medical student does their residency, they must be matched with a hospital in their preferred list.  If they have a colleague or significant other also performing a residency, they can request this person is geographically close to them.  A process must compile these requirements and create assignments to the finite hospital positions.  To further complicate matters, there are procedural rules that prevent specific scenarios, such as no one chose ABC Hospital</w:t>
      </w:r>
      <w:sdt>
        <w:sdtPr>
          <w:id w:val="1319312390"/>
          <w:citation/>
        </w:sdtPr>
        <w:sdtContent>
          <w:r>
            <w:fldChar w:fldCharType="begin"/>
          </w:r>
          <w:r>
            <w:instrText xml:space="preserve"> CITATION Man171 \l 1033 </w:instrText>
          </w:r>
          <w:r>
            <w:fldChar w:fldCharType="separate"/>
          </w:r>
          <w:r>
            <w:rPr>
              <w:noProof/>
            </w:rPr>
            <w:t xml:space="preserve"> (Manlove, McBride, &amp; Trimble, 2017)</w:t>
          </w:r>
          <w:r>
            <w:fldChar w:fldCharType="end"/>
          </w:r>
        </w:sdtContent>
      </w:sdt>
      <w:r>
        <w:t>.  The researchers provide two efficient algorithms to solve the problem in polynomial time.  First, is an Integer Programming (IP) implementation that finds the maximum cardinality for each resident</w:t>
      </w:r>
      <w:proofErr w:type="gramStart"/>
      <w:r>
        <w:t xml:space="preserve">. </w:t>
      </w:r>
      <w:proofErr w:type="gramEnd"/>
      <w:r>
        <w:t>Second, is a Constraint Programming (CP) solution that is 1.15 times faster than IP, and 8.14 times faster if pre-solving is enabled.</w:t>
      </w:r>
    </w:p>
    <w:p w:rsidR="00DC2EA4" w:rsidRPr="00DC2EA4" w:rsidRDefault="00DC2EA4" w:rsidP="00DC2EA4">
      <w:r>
        <w:tab/>
        <w:t>Similar challenges exist within distributed systems, such as the case that a batch operation enters the system.  When this occurs, a controller needs to assign tasks to specific and finite compute nodes.  If two sub-tasks must share a data set, then an optimization exists to place both on the same node instead of replicating that data to another node.  These requirements are analogous to the Hospital Residency Problem.</w:t>
      </w:r>
      <w:bookmarkStart w:id="0" w:name="_GoBack"/>
      <w:bookmarkEnd w:id="0"/>
    </w:p>
    <w:sectPr w:rsidR="00DC2EA4" w:rsidRPr="00DC2EA4" w:rsidSect="0082223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64E" w:rsidRDefault="0003364E" w:rsidP="0082223F">
      <w:pPr>
        <w:spacing w:line="240" w:lineRule="auto"/>
      </w:pPr>
      <w:r>
        <w:separator/>
      </w:r>
    </w:p>
  </w:endnote>
  <w:endnote w:type="continuationSeparator" w:id="0">
    <w:p w:rsidR="0003364E" w:rsidRDefault="0003364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64E" w:rsidRDefault="0003364E" w:rsidP="0082223F">
      <w:pPr>
        <w:spacing w:line="240" w:lineRule="auto"/>
      </w:pPr>
      <w:r>
        <w:separator/>
      </w:r>
    </w:p>
  </w:footnote>
  <w:footnote w:type="continuationSeparator" w:id="0">
    <w:p w:rsidR="0003364E" w:rsidRDefault="0003364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364E"/>
    <w:rsid w:val="00036708"/>
    <w:rsid w:val="00036F58"/>
    <w:rsid w:val="00053A49"/>
    <w:rsid w:val="00055AD1"/>
    <w:rsid w:val="00055D58"/>
    <w:rsid w:val="0007326D"/>
    <w:rsid w:val="00082133"/>
    <w:rsid w:val="00095B17"/>
    <w:rsid w:val="000A2838"/>
    <w:rsid w:val="000A7380"/>
    <w:rsid w:val="000D0810"/>
    <w:rsid w:val="00147BCF"/>
    <w:rsid w:val="00183597"/>
    <w:rsid w:val="001C3E71"/>
    <w:rsid w:val="001E4828"/>
    <w:rsid w:val="001E7079"/>
    <w:rsid w:val="00241FB8"/>
    <w:rsid w:val="002806B7"/>
    <w:rsid w:val="00294245"/>
    <w:rsid w:val="002E5B3F"/>
    <w:rsid w:val="002F4548"/>
    <w:rsid w:val="003A6F68"/>
    <w:rsid w:val="003B6ABB"/>
    <w:rsid w:val="003C6D4F"/>
    <w:rsid w:val="00401D65"/>
    <w:rsid w:val="004223E8"/>
    <w:rsid w:val="004A784B"/>
    <w:rsid w:val="00534CFA"/>
    <w:rsid w:val="005F7A2B"/>
    <w:rsid w:val="006556CB"/>
    <w:rsid w:val="0075295F"/>
    <w:rsid w:val="00770304"/>
    <w:rsid w:val="007763A7"/>
    <w:rsid w:val="007A2502"/>
    <w:rsid w:val="007C050A"/>
    <w:rsid w:val="007D7FE0"/>
    <w:rsid w:val="007E4B36"/>
    <w:rsid w:val="00802FCC"/>
    <w:rsid w:val="0082223F"/>
    <w:rsid w:val="0083775A"/>
    <w:rsid w:val="008455C1"/>
    <w:rsid w:val="00871A12"/>
    <w:rsid w:val="008B5129"/>
    <w:rsid w:val="008F0E60"/>
    <w:rsid w:val="008F59F8"/>
    <w:rsid w:val="008F713F"/>
    <w:rsid w:val="00946570"/>
    <w:rsid w:val="0096715A"/>
    <w:rsid w:val="009A17A1"/>
    <w:rsid w:val="009E4669"/>
    <w:rsid w:val="00A8228B"/>
    <w:rsid w:val="00AB316B"/>
    <w:rsid w:val="00AC03DC"/>
    <w:rsid w:val="00B13E4C"/>
    <w:rsid w:val="00B27C35"/>
    <w:rsid w:val="00B33135"/>
    <w:rsid w:val="00B64468"/>
    <w:rsid w:val="00B664A8"/>
    <w:rsid w:val="00B84866"/>
    <w:rsid w:val="00B900BF"/>
    <w:rsid w:val="00BD28C3"/>
    <w:rsid w:val="00C0542D"/>
    <w:rsid w:val="00C23021"/>
    <w:rsid w:val="00C2473B"/>
    <w:rsid w:val="00C72E44"/>
    <w:rsid w:val="00C73692"/>
    <w:rsid w:val="00C93BB7"/>
    <w:rsid w:val="00D42054"/>
    <w:rsid w:val="00DC2EA4"/>
    <w:rsid w:val="00DE2224"/>
    <w:rsid w:val="00DE613B"/>
    <w:rsid w:val="00DF6277"/>
    <w:rsid w:val="00E4701D"/>
    <w:rsid w:val="00E5515E"/>
    <w:rsid w:val="00E66561"/>
    <w:rsid w:val="00E70663"/>
    <w:rsid w:val="00EC1FE6"/>
    <w:rsid w:val="00EC6813"/>
    <w:rsid w:val="00F14CF8"/>
    <w:rsid w:val="00F34E59"/>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46212434">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3948210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06538090">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17375655">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779564587">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86859523">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
    <b:Tag>Wró14</b:Tag>
    <b:SourceType>JournalArticle</b:SourceType>
    <b:Guid>{BA183F8B-827E-4430-8B3B-2E71E636044C}</b:Guid>
    <b:Author>
      <b:Author>
        <b:NameList>
          <b:Person>
            <b:Last>Wróblewski</b:Last>
            <b:First>J</b:First>
          </b:Person>
          <b:Person>
            <b:Last>Kowalski</b:Last>
            <b:First>M</b:First>
          </b:Person>
        </b:NameList>
      </b:Author>
    </b:Author>
    <b:Title>On Complexity of Effective Data Granulation in Database</b:Title>
    <b:JournalName>2014 IEEE/WIC/ACM International Joint Conferences on Web Intelligence (WI) and Intelligent Agent Technologies (IAT)</b:JournalName>
    <b:Year>2014</b:Year>
    <b:Pages>358-364</b:Pages>
    <b:RefOrder>28</b:RefOrder>
  </b:Source>
  <b:Source>
    <b:Tag>Xia19</b:Tag>
    <b:SourceType>JournalArticle</b:SourceType>
    <b:Guid>{D8665230-70DF-4426-9936-6671D99ACAC4}</b:Guid>
    <b:Author>
      <b:Author>
        <b:NameList>
          <b:Person>
            <b:Last>Xia</b:Last>
            <b:First>Z</b:First>
          </b:Person>
          <b:Person>
            <b:Last>Bu</b:Last>
            <b:First>T</b:First>
          </b:Person>
          <b:Person>
            <b:Last>Gong</b:Last>
            <b:First>W</b:First>
          </b:Person>
        </b:NameList>
      </b:Author>
    </b:Author>
    <b:Title>Optimal bundles for sponsored search auctions via bracketing scheme</b:Title>
    <b:JournalName>Frontiers of Computer Science. 13(2)</b:JournalName>
    <b:Year>2019</b:Year>
    <b:Pages>333-342</b:Pages>
    <b:RefOrder>29</b:RefOrder>
  </b:Source>
  <b:Source>
    <b:Tag>Lee14</b:Tag>
    <b:SourceType>JournalArticle</b:SourceType>
    <b:Guid>{D54B0477-5CC1-422F-9FCF-9AA21A389DF2}</b:Guid>
    <b:Author>
      <b:Author>
        <b:NameList>
          <b:Person>
            <b:Last>Lee</b:Last>
            <b:First>J</b:First>
          </b:Person>
          <b:Person>
            <b:Last>Keleher</b:Last>
            <b:First>P</b:First>
          </b:Person>
          <b:Person>
            <b:Last>Sussman</b:Last>
            <b:First>A</b:First>
          </b:Person>
        </b:NameList>
      </b:Author>
    </b:Author>
    <b:Title>Decentralized multi-attribute range search for resource discovery and load balancing</b:Title>
    <b:JournalName>Journal of Supercomputing. May Volume 68 Issue 2</b:JournalName>
    <b:Year>2014</b:Year>
    <b:Pages>890-913</b:Pages>
    <b:RefOrder>30</b:RefOrder>
  </b:Source>
  <b:Source>
    <b:Tag>Laz13</b:Tag>
    <b:SourceType>JournalArticle</b:SourceType>
    <b:Guid>{B25F3122-D577-4A18-986E-DE3849897B38}</b:Guid>
    <b:Author>
      <b:Author>
        <b:NameList>
          <b:Person>
            <b:Last>Lazaro</b:Last>
            <b:First>D</b:First>
          </b:Person>
          <b:Person>
            <b:Last>Marques</b:Last>
            <b:First>J</b:First>
          </b:Person>
          <b:Person>
            <b:Last>Jorba</b:Last>
            <b:First>J</b:First>
          </b:Person>
          <b:Person>
            <b:Last>Vilajosana</b:Last>
            <b:First>X</b:First>
          </b:Person>
        </b:NameList>
      </b:Author>
    </b:Author>
    <b:Title>Decentralized Resource Discovery Mechanisms for Distributed Computing in Peer-to-Peer Environments</b:Title>
    <b:JournalName>ACM Computing Surveys. Aug2013, Vol. 45 Issue 4, p54-54:4. 40</b:JournalName>
    <b:Year>2013</b:Year>
    <b:Pages>54-94</b:Pages>
    <b:RefOrder>31</b:RefOrder>
  </b:Source>
  <b:Source>
    <b:Tag>Man171</b:Tag>
    <b:SourceType>JournalArticle</b:SourceType>
    <b:Guid>{85CEDC8B-45B8-4EE3-9E3F-2BF5A478B115}</b:Guid>
    <b:Author>
      <b:Author>
        <b:NameList>
          <b:Person>
            <b:Last>Manlove</b:Last>
            <b:First>D</b:First>
          </b:Person>
          <b:Person>
            <b:Last>McBride</b:Last>
            <b:First>I</b:First>
          </b:Person>
          <b:Person>
            <b:Last>Trimble</b:Last>
            <b:First>J</b:First>
          </b:Person>
        </b:NameList>
      </b:Author>
    </b:Author>
    <b:Title>“Almost-stable” matchings in the Hospitals / Residents problem with Couples</b:Title>
    <b:JournalName>Constraints January, Volume 22, Issue 1</b:JournalName>
    <b:Year>2017</b:Year>
    <b:Pages>50-72</b:Pages>
    <b:RefOrder>32</b:RefOrder>
  </b:Source>
</b:Sources>
</file>

<file path=customXml/itemProps1.xml><?xml version="1.0" encoding="utf-8"?>
<ds:datastoreItem xmlns:ds="http://schemas.openxmlformats.org/officeDocument/2006/customXml" ds:itemID="{7442AF41-D799-4CF8-A44E-182DCCFA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16</Pages>
  <Words>3765</Words>
  <Characters>21465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77</cp:revision>
  <dcterms:created xsi:type="dcterms:W3CDTF">2019-05-19T17:38:00Z</dcterms:created>
  <dcterms:modified xsi:type="dcterms:W3CDTF">2019-11-10T21:58:00Z</dcterms:modified>
</cp:coreProperties>
</file>