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E31E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450E0255" w14:textId="55E13062" w:rsidR="00536607" w:rsidRDefault="00536607" w:rsidP="00C36854">
      <w:pPr>
        <w:ind w:firstLine="720"/>
      </w:pPr>
      <w:proofErr w:type="spellStart"/>
      <w:r>
        <w:t>OpenNYC</w:t>
      </w:r>
      <w:proofErr w:type="spellEnd"/>
      <w:r>
        <w:t xml:space="preserve"> </w:t>
      </w:r>
      <w:r w:rsidR="00426C04">
        <w:t xml:space="preserve">offers </w:t>
      </w:r>
      <w:r>
        <w:t xml:space="preserve">thousands of </w:t>
      </w:r>
      <w:r w:rsidR="00426C04">
        <w:t xml:space="preserve">data sets </w:t>
      </w:r>
      <w:r>
        <w:t xml:space="preserve">containing public information </w:t>
      </w:r>
      <w:r w:rsidR="00724CD3">
        <w:t>for</w:t>
      </w:r>
      <w:r>
        <w:t xml:space="preserve"> </w:t>
      </w:r>
      <w:r w:rsidR="00426C04">
        <w:t xml:space="preserve">businesses and researchers </w:t>
      </w:r>
      <w:r w:rsidR="008D2E3B">
        <w:t xml:space="preserve">to </w:t>
      </w:r>
      <w:r w:rsidR="00426C04">
        <w:t>explore.  The Department of Health and Mental Hygiene publishes a daily feed of NYC Restaurant Inspection Results that enumerates all citations</w:t>
      </w:r>
      <w:r w:rsidR="00A677F8">
        <w:t xml:space="preserve"> since July 2015</w:t>
      </w:r>
      <w:sdt>
        <w:sdtPr>
          <w:id w:val="-328754169"/>
          <w:citation/>
        </w:sdtPr>
        <w:sdtEnd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w:t>
      </w:r>
      <w:r w:rsidR="008D2E3B">
        <w:t>(</w:t>
      </w:r>
      <w:proofErr w:type="spellStart"/>
      <w:r w:rsidR="008D2E3B">
        <w:t>oning</w:t>
      </w:r>
      <w:proofErr w:type="spellEnd"/>
      <w:r w:rsidR="008D2E3B">
        <w:t xml:space="preserve"> change)</w:t>
      </w:r>
      <w:r w:rsidR="00A677F8">
        <w:t xml:space="preserve"> based on </w:t>
      </w:r>
      <w:r w:rsidR="00772383">
        <w:t xml:space="preserve">the severity of </w:t>
      </w:r>
      <w:r w:rsidR="00A677F8">
        <w:t xml:space="preserve">citations.  </w:t>
      </w:r>
      <w:r w:rsidR="00F462B4">
        <w:t xml:space="preserve">According to NYC Health (2020), </w:t>
      </w:r>
      <w:r w:rsidR="0051745F">
        <w:t>"</w:t>
      </w:r>
      <w:r w:rsidR="00F462B4">
        <w:t xml:space="preserve">a </w:t>
      </w:r>
      <w:r w:rsidR="00A677F8">
        <w:t xml:space="preserve">business </w:t>
      </w:r>
      <w:r>
        <w:t>that does not</w:t>
      </w:r>
      <w:r w:rsidR="00772383">
        <w:t xml:space="preserve"> maintain a grade of A or B</w:t>
      </w:r>
      <w:r>
        <w:t xml:space="preserve"> becomes closed</w:t>
      </w:r>
      <w:r w:rsidR="00772383">
        <w:t xml:space="preserve"> </w:t>
      </w:r>
      <w:r w:rsidR="00A677F8">
        <w:t>until pass</w:t>
      </w:r>
      <w:r w:rsidR="00772383">
        <w:t>ing a future</w:t>
      </w:r>
      <w:r w:rsidR="00A677F8">
        <w:t xml:space="preserve"> inspection.</w:t>
      </w:r>
      <w:r w:rsidR="0051745F">
        <w:t>"</w:t>
      </w:r>
    </w:p>
    <w:p w14:paraId="6EFCEF10" w14:textId="0766C4D6" w:rsidR="00C36854" w:rsidRDefault="00C36854" w:rsidP="00C36854">
      <w:pPr>
        <w:ind w:firstLine="720"/>
      </w:pPr>
      <w:r>
        <w:t>Figure 1 displays the distribution of citations across the different boroughs for January 2019 through Feb 2020</w:t>
      </w:r>
      <w:r w:rsidR="00536607">
        <w:t>.</w:t>
      </w:r>
      <w:r w:rsidR="00F462B4">
        <w:t xml:space="preserve"> </w:t>
      </w:r>
      <w:r w:rsidR="00536607">
        <w:t xml:space="preserve"> A</w:t>
      </w:r>
      <w:r>
        <w:t xml:space="preserve">pproximately 87.4% of </w:t>
      </w:r>
      <w:r w:rsidR="008D2E3B">
        <w:t xml:space="preserve">establishments are in good standing versus </w:t>
      </w:r>
      <w:r>
        <w:t xml:space="preserve">5% receiving a grade of C.  </w:t>
      </w:r>
      <w:r w:rsidR="00F462B4">
        <w:t xml:space="preserve">There are several outliers, such as </w:t>
      </w:r>
      <w:proofErr w:type="spellStart"/>
      <w:r w:rsidR="00F462B4">
        <w:t>Dunkan</w:t>
      </w:r>
      <w:proofErr w:type="spellEnd"/>
      <w:r w:rsidR="00F462B4">
        <w:t xml:space="preserve"> Donuts consistently </w:t>
      </w:r>
      <w:r w:rsidR="00536607">
        <w:t xml:space="preserve">receives </w:t>
      </w:r>
      <w:r w:rsidR="00F462B4">
        <w:t>the most infractions, followed by McDonald</w:t>
      </w:r>
      <w:r w:rsidR="0051745F">
        <w:t>'</w:t>
      </w:r>
      <w:r w:rsidR="00F462B4">
        <w:t xml:space="preserve">s and Star Bucks, in part due to </w:t>
      </w:r>
      <w:proofErr w:type="gramStart"/>
      <w:r w:rsidR="008D2E3B">
        <w:t>a</w:t>
      </w:r>
      <w:r w:rsidR="00F462B4">
        <w:t xml:space="preserve"> </w:t>
      </w:r>
      <w:r w:rsidR="008D2E3B">
        <w:t xml:space="preserve">large </w:t>
      </w:r>
      <w:r w:rsidR="00F462B4">
        <w:t>number of</w:t>
      </w:r>
      <w:proofErr w:type="gramEnd"/>
      <w:r w:rsidR="00F462B4">
        <w:t xml:space="preserve">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only 58 businesses</w:t>
      </w:r>
      <w:r w:rsidR="00F462B4">
        <w:t xml:space="preserve"> </w:t>
      </w:r>
      <w:r w:rsidR="00242107">
        <w:t xml:space="preserve">in </w:t>
      </w:r>
      <w:r w:rsidR="008D2E3B">
        <w:t xml:space="preserve">this </w:t>
      </w:r>
      <w:r w:rsidR="00242107">
        <w:t>category.</w:t>
      </w:r>
    </w:p>
    <w:p w14:paraId="2AA518F1" w14:textId="50AFFD72" w:rsidR="00231FE8" w:rsidRPr="00C36854" w:rsidRDefault="00231FE8" w:rsidP="00C36854">
      <w:pPr>
        <w:pStyle w:val="Caption"/>
      </w:pPr>
      <w:r w:rsidRPr="00C36854">
        <w:t xml:space="preserve">Figure </w:t>
      </w:r>
      <w:r w:rsidR="00CE31E8">
        <w:fldChar w:fldCharType="begin"/>
      </w:r>
      <w:r w:rsidR="00CE31E8">
        <w:instrText xml:space="preserve"> SEQ Figure \* ARABIC </w:instrText>
      </w:r>
      <w:r w:rsidR="00CE31E8">
        <w:fldChar w:fldCharType="separate"/>
      </w:r>
      <w:r w:rsidR="00536607">
        <w:rPr>
          <w:noProof/>
        </w:rPr>
        <w:t>1</w:t>
      </w:r>
      <w:r w:rsidR="00CE31E8">
        <w:rPr>
          <w:noProof/>
        </w:rPr>
        <w:fldChar w:fldCharType="end"/>
      </w:r>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3361459A" w14:textId="77777777" w:rsidR="00110E4E" w:rsidRDefault="00110E4E">
      <w:pPr>
        <w:rPr>
          <w:sz w:val="18"/>
          <w:szCs w:val="18"/>
        </w:rPr>
      </w:pPr>
      <w:r>
        <w:br w:type="page"/>
      </w:r>
    </w:p>
    <w:p w14:paraId="454C3D3C" w14:textId="084DFFF6" w:rsidR="006A4445" w:rsidRDefault="006A4445" w:rsidP="006A4445">
      <w:pPr>
        <w:pStyle w:val="Caption"/>
      </w:pPr>
      <w:r>
        <w:lastRenderedPageBreak/>
        <w:t xml:space="preserve">Table </w:t>
      </w:r>
      <w:fldSimple w:instr=" SEQ Table \* ARABIC ">
        <w:r>
          <w:rPr>
            <w:noProof/>
          </w:rPr>
          <w:t>1</w:t>
        </w:r>
      </w:fldSimple>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367914BF"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63A9C546"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The label-centric dataset was not </w:t>
            </w:r>
            <w:r w:rsidR="0057120F">
              <w:t>well suited</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5E1DBD86"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79EEA386" w:rsidR="006A4445" w:rsidRDefault="0051745F" w:rsidP="00D6107A">
            <w:pPr>
              <w:cnfStyle w:val="000000000000" w:firstRow="0" w:lastRow="0" w:firstColumn="0" w:lastColumn="0" w:oddVBand="0" w:evenVBand="0" w:oddHBand="0" w:evenHBand="0" w:firstRowFirstColumn="0" w:firstRowLastColumn="0" w:lastRowFirstColumn="0" w:lastRowLastColumn="0"/>
            </w:pPr>
            <w:r>
              <w:t>M</w:t>
            </w:r>
            <w:r w:rsidR="006A4445">
              <w:t xml:space="preserve">any </w:t>
            </w:r>
            <w:r w:rsidR="00536607">
              <w:t>predictions</w:t>
            </w:r>
            <w:r w:rsidR="006A4445">
              <w:t xml:space="preserve"> in </w:t>
            </w:r>
            <w:r>
              <w:t xml:space="preserve">the </w:t>
            </w:r>
            <w:r w:rsidR="006A4445">
              <w:t>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42CB3EEE" w:rsidR="006A4445" w:rsidRDefault="0057120F" w:rsidP="00D6107A">
            <w:pPr>
              <w:jc w:val="center"/>
            </w:pPr>
            <w:r>
              <w:t>Principal Component Analysis</w:t>
            </w:r>
          </w:p>
        </w:tc>
        <w:tc>
          <w:tcPr>
            <w:tcW w:w="3780" w:type="dxa"/>
          </w:tcPr>
          <w:p w14:paraId="75A8D740" w14:textId="372B78F9"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w:t>
            </w:r>
            <w:r w:rsidR="00536607">
              <w:t>to</w:t>
            </w:r>
            <w:r>
              <w:t xml:space="preserve"> combine </w:t>
            </w:r>
            <w:r w:rsidR="00536607">
              <w:t>related features</w:t>
            </w:r>
            <w:r>
              <w:t xml:space="preserve">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3ECF1744"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More accurate than DTR as </w:t>
            </w:r>
            <w:r w:rsidR="00536607">
              <w:t>approximate</w:t>
            </w:r>
            <w:r>
              <w:t xml:space="preserve"> </w:t>
            </w:r>
            <w:r w:rsidR="00536607">
              <w:t xml:space="preserve">predictions </w:t>
            </w:r>
            <w:r>
              <w:t xml:space="preserve">are </w:t>
            </w:r>
            <w:proofErr w:type="gramStart"/>
            <w:r>
              <w:t>sufficient</w:t>
            </w:r>
            <w:proofErr w:type="gramEnd"/>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451E6E2A" w:rsidR="006A4445" w:rsidRDefault="006A4445" w:rsidP="00D6107A">
            <w:pPr>
              <w:jc w:val="center"/>
            </w:pPr>
            <w:r>
              <w:t>M</w:t>
            </w:r>
            <w:r w:rsidR="00A02B23">
              <w:t xml:space="preserve">ultilayer Perceptron </w:t>
            </w:r>
            <w:r>
              <w:t>Regressor</w:t>
            </w:r>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14459E59" w:rsidR="006A4445" w:rsidRDefault="00A02B23" w:rsidP="00D6107A">
            <w:pPr>
              <w:cnfStyle w:val="000000100000" w:firstRow="0" w:lastRow="0" w:firstColumn="0" w:lastColumn="0" w:oddVBand="0" w:evenVBand="0" w:oddHBand="1" w:evenHBand="0" w:firstRowFirstColumn="0" w:firstRowLastColumn="0" w:lastRowFirstColumn="0" w:lastRowLastColumn="0"/>
            </w:pPr>
            <w:r>
              <w:t>Comparable to DTR performance</w:t>
            </w:r>
          </w:p>
        </w:tc>
      </w:tr>
    </w:tbl>
    <w:p w14:paraId="30457D4A" w14:textId="77777777" w:rsidR="0057120F" w:rsidRDefault="0057120F" w:rsidP="00EB4939">
      <w:pPr>
        <w:ind w:firstLine="720"/>
      </w:pPr>
    </w:p>
    <w:p w14:paraId="6C4FCFF6" w14:textId="17F89FD2" w:rsidR="00536607" w:rsidRDefault="00C36854" w:rsidP="00EB4939">
      <w:pPr>
        <w:ind w:firstLine="720"/>
      </w:pPr>
      <w:r>
        <w:t xml:space="preserve">The feed also details the violation code for the citation along with a numeric score </w:t>
      </w:r>
      <w:r w:rsidR="00536607">
        <w:t xml:space="preserve">with </w:t>
      </w:r>
      <w:r>
        <w:t xml:space="preserve">a mean value of 20.4 and </w:t>
      </w:r>
      <w:r w:rsidR="00772383">
        <w:t xml:space="preserve">a </w:t>
      </w:r>
      <w:r>
        <w:t>standard deviation of 14.8</w:t>
      </w:r>
      <w:r w:rsidR="0057120F">
        <w:t>,</w:t>
      </w:r>
      <w:r w:rsidR="00536607">
        <w:t xml:space="preserve"> </w:t>
      </w:r>
      <w:r w:rsidR="0057120F">
        <w:t xml:space="preserve">where </w:t>
      </w:r>
      <w:r w:rsidR="00536607">
        <w:t xml:space="preserve">higher </w:t>
      </w:r>
      <w:r>
        <w:t xml:space="preserve">scores represent </w:t>
      </w:r>
      <w:r w:rsidR="00536607">
        <w:t>egregious</w:t>
      </w:r>
      <w:r>
        <w:t xml:space="preserve"> infractions.  </w:t>
      </w:r>
      <w:r w:rsidR="00772383">
        <w:t xml:space="preserve">A goal of </w:t>
      </w:r>
      <w:r w:rsidR="00536607">
        <w:t>this</w:t>
      </w:r>
      <w:r w:rsidR="00772383">
        <w:t xml:space="preserve"> research is to predict the score that an organization would receive</w:t>
      </w:r>
      <w:r w:rsidR="00536607">
        <w:t xml:space="preserve"> based on the violation code and related features</w:t>
      </w:r>
      <w:r w:rsidR="00772383">
        <w:t>.  First, the features</w:t>
      </w:r>
      <w:r w:rsidR="00536607">
        <w:t xml:space="preserve"> set</w:t>
      </w:r>
      <w:r w:rsidR="00772383">
        <w:t xml:space="preserve"> </w:t>
      </w:r>
      <w:r w:rsidR="0051745F">
        <w:t>'</w:t>
      </w:r>
      <w:r w:rsidR="00E61229">
        <w:t>Cuisine Description, Critical Flag, Violation Code, Inspection Type</w:t>
      </w:r>
      <w:r w:rsidR="0051745F">
        <w:t>'</w:t>
      </w:r>
      <w:r w:rsidR="00E61229">
        <w:t xml:space="preserve"> </w:t>
      </w:r>
      <w:r w:rsidR="00536607">
        <w:t xml:space="preserve">were </w:t>
      </w:r>
      <w:r w:rsidR="00E61229">
        <w:t>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w:t>
      </w:r>
      <w:r w:rsidR="0051745F">
        <w:t>'</w:t>
      </w:r>
      <w:r w:rsidR="00772383">
        <w:t>s</w:t>
      </w:r>
      <w:proofErr w:type="spellEnd"/>
      <w:r w:rsidR="00772383">
        <w:t xml:space="preserve"> </w:t>
      </w:r>
      <w:r w:rsidR="00E61229">
        <w:t>Logistic Regression</w:t>
      </w:r>
      <w:r w:rsidR="00772383">
        <w:t xml:space="preserve"> algorithm using a 50% split for testing/training data</w:t>
      </w:r>
      <w:r w:rsidR="00E61229">
        <w:t xml:space="preserve">.  </w:t>
      </w:r>
      <w:r w:rsidR="00536607">
        <w:t>This initial experiment</w:t>
      </w:r>
      <w:r w:rsidR="0051745F">
        <w:t>'</w:t>
      </w:r>
      <w:r w:rsidR="0057120F">
        <w:t>s</w:t>
      </w:r>
      <w:r w:rsidR="00536607">
        <w:t xml:space="preserve"> accuracy </w:t>
      </w:r>
      <w:r w:rsidR="0057120F">
        <w:t xml:space="preserve">was </w:t>
      </w:r>
      <w:r w:rsidR="00536607">
        <w:t xml:space="preserve">only </w:t>
      </w:r>
      <w:r w:rsidR="00E61229">
        <w:t>10.8%.  Next</w:t>
      </w:r>
      <w:r w:rsidR="00772383">
        <w:t>,</w:t>
      </w:r>
      <w:r w:rsidR="00E61229">
        <w:t xml:space="preserve"> </w:t>
      </w:r>
      <w:r w:rsidR="00772383">
        <w:t xml:space="preserve">the </w:t>
      </w:r>
      <w:r w:rsidR="00536607">
        <w:t>features</w:t>
      </w:r>
      <w:r w:rsidR="0051745F">
        <w:t xml:space="preserve">' </w:t>
      </w:r>
      <w:r w:rsidR="00E61229">
        <w:t>Borough, Critical Flag, Grade, Violation Code, and Inspection Type</w:t>
      </w:r>
      <w:r w:rsidR="0051745F">
        <w:t>'</w:t>
      </w:r>
      <w:r w:rsidR="00E61229">
        <w:t xml:space="preserve"> </w:t>
      </w:r>
      <w:r w:rsidR="00536607">
        <w:t>were</w:t>
      </w:r>
      <w:r w:rsidR="00772383">
        <w:t xml:space="preserve"> </w:t>
      </w:r>
      <w:r w:rsidR="00E61229">
        <w:t>One Hot Encoded</w:t>
      </w:r>
      <w:r w:rsidR="00772383">
        <w:t xml:space="preserve"> into a 75 x 200730 matrix </w:t>
      </w:r>
      <w:r w:rsidR="00536607">
        <w:t xml:space="preserve">as input into the </w:t>
      </w:r>
      <w:r w:rsidR="00772383">
        <w:t>Decision Tree Regressor algorithm</w:t>
      </w:r>
      <w:r w:rsidR="00536607">
        <w:t xml:space="preserve"> (67.8% accuracy)</w:t>
      </w:r>
      <w:r w:rsidR="00E61229">
        <w:t>.</w:t>
      </w:r>
      <w:r w:rsidR="00772383">
        <w:t xml:space="preserve">  </w:t>
      </w:r>
      <w:r w:rsidR="00536607">
        <w:t>The Multi-Layer Perceptron (</w:t>
      </w:r>
      <w:proofErr w:type="spellStart"/>
      <w:r w:rsidR="006A4445">
        <w:t>MLPRegressor</w:t>
      </w:r>
      <w:proofErr w:type="spellEnd"/>
      <w:r w:rsidR="00536607">
        <w:t>)</w:t>
      </w:r>
      <w:r w:rsidR="006A4445">
        <w:t>, a neural network-based algorithm</w:t>
      </w:r>
      <w:r w:rsidR="0057120F">
        <w:t>,</w:t>
      </w:r>
      <w:r w:rsidR="006A4445">
        <w:t xml:space="preserve"> was </w:t>
      </w:r>
      <w:r w:rsidR="0057120F">
        <w:t xml:space="preserve">measured </w:t>
      </w:r>
      <w:r w:rsidR="006A4445">
        <w:t xml:space="preserve">to have a 64.8% accuracy using the same feature set.  </w:t>
      </w:r>
      <w:r w:rsidR="00E61229">
        <w:t>Next</w:t>
      </w:r>
      <w:r w:rsidR="00772383">
        <w:t>,</w:t>
      </w:r>
      <w:r w:rsidR="00E61229">
        <w:t xml:space="preserve"> a </w:t>
      </w:r>
      <w:r w:rsidR="00E61229" w:rsidRPr="00E61229">
        <w:t>Principal Components Analysis</w:t>
      </w:r>
      <w:r w:rsidR="00E61229">
        <w:t xml:space="preserve"> (PCA) </w:t>
      </w:r>
      <w:r w:rsidR="00772383">
        <w:t xml:space="preserve">was able to reduce the </w:t>
      </w:r>
      <w:r w:rsidR="00536607">
        <w:t xml:space="preserve">features from </w:t>
      </w:r>
      <w:r w:rsidR="0057120F">
        <w:t xml:space="preserve">75 </w:t>
      </w:r>
      <w:r w:rsidR="00536607">
        <w:t xml:space="preserve">to </w:t>
      </w:r>
      <w:r w:rsidR="0057120F">
        <w:t>25</w:t>
      </w:r>
      <w:r w:rsidR="00536607">
        <w:t xml:space="preserve"> while maintaining 95% of the variance</w:t>
      </w:r>
      <w:r w:rsidR="00772383">
        <w:t xml:space="preserve">.  </w:t>
      </w:r>
      <w:r w:rsidR="00536607">
        <w:t>Evaluation of both MLPR and DTR</w:t>
      </w:r>
      <w:r w:rsidR="0051745F">
        <w:t>'</w:t>
      </w:r>
      <w:r w:rsidR="00536607">
        <w:t>s performance shows no change in accuracy</w:t>
      </w:r>
      <w:r w:rsidR="00772383">
        <w:t xml:space="preserve"> though it did speed up the training </w:t>
      </w:r>
      <w:r w:rsidR="00536607">
        <w:t>a noticeable amount</w:t>
      </w:r>
      <w:r w:rsidR="00772383">
        <w:t>.</w:t>
      </w:r>
    </w:p>
    <w:p w14:paraId="71205607" w14:textId="1EB159A7" w:rsidR="00536607" w:rsidRDefault="006A4445" w:rsidP="00EB4939">
      <w:pPr>
        <w:ind w:firstLine="720"/>
      </w:pPr>
      <w:r>
        <w:lastRenderedPageBreak/>
        <w:t xml:space="preserve">Witten (2011) proposes a strategy called binning, which converts </w:t>
      </w:r>
      <w:r w:rsidR="00536607">
        <w:t>a</w:t>
      </w:r>
      <w:r>
        <w:t xml:space="preserve"> regression problem into a classification scenario by making each bin represent a value range.</w:t>
      </w:r>
      <w:r w:rsidR="008F4E82">
        <w:t xml:space="preserve">  </w:t>
      </w:r>
      <w:r w:rsidR="00536607">
        <w:t>The score distribution (see Figure 2) suggests that value range partitions between -5 to 15, 16 to 25, 26 to 50, and 50 to 200—</w:t>
      </w:r>
      <w:r w:rsidR="0051745F">
        <w:t>but</w:t>
      </w:r>
      <w:r w:rsidR="00536607">
        <w:t xml:space="preserve"> the official documentation suggests that steps of 10 between 0 to 100 </w:t>
      </w:r>
      <w:r w:rsidR="00536607">
        <w:rPr>
          <w:i/>
          <w:iCs/>
        </w:rPr>
        <w:t xml:space="preserve">should </w:t>
      </w:r>
      <w:r w:rsidR="00536607">
        <w:t xml:space="preserve">be more accurate.  The disconnect likely comes from erroneous values during the manual data entry.  The </w:t>
      </w:r>
      <w:r w:rsidR="008F4E82">
        <w:t xml:space="preserve">Decision Tree Classifier was able to </w:t>
      </w:r>
      <w:r w:rsidR="00536607">
        <w:t xml:space="preserve">map the features to the </w:t>
      </w:r>
      <w:r w:rsidR="008F4E82">
        <w:t xml:space="preserve">correct bucket with a 93.8% accuracy.  </w:t>
      </w:r>
      <w:r w:rsidR="00EB4939">
        <w:t xml:space="preserve">Additional analysis found that the Grade feature has the </w:t>
      </w:r>
      <w:r w:rsidR="0051745F">
        <w:t>most substantial</w:t>
      </w:r>
      <w:r w:rsidR="00EB4939">
        <w:t xml:space="preserve"> influence</w:t>
      </w:r>
      <w:r w:rsidR="00536607">
        <w:t xml:space="preserve"> (see Figure 3)</w:t>
      </w:r>
      <w:r w:rsidR="00EB4939">
        <w:t>, and its removal decreases the Decision Tree Classifier</w:t>
      </w:r>
      <w:r w:rsidR="0051745F">
        <w:t>'</w:t>
      </w:r>
      <w:r w:rsidR="00EB4939">
        <w:t xml:space="preserve">s accuracy to only 51.7%.  Removing both the Grade and PCA preprocessing increases the One Hot Encoded matrix from 10 to 68 </w:t>
      </w:r>
      <w:r w:rsidR="00536607">
        <w:t xml:space="preserve">features </w:t>
      </w:r>
      <w:r w:rsidR="00EB4939">
        <w:t xml:space="preserve">with a total accuracy of </w:t>
      </w:r>
      <w:r w:rsidR="00396F99">
        <w:t xml:space="preserve">only </w:t>
      </w:r>
      <w:r w:rsidR="00EB4939">
        <w:t xml:space="preserve">0.03%.  This </w:t>
      </w:r>
      <w:r w:rsidR="00536607">
        <w:t>experiment</w:t>
      </w:r>
      <w:r w:rsidR="00EB4939">
        <w:t xml:space="preserve"> suggests that there is insufficient data for this strategy, and the boost from using PCA correlations is critical for the sparse data set.</w:t>
      </w:r>
      <w:r w:rsidR="00536607">
        <w:t xml:space="preserve">  The source code for reproducing these measurements is available in the Appendix section.</w:t>
      </w:r>
    </w:p>
    <w:p w14:paraId="66A1A0B4" w14:textId="69DA273E" w:rsidR="00536607" w:rsidRDefault="00536607" w:rsidP="00EB4939">
      <w:pPr>
        <w:ind w:firstLine="720"/>
      </w:pPr>
      <w:r>
        <w:t xml:space="preserve"> </w:t>
      </w:r>
    </w:p>
    <w:tbl>
      <w:tblPr>
        <w:tblStyle w:val="PlainTable4"/>
        <w:tblW w:w="0" w:type="auto"/>
        <w:tblLook w:val="04A0" w:firstRow="1" w:lastRow="0" w:firstColumn="1" w:lastColumn="0" w:noHBand="0" w:noVBand="1"/>
      </w:tblPr>
      <w:tblGrid>
        <w:gridCol w:w="4598"/>
        <w:gridCol w:w="4762"/>
      </w:tblGrid>
      <w:tr w:rsidR="00536607" w14:paraId="45DC44C8" w14:textId="77777777" w:rsidTr="005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F1ABB" w14:textId="059FA52C" w:rsidR="00536607" w:rsidRDefault="00536607" w:rsidP="00536607">
            <w:pPr>
              <w:pStyle w:val="Caption"/>
            </w:pPr>
            <w:r>
              <w:t xml:space="preserve">Figure </w:t>
            </w:r>
            <w:fldSimple w:instr=" SEQ Figure \* ARABIC ">
              <w:r>
                <w:rPr>
                  <w:noProof/>
                </w:rPr>
                <w:t>2</w:t>
              </w:r>
            </w:fldSimple>
            <w:r>
              <w:t>: Score Distribution</w:t>
            </w:r>
          </w:p>
        </w:tc>
        <w:tc>
          <w:tcPr>
            <w:tcW w:w="4675" w:type="dxa"/>
          </w:tcPr>
          <w:p w14:paraId="7B715524" w14:textId="25FCA254" w:rsidR="00536607" w:rsidRDefault="00536607" w:rsidP="00536607">
            <w:pPr>
              <w:pStyle w:val="Caption"/>
              <w:cnfStyle w:val="100000000000" w:firstRow="1" w:lastRow="0" w:firstColumn="0" w:lastColumn="0" w:oddVBand="0" w:evenVBand="0" w:oddHBand="0" w:evenHBand="0" w:firstRowFirstColumn="0" w:firstRowLastColumn="0" w:lastRowFirstColumn="0" w:lastRowLastColumn="0"/>
              <w:rPr>
                <w:noProof/>
              </w:rPr>
            </w:pPr>
            <w:r>
              <w:t xml:space="preserve">Figure </w:t>
            </w:r>
            <w:fldSimple w:instr=" SEQ Figure \* ARABIC ">
              <w:r>
                <w:rPr>
                  <w:noProof/>
                </w:rPr>
                <w:t>3</w:t>
              </w:r>
            </w:fldSimple>
            <w:r>
              <w:t xml:space="preserve"> Average Score by Grade</w:t>
            </w:r>
          </w:p>
        </w:tc>
      </w:tr>
      <w:tr w:rsidR="00536607" w14:paraId="440B00D8" w14:textId="77777777" w:rsidTr="005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478C7E" w14:textId="02F07167" w:rsidR="00536607" w:rsidRDefault="00536607" w:rsidP="00536607">
            <w:r>
              <w:rPr>
                <w:noProof/>
              </w:rPr>
              <w:drawing>
                <wp:inline distT="0" distB="0" distL="0" distR="0" wp14:anchorId="5D3B2088" wp14:editId="3842B14A">
                  <wp:extent cx="2809875" cy="1717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337" cy="1764820"/>
                          </a:xfrm>
                          <a:prstGeom prst="rect">
                            <a:avLst/>
                          </a:prstGeom>
                        </pic:spPr>
                      </pic:pic>
                    </a:graphicData>
                  </a:graphic>
                </wp:inline>
              </w:drawing>
            </w:r>
          </w:p>
        </w:tc>
        <w:tc>
          <w:tcPr>
            <w:tcW w:w="4675" w:type="dxa"/>
          </w:tcPr>
          <w:p w14:paraId="09E57D77" w14:textId="086DF320" w:rsidR="00536607" w:rsidRDefault="00536607" w:rsidP="0053660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14D682" wp14:editId="0AA7602C">
                  <wp:extent cx="2914650" cy="13106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001" cy="1383213"/>
                          </a:xfrm>
                          <a:prstGeom prst="rect">
                            <a:avLst/>
                          </a:prstGeom>
                        </pic:spPr>
                      </pic:pic>
                    </a:graphicData>
                  </a:graphic>
                </wp:inline>
              </w:drawing>
            </w:r>
          </w:p>
        </w:tc>
      </w:tr>
    </w:tbl>
    <w:p w14:paraId="6EEEA78A" w14:textId="77777777" w:rsidR="00536607" w:rsidRDefault="00536607" w:rsidP="00536607"/>
    <w:p w14:paraId="4880D664" w14:textId="77777777" w:rsidR="0057120F" w:rsidRDefault="0057120F">
      <w:pPr>
        <w:rPr>
          <w:b/>
        </w:rPr>
      </w:pPr>
      <w:r>
        <w:br w:type="page"/>
      </w:r>
    </w:p>
    <w:p w14:paraId="2E7FEAB6" w14:textId="7E6A20FF" w:rsidR="00F63783" w:rsidRDefault="00F63783" w:rsidP="00F63783">
      <w:pPr>
        <w:pStyle w:val="Heading1"/>
      </w:pPr>
      <w:r>
        <w:lastRenderedPageBreak/>
        <w:t>Section II: Analyze the Process</w:t>
      </w:r>
    </w:p>
    <w:p w14:paraId="527ACA98" w14:textId="06320B9C" w:rsidR="009A4F19" w:rsidRDefault="009A4F19" w:rsidP="009A4F19">
      <w:pPr>
        <w:pStyle w:val="Heading2"/>
      </w:pPr>
      <w:r>
        <w:t>How can businesses use data mining</w:t>
      </w:r>
      <w:r w:rsidR="00BE04C0">
        <w:t xml:space="preserve"> </w:t>
      </w:r>
      <w:r w:rsidR="00343142">
        <w:t>with</w:t>
      </w:r>
      <w:r w:rsidR="00BE04C0">
        <w:t xml:space="preserve"> big </w:t>
      </w:r>
      <w:proofErr w:type="gramStart"/>
      <w:r w:rsidR="00BE04C0">
        <w:t>data</w:t>
      </w:r>
      <w:proofErr w:type="gramEnd"/>
    </w:p>
    <w:p w14:paraId="23097CC0" w14:textId="21691792" w:rsidR="00BE04C0" w:rsidRDefault="00BE04C0" w:rsidP="00BE04C0">
      <w:r>
        <w:tab/>
        <w:t xml:space="preserve">Before an organization can operationalize predictive capabilities, they need first to identify the specific questions and </w:t>
      </w:r>
      <w:r w:rsidR="0057120F">
        <w:t xml:space="preserve">which </w:t>
      </w:r>
      <w:r>
        <w:t xml:space="preserve">facts can support their answers.  If the company starts with </w:t>
      </w:r>
      <w:r w:rsidR="00343142">
        <w:t>a</w:t>
      </w:r>
      <w:r>
        <w:t xml:space="preserve"> sea of data, then how will they know these data points are relevant or fully encompass the problem?  For instance, to provide restaurant recommendations requires evidence across different perspectives from the DOHMH to </w:t>
      </w:r>
      <w:proofErr w:type="spellStart"/>
      <w:r>
        <w:t>microbloggers</w:t>
      </w:r>
      <w:proofErr w:type="spellEnd"/>
      <w:r>
        <w:t xml:space="preserve"> (e.g., Twitter and Instagram).  A company that only relies on a single source is bound to encounter distortion and bias </w:t>
      </w:r>
      <w:r w:rsidR="00343142">
        <w:t>across</w:t>
      </w:r>
      <w:r>
        <w:t xml:space="preserve"> </w:t>
      </w:r>
      <w:r w:rsidR="00343142">
        <w:t>its</w:t>
      </w:r>
      <w:r>
        <w:t xml:space="preserve"> results.  While the use of heterogeneous data sources can improve data mining, it also creates specific challenges, such as (1) mapping identifiers between systems, (2) handling inconsistent data schemas, (3) varying data publication cadences, and (4) provider-specific protocols to subscribe for updates.  There are many </w:t>
      </w:r>
      <w:r w:rsidR="00585274">
        <w:t xml:space="preserve">highly reliable data ingestion tools, like Apache Kafka, </w:t>
      </w:r>
      <w:proofErr w:type="spellStart"/>
      <w:r w:rsidR="00585274">
        <w:t>NiFi</w:t>
      </w:r>
      <w:proofErr w:type="spellEnd"/>
      <w:r w:rsidR="00585274">
        <w:t>, and Flume</w:t>
      </w:r>
      <w:r>
        <w:t xml:space="preserve">, </w:t>
      </w:r>
      <w:r w:rsidR="00585274">
        <w:t>to handle these scenarios</w:t>
      </w:r>
      <w:sdt>
        <w:sdtPr>
          <w:id w:val="-161315705"/>
          <w:citation/>
        </w:sdtPr>
        <w:sdtEnd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 xml:space="preserve"> However, the business needs to consider beyond </w:t>
      </w:r>
      <w:r w:rsidR="0057120F">
        <w:t xml:space="preserve">the data landing in the data store </w:t>
      </w:r>
      <w:r>
        <w:t xml:space="preserve">and </w:t>
      </w:r>
      <w:r w:rsidR="00343142">
        <w:t>how best to approach</w:t>
      </w:r>
      <w:r>
        <w:t xml:space="preserve"> their curation strategy.  Perhaps the business </w:t>
      </w:r>
      <w:r w:rsidR="00343142">
        <w:t xml:space="preserve">also </w:t>
      </w:r>
      <w:r>
        <w:t xml:space="preserve">needs Yelp customer reviews and has deployed Flume to load </w:t>
      </w:r>
      <w:r w:rsidR="00343142">
        <w:t>records</w:t>
      </w:r>
      <w:r>
        <w:t xml:space="preserve"> into their data lake</w:t>
      </w:r>
      <w:r w:rsidR="00343142">
        <w:t xml:space="preserve"> solution</w:t>
      </w:r>
      <w:r>
        <w:t xml:space="preserve"> (e.g., Apache Hadoop or Amazon S3).  Until feature extraction, record transformation, and deduplication processes have normalized these raw unstructured results, it can be challenging to analyze these results.  Th</w:t>
      </w:r>
      <w:r w:rsidR="00343142">
        <w:t>is</w:t>
      </w:r>
      <w:r>
        <w:t xml:space="preserve"> initial curation process also provides an opportunity to reduce the volume of records through aggregation (e.g., 1000 records a button click happened, versus a single summation record for the period).</w:t>
      </w:r>
    </w:p>
    <w:p w14:paraId="17D62C08" w14:textId="3AFC2E7A" w:rsidR="00BE04C0" w:rsidRDefault="00BE04C0" w:rsidP="00BE04C0">
      <w:pPr>
        <w:ind w:firstLine="720"/>
      </w:pPr>
      <w:r>
        <w:t xml:space="preserve">After cleaning and curating the ingestion feed, these results need to flow into exploratory programs such as </w:t>
      </w:r>
      <w:r w:rsidR="00E45A39">
        <w:t>Microsoft Excel</w:t>
      </w:r>
      <w:r w:rsidR="0069477C">
        <w:t>,</w:t>
      </w:r>
      <w:r>
        <w:t xml:space="preserve"> OLAP data stores,</w:t>
      </w:r>
      <w:r w:rsidR="0069477C">
        <w:t xml:space="preserve"> Kibana, </w:t>
      </w:r>
      <w:proofErr w:type="spellStart"/>
      <w:r w:rsidR="00E45A39">
        <w:t>Jupyter</w:t>
      </w:r>
      <w:proofErr w:type="spellEnd"/>
      <w:r w:rsidR="00E45A39">
        <w:t xml:space="preserve"> Notebooks</w:t>
      </w:r>
      <w:r>
        <w:t xml:space="preserve">, and R Studio.  These technologies allow the analysis to review the shape and attribute ranges </w:t>
      </w:r>
      <w:r w:rsidR="00343142">
        <w:t xml:space="preserve">while minimizing </w:t>
      </w:r>
      <w:r w:rsidR="00343142">
        <w:lastRenderedPageBreak/>
        <w:t>the time investment</w:t>
      </w:r>
      <w:r>
        <w:t xml:space="preserve">.  Both Witten (2011) and </w:t>
      </w:r>
      <w:proofErr w:type="spellStart"/>
      <w:r>
        <w:t>Snee</w:t>
      </w:r>
      <w:proofErr w:type="spellEnd"/>
      <w:r>
        <w:t xml:space="preserve"> (2015) calls out the criticality of spending this time upfront </w:t>
      </w:r>
      <w:r w:rsidR="00343142">
        <w:t>to</w:t>
      </w:r>
      <w:r>
        <w:t xml:space="preserve"> understanding </w:t>
      </w:r>
      <w:r w:rsidR="0057120F">
        <w:t xml:space="preserve">(1) </w:t>
      </w:r>
      <w:r>
        <w:t xml:space="preserve">what </w:t>
      </w:r>
      <w:r w:rsidR="00343142">
        <w:t xml:space="preserve">each </w:t>
      </w:r>
      <w:r>
        <w:t>attribute means</w:t>
      </w:r>
      <w:r w:rsidR="00343142">
        <w:t xml:space="preserve"> and (2) basic descriptive statistics</w:t>
      </w:r>
      <w:r>
        <w:t>.  As the volume of data increases</w:t>
      </w:r>
      <w:r w:rsidR="00A02B23">
        <w:t>,</w:t>
      </w:r>
      <w:r>
        <w:t xml:space="preserve"> the variety of examples </w:t>
      </w:r>
      <w:r w:rsidR="00A02B23">
        <w:t xml:space="preserve">will also </w:t>
      </w:r>
      <w:r>
        <w:t>grow and lead to more edge cases.</w:t>
      </w:r>
      <w:r w:rsidR="00A02B23">
        <w:t xml:space="preserve">  For instance, the documented range of the DOHMH score is between 0 to 100 though the maximum value is 164.  Identifying and removing these erroneous records needs to happen before analysis, or it will skew the statistical model.  However, </w:t>
      </w:r>
      <w:r w:rsidR="0051745F">
        <w:t>mere</w:t>
      </w:r>
      <w:r w:rsidR="00A02B23">
        <w:t xml:space="preserve">ly truncating results outside of the range can cause </w:t>
      </w:r>
      <w:r w:rsidR="0051745F">
        <w:t>essential</w:t>
      </w:r>
      <w:r w:rsidR="00A02B23">
        <w:t xml:space="preserve"> records to be lost, and there needs to be an investigation into the reason (e.g., missing </w:t>
      </w:r>
      <w:r w:rsidR="0057120F">
        <w:t>use-</w:t>
      </w:r>
      <w:r w:rsidR="00A02B23">
        <w:t>case</w:t>
      </w:r>
      <w:r w:rsidR="0057120F">
        <w:t>s</w:t>
      </w:r>
      <w:r w:rsidR="00A02B23">
        <w:t xml:space="preserve">).  After using the exploration tools to determine the filter rules, concise documentation </w:t>
      </w:r>
      <w:r w:rsidR="0057120F">
        <w:t xml:space="preserve">of those decisions </w:t>
      </w:r>
      <w:r w:rsidR="00A02B23">
        <w:t>needs to exist</w:t>
      </w:r>
      <w:r w:rsidR="0057120F">
        <w:t xml:space="preserve">, so the </w:t>
      </w:r>
      <w:r w:rsidR="00A02B23">
        <w:t xml:space="preserve">analysis </w:t>
      </w:r>
      <w:r w:rsidR="0057120F">
        <w:t xml:space="preserve">is </w:t>
      </w:r>
      <w:r w:rsidR="00A02B23">
        <w:t>reproducible.</w:t>
      </w:r>
    </w:p>
    <w:p w14:paraId="3598B8CD" w14:textId="3CE2B10A" w:rsidR="00A02B23" w:rsidRDefault="00A02B23" w:rsidP="00BE04C0">
      <w:pPr>
        <w:ind w:firstLine="720"/>
      </w:pPr>
      <w:r>
        <w:t xml:space="preserve">Now </w:t>
      </w:r>
      <w:r w:rsidR="00343142">
        <w:t xml:space="preserve">that </w:t>
      </w:r>
      <w:r>
        <w:t>each of the heterogeneous data sources is standardized and erroneous records pruned</w:t>
      </w:r>
      <w:r w:rsidR="00343142">
        <w:t>,</w:t>
      </w:r>
      <w:r>
        <w:t xml:space="preserve"> the organization is ready to begin model training.  This step requires choosing one or more categories of machine learning algorithms (e.g., regression and classification) and measuring its performance.  Many big data scenarios require machine learning pipelines that combine multiple strategies into a final equation</w:t>
      </w:r>
      <w:sdt>
        <w:sdtPr>
          <w:id w:val="456842067"/>
          <w:citation/>
        </w:sdtPr>
        <w:sdtEndPr/>
        <w:sdtContent>
          <w:r>
            <w:fldChar w:fldCharType="begin"/>
          </w:r>
          <w:r>
            <w:instrText xml:space="preserve"> CITATION Gar13 \l 1033 </w:instrText>
          </w:r>
          <w:r>
            <w:fldChar w:fldCharType="separate"/>
          </w:r>
          <w:r>
            <w:rPr>
              <w:noProof/>
            </w:rPr>
            <w:t xml:space="preserve"> (Garreta, 2013)</w:t>
          </w:r>
          <w:r>
            <w:fldChar w:fldCharType="end"/>
          </w:r>
        </w:sdtContent>
      </w:sdt>
      <w:r>
        <w:t xml:space="preserve">.  </w:t>
      </w:r>
      <w:r w:rsidR="00FF230B">
        <w:t xml:space="preserve">A data </w:t>
      </w:r>
      <w:r>
        <w:t xml:space="preserve">pipeline might include steps </w:t>
      </w:r>
      <w:r w:rsidR="00FF230B">
        <w:t xml:space="preserve">to </w:t>
      </w:r>
      <w:r w:rsidR="00AF3D2B">
        <w:t xml:space="preserve">regularize values to </w:t>
      </w:r>
      <w:r w:rsidR="00343142">
        <w:t>improv</w:t>
      </w:r>
      <w:r w:rsidR="00AF3D2B">
        <w:t>e</w:t>
      </w:r>
      <w:r w:rsidR="00343142">
        <w:t xml:space="preserve"> convergence</w:t>
      </w:r>
      <w:r w:rsidR="00AF3D2B">
        <w:t>, then</w:t>
      </w:r>
      <w:r>
        <w:t xml:space="preserve"> </w:t>
      </w:r>
      <w:r w:rsidR="00AF3D2B">
        <w:t xml:space="preserve">reduce dimensions with </w:t>
      </w:r>
      <w:r>
        <w:t>us</w:t>
      </w:r>
      <w:r w:rsidR="00FF230B">
        <w:t>ing</w:t>
      </w:r>
      <w:r>
        <w:t xml:space="preserve"> PCA</w:t>
      </w:r>
      <w:r w:rsidR="00AF3D2B">
        <w:t>,</w:t>
      </w:r>
      <w:r>
        <w:t xml:space="preserve"> and </w:t>
      </w:r>
      <w:r w:rsidR="00AF3D2B">
        <w:t xml:space="preserve">finally </w:t>
      </w:r>
      <w:r>
        <w:t xml:space="preserve">apply Gaussian noise to prevent over-fitting.  Each action within the pipeline has numerous parameters that can influence the accuracy of the results.  Algorithms like </w:t>
      </w:r>
      <w:proofErr w:type="spellStart"/>
      <w:r>
        <w:t>GridSearch</w:t>
      </w:r>
      <w:proofErr w:type="spellEnd"/>
      <w:r>
        <w:t xml:space="preserve"> optimize these scenarios through automated parameter tuning, though the engineers need to be aware of these concepts.</w:t>
      </w:r>
    </w:p>
    <w:p w14:paraId="2B7FAEFB" w14:textId="7AFA1631" w:rsidR="00E45A39" w:rsidRDefault="00A02B23" w:rsidP="00BE04C0">
      <w:pPr>
        <w:ind w:firstLine="720"/>
      </w:pPr>
      <w:r>
        <w:t xml:space="preserve">Finally, data engineers need to bundle the model into an </w:t>
      </w:r>
      <w:r w:rsidR="00E45A39">
        <w:t>Application Programming Interface (API)</w:t>
      </w:r>
      <w:r>
        <w:t xml:space="preserve"> so that it is accessible within the production environment</w:t>
      </w:r>
      <w:r w:rsidR="00E45A39">
        <w:t>.</w:t>
      </w:r>
      <w:r>
        <w:t xml:space="preserve">  One approach is to serialize the model into a </w:t>
      </w:r>
      <w:proofErr w:type="spellStart"/>
      <w:r>
        <w:t>Scikit</w:t>
      </w:r>
      <w:proofErr w:type="spellEnd"/>
      <w:r>
        <w:t xml:space="preserve"> Pickle or Hierarchical Data Format (HDF5) and then deploy it into the cloud using Function as a Service (</w:t>
      </w:r>
      <w:proofErr w:type="spellStart"/>
      <w:r>
        <w:t>FaaS</w:t>
      </w:r>
      <w:proofErr w:type="spellEnd"/>
      <w:r>
        <w:t xml:space="preserve">) technologies (e.g., Amazon Lambda or Azure </w:t>
      </w:r>
      <w:r>
        <w:lastRenderedPageBreak/>
        <w:t xml:space="preserve">Functions).  </w:t>
      </w:r>
      <w:proofErr w:type="spellStart"/>
      <w:r>
        <w:t>FaaS</w:t>
      </w:r>
      <w:proofErr w:type="spellEnd"/>
      <w:r>
        <w:t xml:space="preserve"> solutions are highly economical and instantly scale to enormous workloads, such as integrating with existing streaming technologies and </w:t>
      </w:r>
      <w:r w:rsidR="00343142">
        <w:t>various edge processing scenarios</w:t>
      </w:r>
      <w:r>
        <w:t>.</w:t>
      </w:r>
      <w:r w:rsidR="00D86358">
        <w:t xml:space="preserve">  However, as the number of input features increases (e.g., speech to text and video processing), </w:t>
      </w:r>
      <w:r w:rsidR="003A225D">
        <w:t>commodity</w:t>
      </w:r>
      <w:r w:rsidR="00D86358">
        <w:t xml:space="preserve"> </w:t>
      </w:r>
      <w:proofErr w:type="spellStart"/>
      <w:r w:rsidR="00D86358">
        <w:t>FaaS</w:t>
      </w:r>
      <w:proofErr w:type="spellEnd"/>
      <w:r w:rsidR="00D86358">
        <w:t xml:space="preserve"> technologies </w:t>
      </w:r>
      <w:r w:rsidR="00B03497">
        <w:t xml:space="preserve">become ineffective </w:t>
      </w:r>
      <w:r w:rsidR="00D86358">
        <w:t>for inference</w:t>
      </w:r>
      <w:r w:rsidR="0006708A">
        <w:t>.  Instead,</w:t>
      </w:r>
      <w:r w:rsidR="00D86358">
        <w:t xml:space="preserve"> </w:t>
      </w:r>
      <w:r w:rsidR="00B03497">
        <w:t xml:space="preserve">the use-case needs General Purpose </w:t>
      </w:r>
      <w:r w:rsidR="00D86358">
        <w:t>Graphics Processing Units (</w:t>
      </w:r>
      <w:r w:rsidR="00B03497">
        <w:t>GP</w:t>
      </w:r>
      <w:r w:rsidR="00D86358">
        <w:t>GPU), Field Programmable Gate Arrays (FPGA), or similar Application-specific Integrated Circuits (ASIC)</w:t>
      </w:r>
      <w:r w:rsidR="00343142">
        <w:t xml:space="preserve"> to evaluate the complex equations.</w:t>
      </w:r>
    </w:p>
    <w:p w14:paraId="55B14B22" w14:textId="59CD770B" w:rsidR="009A4F19" w:rsidRDefault="009A4F19" w:rsidP="009A4F19">
      <w:pPr>
        <w:pStyle w:val="Heading2"/>
      </w:pPr>
      <w:r>
        <w:t>What challenges does big data create</w:t>
      </w:r>
    </w:p>
    <w:p w14:paraId="1436015F" w14:textId="0FFAE06E" w:rsidR="009A4F19" w:rsidRDefault="00E45A39">
      <w:r>
        <w:tab/>
        <w:t xml:space="preserve">IoT, Cloud, Mobile, and Big Data (ICBM) increase the complexity to perform these steps as the volume, variety, velocity, and veracity add unique challenges.  For instance, production datasets are commonly several factors of magnitude </w:t>
      </w:r>
      <w:r w:rsidR="0051745F">
        <w:t>more significant</w:t>
      </w:r>
      <w:r>
        <w:t xml:space="preserve"> than the local resources of a single computer.  Users need to either apply a sampling strategy or rely on distributed data stores</w:t>
      </w:r>
      <w:r w:rsidR="00343142">
        <w:t xml:space="preserve"> (e.g., </w:t>
      </w:r>
      <w:r>
        <w:t xml:space="preserve">Azure Data Lake, Amazon DynamoDB, </w:t>
      </w:r>
      <w:r w:rsidR="00343142">
        <w:t xml:space="preserve">and </w:t>
      </w:r>
      <w:r>
        <w:t>Apache Hadoop</w:t>
      </w:r>
      <w:r w:rsidR="00343142">
        <w:t>)</w:t>
      </w:r>
      <w:r>
        <w:t>.  The time required to train a model can also introduce challenges, as it impacts the user</w:t>
      </w:r>
      <w:r w:rsidR="0051745F">
        <w:t>'</w:t>
      </w:r>
      <w:r>
        <w:t>s ability to iterate</w:t>
      </w:r>
      <w:r w:rsidR="00343142">
        <w:t xml:space="preserve"> through experiments</w:t>
      </w:r>
      <w:r>
        <w:t xml:space="preserve">.  Consider the DOHMH </w:t>
      </w:r>
      <w:r w:rsidR="003A225D">
        <w:t xml:space="preserve">168mb </w:t>
      </w:r>
      <w:r>
        <w:t xml:space="preserve">dataset, where applying Logistic Regression took </w:t>
      </w:r>
      <w:r w:rsidR="003A225D">
        <w:t xml:space="preserve">2 to 3 </w:t>
      </w:r>
      <w:r>
        <w:t>minutes to converge</w:t>
      </w:r>
      <w:r w:rsidR="00343142">
        <w:t>, yet many datasets are several terabytes or more</w:t>
      </w:r>
      <w:r>
        <w:t>.</w:t>
      </w:r>
      <w:r w:rsidR="004A164F">
        <w:t xml:space="preserve">  Cloud computing enables instant provisioning of elastic resources, though many instance-based learning algorithms require knowledge about their nearest neighbors to propagate aggregate calculations</w:t>
      </w:r>
      <w:sdt>
        <w:sdtPr>
          <w:id w:val="85046600"/>
          <w:citation/>
        </w:sdtPr>
        <w:sdtEnd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xml:space="preserve">.  This </w:t>
      </w:r>
      <w:r w:rsidR="003A225D">
        <w:t xml:space="preserve">design requirement </w:t>
      </w:r>
      <w:r w:rsidR="004A164F">
        <w:t>limits the scalability of specific training algorithm</w:t>
      </w:r>
      <w:r w:rsidR="003A225D">
        <w:t>s</w:t>
      </w:r>
      <w:r w:rsidR="00514EB0">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3A225D">
        <w:t xml:space="preserve">instead of </w:t>
      </w:r>
      <w:r w:rsidR="004A164F">
        <w:t>more economical horizontally-scaled patterns.</w:t>
      </w:r>
      <w:r w:rsidR="00C84B56">
        <w:t xml:space="preserve"> </w:t>
      </w:r>
      <w:r w:rsidR="004A164F">
        <w:t xml:space="preserve"> </w:t>
      </w:r>
      <w:r w:rsidR="00D67D79">
        <w:t xml:space="preserve">Jassy (2019), </w:t>
      </w:r>
      <w:r w:rsidR="00343142">
        <w:t xml:space="preserve">the </w:t>
      </w:r>
      <w:r w:rsidR="00D67D79">
        <w:t xml:space="preserve">CEO of AWS, recently stated that </w:t>
      </w:r>
      <w:r w:rsidR="0051745F">
        <w:t>"</w:t>
      </w:r>
      <w:r w:rsidR="00D67D79">
        <w:t>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51745F">
        <w:t>"</w:t>
      </w:r>
      <w:r>
        <w:t xml:space="preserve"> </w:t>
      </w:r>
      <w:r w:rsidR="00D67D79">
        <w:t xml:space="preserve">Google is addressing these challenges with custom hardware that runs at the network edge.  By running </w:t>
      </w:r>
      <w:r w:rsidR="00D67D79">
        <w:lastRenderedPageBreak/>
        <w:t xml:space="preserve">machine learning algorithms at the edge, it removes the need to move these massive workloads </w:t>
      </w:r>
      <w:r w:rsidR="003A225D">
        <w:t xml:space="preserve">across the network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r w:rsidR="00B04AD7">
        <w:t>Even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t>
      </w:r>
      <w:r w:rsidR="0051745F">
        <w:t>broad</w:t>
      </w:r>
      <w:r w:rsidR="006A341A">
        <w:t xml:space="preserve"> adoption of micro-blogging (e.g., Twitter) requires data practitioners to both determine context and sentiment within 148 characters.  These concepts are pushing the limits of machine learning algorithms as the </w:t>
      </w:r>
      <w:r w:rsidR="0051745F">
        <w:t>'</w:t>
      </w:r>
      <w:r w:rsidR="006A341A">
        <w:t>exceptions to the rule</w:t>
      </w:r>
      <w:r w:rsidR="0051745F">
        <w:t>'</w:t>
      </w:r>
      <w:r w:rsidR="006A341A">
        <w:t xml:space="preserve"> are becoming the norm.</w:t>
      </w:r>
    </w:p>
    <w:p w14:paraId="61FA4FB4" w14:textId="69227A93" w:rsidR="00E82D08" w:rsidRDefault="009A4F19" w:rsidP="009A4F19">
      <w:pPr>
        <w:pStyle w:val="Heading2"/>
      </w:pPr>
      <w:r>
        <w:t>What non-technical constraints exist</w:t>
      </w:r>
      <w:r w:rsidR="006A341A">
        <w:t xml:space="preserve">  </w:t>
      </w:r>
    </w:p>
    <w:p w14:paraId="36EE6FE1" w14:textId="61822A25" w:rsidR="00827979" w:rsidRDefault="003C1A16">
      <w:r>
        <w:tab/>
        <w:t xml:space="preserve">Along with technical challenges, concerns exist around </w:t>
      </w:r>
      <w:r w:rsidR="00343142">
        <w:t xml:space="preserve">(1) </w:t>
      </w:r>
      <w:r>
        <w:t>the security and privacy of user</w:t>
      </w:r>
      <w:r w:rsidR="0051745F">
        <w:t>'</w:t>
      </w:r>
      <w:r>
        <w:t xml:space="preserve">s data </w:t>
      </w:r>
      <w:r w:rsidR="00343142">
        <w:t xml:space="preserve">and (2) </w:t>
      </w:r>
      <w:r>
        <w:t>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End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End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xml:space="preserve">.  Countless other instances also exist </w:t>
      </w:r>
      <w:r w:rsidR="00343142">
        <w:t>that introduced</w:t>
      </w:r>
      <w:r w:rsidR="006B09FB">
        <w:t xml:space="preserv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w:t>
      </w:r>
      <w:r w:rsidR="006B09FB">
        <w:lastRenderedPageBreak/>
        <w:t>create both technical and procedural needs, like encrypting data at rest and in transit</w:t>
      </w:r>
      <w:r w:rsidR="00343142">
        <w:t xml:space="preserve"> and</w:t>
      </w:r>
      <w:r w:rsidR="003E6A58">
        <w:t xml:space="preserve"> </w:t>
      </w:r>
      <w:r w:rsidR="006B09FB">
        <w:t>limit</w:t>
      </w:r>
      <w:r w:rsidR="003E6A58">
        <w:t>ing</w:t>
      </w:r>
      <w:r w:rsidR="006B09FB">
        <w:t xml:space="preserve"> access to many </w:t>
      </w:r>
      <w:r w:rsidR="0051745F">
        <w:t>exotic</w:t>
      </w:r>
      <w:r w:rsidR="003E6A58">
        <w:t xml:space="preserve"> </w:t>
      </w:r>
      <w:r w:rsidR="006B09FB">
        <w:t xml:space="preserve">big data </w:t>
      </w:r>
      <w:r w:rsidR="003E6A58">
        <w:t xml:space="preserve">sets </w:t>
      </w:r>
      <w:r w:rsidR="006B09FB">
        <w:t xml:space="preserve">despite their high-value potential to research. </w:t>
      </w:r>
    </w:p>
    <w:p w14:paraId="5997B9B6" w14:textId="77777777" w:rsidR="00827979" w:rsidRDefault="00827979">
      <w:r>
        <w:br w:type="page"/>
      </w:r>
    </w:p>
    <w:bookmarkStart w:id="0" w:name="_GoBack" w:displacedByCustomXml="next"/>
    <w:bookmarkEnd w:id="0" w:displacedByCustomXml="next"/>
    <w:sdt>
      <w:sdtPr>
        <w:rPr>
          <w:b/>
        </w:rPr>
        <w:id w:val="-895273626"/>
        <w:docPartObj>
          <w:docPartGallery w:val="Bibliographies"/>
          <w:docPartUnique/>
        </w:docPartObj>
      </w:sdtPr>
      <w:sdtEndPr/>
      <w:sdtContent>
        <w:p w14:paraId="22716FE4" w14:textId="1CDAB1FF" w:rsidR="00A40DC8" w:rsidRPr="003A225D" w:rsidRDefault="00A40DC8" w:rsidP="003A225D">
          <w:pPr>
            <w:jc w:val="center"/>
          </w:pPr>
          <w:r w:rsidRPr="003A225D">
            <w:t>References</w:t>
          </w:r>
        </w:p>
        <w:sdt>
          <w:sdtPr>
            <w:rPr>
              <w:b/>
            </w:rPr>
            <w:id w:val="-573587230"/>
            <w:bibliography/>
          </w:sdtPr>
          <w:sdtEndPr/>
          <w:sdtContent>
            <w:p w14:paraId="249D743A" w14:textId="7BBDC813" w:rsidR="00A40DC8" w:rsidRDefault="00A40DC8" w:rsidP="00A40DC8">
              <w:pPr>
                <w:pStyle w:val="Bibliography"/>
                <w:ind w:left="720" w:hanging="720"/>
                <w:rPr>
                  <w:noProof/>
                </w:rPr>
              </w:pPr>
              <w:r>
                <w:fldChar w:fldCharType="begin"/>
              </w:r>
              <w:r>
                <w:instrText xml:space="preserve"> BIBLIOGRAPHY </w:instrText>
              </w:r>
              <w:r>
                <w:fldChar w:fldCharType="separate"/>
              </w:r>
              <w:r>
                <w:rPr>
                  <w:noProof/>
                </w:rPr>
                <w:t>DOHMH. (2020, February 15</w:t>
              </w:r>
              <w:r w:rsidR="0051745F">
                <w:rPr>
                  <w:noProof/>
                </w:rPr>
                <w:t>th</w:t>
              </w:r>
              <w:r>
                <w:rPr>
                  <w:noProof/>
                </w:rPr>
                <w:t xml:space="preserve">). </w:t>
              </w:r>
              <w:r>
                <w:rPr>
                  <w:i/>
                  <w:iCs/>
                  <w:noProof/>
                </w:rPr>
                <w:t>DOHMH New York City Restaurant Inspection Results</w:t>
              </w:r>
              <w:r>
                <w:rPr>
                  <w:noProof/>
                </w:rPr>
                <w:t>. Retrieved from NYC OpenData: https://data.cityofnewyork.us/Health/DOHMH-New-York-City-Restaurant-Inspection-Results/43nn-pn8j</w:t>
              </w:r>
            </w:p>
            <w:p w14:paraId="47809C54" w14:textId="77777777" w:rsidR="00A40DC8" w:rsidRDefault="00A40DC8" w:rsidP="00A40DC8">
              <w:pPr>
                <w:pStyle w:val="Bibliography"/>
                <w:ind w:left="720" w:hanging="720"/>
                <w:rPr>
                  <w:noProof/>
                </w:rPr>
              </w:pPr>
              <w:r>
                <w:rPr>
                  <w:noProof/>
                </w:rPr>
                <w:t xml:space="preserve">FTC. (2020, January). </w:t>
              </w:r>
              <w:r>
                <w:rPr>
                  <w:i/>
                  <w:iCs/>
                  <w:noProof/>
                </w:rPr>
                <w:t>Equifax Data Breach Settlement</w:t>
              </w:r>
              <w:r>
                <w:rPr>
                  <w:noProof/>
                </w:rPr>
                <w:t>. Retrieved from Federal Trade Commission: https://www.ftc.gov/enforcement/cases-proceedings/refunds/equifax-data-breach-settlement</w:t>
              </w:r>
            </w:p>
            <w:p w14:paraId="2BFA1264" w14:textId="77777777" w:rsidR="00A40DC8" w:rsidRDefault="00A40DC8" w:rsidP="00A40DC8">
              <w:pPr>
                <w:pStyle w:val="Bibliography"/>
                <w:ind w:left="720" w:hanging="720"/>
                <w:rPr>
                  <w:noProof/>
                </w:rPr>
              </w:pPr>
              <w:r>
                <w:rPr>
                  <w:noProof/>
                </w:rPr>
                <w:t xml:space="preserve">Garreta, R. (2013). </w:t>
              </w:r>
              <w:r>
                <w:rPr>
                  <w:i/>
                  <w:iCs/>
                  <w:noProof/>
                </w:rPr>
                <w:t>Learning scikit-learn: Machine Learning in Python.</w:t>
              </w:r>
              <w:r>
                <w:rPr>
                  <w:noProof/>
                </w:rPr>
                <w:t xml:space="preserve"> Birmingham: Packt Publishing.</w:t>
              </w:r>
            </w:p>
            <w:p w14:paraId="33A051EF" w14:textId="3AB173B1" w:rsidR="00A40DC8" w:rsidRDefault="00A40DC8" w:rsidP="00A40DC8">
              <w:pPr>
                <w:pStyle w:val="Bibliography"/>
                <w:ind w:left="720" w:hanging="720"/>
                <w:rPr>
                  <w:noProof/>
                </w:rPr>
              </w:pPr>
              <w:r>
                <w:rPr>
                  <w:noProof/>
                </w:rPr>
                <w:t>Jassy, A. (2019, December 3</w:t>
              </w:r>
              <w:r w:rsidR="0051745F">
                <w:rPr>
                  <w:noProof/>
                </w:rPr>
                <w:t>rd</w:t>
              </w:r>
              <w:r>
                <w:rPr>
                  <w:noProof/>
                </w:rPr>
                <w:t xml:space="preserve">). </w:t>
              </w:r>
              <w:r>
                <w:rPr>
                  <w:i/>
                  <w:iCs/>
                  <w:noProof/>
                </w:rPr>
                <w:t>AWS re:Invent 2019 - Keynote with Andy Jassy</w:t>
              </w:r>
              <w:r>
                <w:rPr>
                  <w:noProof/>
                </w:rPr>
                <w:t>. Retrieved from YouTube: https://www.youtube.com/watch?v=7-31KgImGgU</w:t>
              </w:r>
            </w:p>
            <w:p w14:paraId="2873FBDE" w14:textId="77777777" w:rsidR="00A40DC8" w:rsidRDefault="00A40DC8" w:rsidP="00A40DC8">
              <w:pPr>
                <w:pStyle w:val="Bibliography"/>
                <w:ind w:left="720" w:hanging="720"/>
                <w:rPr>
                  <w:noProof/>
                </w:rPr>
              </w:pPr>
              <w:r>
                <w:rPr>
                  <w:noProof/>
                </w:rPr>
                <w:t xml:space="preserve">Matacuta, A., &amp; Popa, C. (2018). Big Data Analytics: Analysis of Features and Performance of Big Data Ingestion Tools. </w:t>
              </w:r>
              <w:r>
                <w:rPr>
                  <w:i/>
                  <w:iCs/>
                  <w:noProof/>
                </w:rPr>
                <w:t>Informatica Economică Volume 22, Number 2</w:t>
              </w:r>
              <w:r>
                <w:rPr>
                  <w:noProof/>
                </w:rPr>
                <w:t>, 25-33.</w:t>
              </w:r>
            </w:p>
            <w:p w14:paraId="0492366A" w14:textId="44B031A1" w:rsidR="00A40DC8" w:rsidRDefault="00A40DC8" w:rsidP="00A40DC8">
              <w:pPr>
                <w:pStyle w:val="Bibliography"/>
                <w:ind w:left="720" w:hanging="720"/>
                <w:rPr>
                  <w:noProof/>
                </w:rPr>
              </w:pPr>
              <w:r>
                <w:rPr>
                  <w:noProof/>
                </w:rPr>
                <w:t>Media Buzz. (2018, April 12</w:t>
              </w:r>
              <w:r w:rsidR="0051745F">
                <w:rPr>
                  <w:noProof/>
                </w:rPr>
                <w:t>th</w:t>
              </w:r>
              <w:r>
                <w:rPr>
                  <w:noProof/>
                </w:rPr>
                <w:t xml:space="preserve">). </w:t>
              </w:r>
              <w:r>
                <w:rPr>
                  <w:i/>
                  <w:iCs/>
                  <w:noProof/>
                </w:rPr>
                <w:t>Mark Zuckerberg Full Testimony at Senate Hearing On Facebook Data Breach</w:t>
              </w:r>
              <w:r>
                <w:rPr>
                  <w:noProof/>
                </w:rPr>
                <w:t>. Retrieved from YouTube: https://youtu.be/rVfrITX3NfI</w:t>
              </w:r>
            </w:p>
            <w:p w14:paraId="783E2DE9" w14:textId="366CCFA5" w:rsidR="00A40DC8" w:rsidRDefault="00A40DC8" w:rsidP="00A40DC8">
              <w:pPr>
                <w:pStyle w:val="Bibliography"/>
                <w:ind w:left="720" w:hanging="720"/>
                <w:rPr>
                  <w:noProof/>
                </w:rPr>
              </w:pPr>
              <w:r>
                <w:rPr>
                  <w:noProof/>
                </w:rPr>
                <w:t>NYC Health. (2020, February 15</w:t>
              </w:r>
              <w:r w:rsidR="0051745F">
                <w:rPr>
                  <w:noProof/>
                </w:rPr>
                <w:t>th</w:t>
              </w:r>
              <w:r>
                <w:rPr>
                  <w:noProof/>
                </w:rPr>
                <w:t xml:space="preserve">). </w:t>
              </w:r>
              <w:r>
                <w:rPr>
                  <w:i/>
                  <w:iCs/>
                  <w:noProof/>
                </w:rPr>
                <w:t>ABCEats-Restaurants</w:t>
              </w:r>
              <w:r>
                <w:rPr>
                  <w:noProof/>
                </w:rPr>
                <w:t>. Retrieved from NYC Health: https://a816-health.nyc.gov/ABCEatsRestaurants/#/faq</w:t>
              </w:r>
            </w:p>
            <w:p w14:paraId="047446B3" w14:textId="79D8DAEF" w:rsidR="00A40DC8" w:rsidRDefault="00A40DC8" w:rsidP="00A40DC8">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D80FC0">
                <w:rPr>
                  <w:i/>
                  <w:iCs/>
                  <w:noProof/>
                </w:rPr>
                <w:t>,</w:t>
              </w:r>
              <w:r>
                <w:rPr>
                  <w:i/>
                  <w:iCs/>
                  <w:noProof/>
                </w:rPr>
                <w:t xml:space="preserve"> Volume 27</w:t>
              </w:r>
              <w:r>
                <w:rPr>
                  <w:noProof/>
                </w:rPr>
                <w:t>, 477-487.</w:t>
              </w:r>
            </w:p>
            <w:p w14:paraId="7BC8E8A9" w14:textId="77777777" w:rsidR="00A40DC8" w:rsidRDefault="00A40DC8" w:rsidP="00A40DC8">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65929EF7" w14:textId="77777777" w:rsidR="00A40DC8" w:rsidRDefault="00A40DC8" w:rsidP="00A40DC8">
              <w:pPr>
                <w:pStyle w:val="Bibliography"/>
                <w:ind w:left="720" w:hanging="720"/>
                <w:rPr>
                  <w:noProof/>
                </w:rPr>
              </w:pPr>
              <w:r>
                <w:rPr>
                  <w:noProof/>
                </w:rPr>
                <w:t xml:space="preserve">Witten, I. (2011). </w:t>
              </w:r>
              <w:r>
                <w:rPr>
                  <w:i/>
                  <w:iCs/>
                  <w:noProof/>
                </w:rPr>
                <w:t>Data Mining: Practical Machine Learning Tools and Techniques, 3rd Edition.</w:t>
              </w:r>
              <w:r>
                <w:rPr>
                  <w:noProof/>
                </w:rPr>
                <w:t xml:space="preserve"> Amsterdam: Morgan Kaufmann.</w:t>
              </w:r>
            </w:p>
            <w:p w14:paraId="10972A9F" w14:textId="6A0D1C8C" w:rsidR="00E82D08" w:rsidRDefault="00A40DC8" w:rsidP="00A40DC8">
              <w:pPr>
                <w:pStyle w:val="Heading1"/>
              </w:pPr>
              <w:r>
                <w:rPr>
                  <w:bCs/>
                  <w:noProof/>
                </w:rPr>
                <w:lastRenderedPageBreak/>
                <w:fldChar w:fldCharType="end"/>
              </w:r>
              <w:r w:rsidR="00E82D08">
                <w:t>Appendix: Python Code</w:t>
              </w:r>
            </w:p>
          </w:sdtContent>
        </w:sdt>
      </w:sdtContent>
    </w:sdt>
    <w:p w14:paraId="65D663A6" w14:textId="09EFF0BC" w:rsidR="00812676" w:rsidRPr="00812676" w:rsidRDefault="00812676" w:rsidP="00812676">
      <w:r>
        <w:t xml:space="preserve"> </w:t>
      </w:r>
    </w:p>
    <w:p w14:paraId="29F66C8F" w14:textId="62AFDEAF"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0CB684D6" w14:textId="7AF0CF3D"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(c) Nate Bachmeier – 2020.02.16</w:t>
      </w:r>
    </w:p>
    <w:p w14:paraId="46527C6A" w14:textId="137BF374"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TIM-8130 Data Mining</w:t>
      </w:r>
    </w:p>
    <w:p w14:paraId="15375E0B" w14:textId="14DFAD75"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North Central University (NCU </w:t>
      </w:r>
      <w:proofErr w:type="spellStart"/>
      <w:r>
        <w:rPr>
          <w:rFonts w:ascii="Consolas" w:eastAsia="Times New Roman" w:hAnsi="Consolas"/>
          <w:color w:val="6A9955"/>
          <w:sz w:val="21"/>
          <w:szCs w:val="21"/>
        </w:rPr>
        <w:t>Phd</w:t>
      </w:r>
      <w:proofErr w:type="spellEnd"/>
      <w:r>
        <w:rPr>
          <w:rFonts w:ascii="Consolas" w:eastAsia="Times New Roman" w:hAnsi="Consolas"/>
          <w:color w:val="6A9955"/>
          <w:sz w:val="21"/>
          <w:szCs w:val="21"/>
        </w:rPr>
        <w:t xml:space="preserve"> CS)</w:t>
      </w:r>
    </w:p>
    <w:p w14:paraId="11425C74" w14:textId="0FFEBFB6"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3B0D5E51"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00E021A5" w14:textId="54F3169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13A5092"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68DA6DF4" w14:textId="6DF1684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lastRenderedPageBreak/>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63F9C" w14:textId="77777777" w:rsidR="00CE31E8" w:rsidRDefault="00CE31E8" w:rsidP="0082223F">
      <w:pPr>
        <w:spacing w:line="240" w:lineRule="auto"/>
      </w:pPr>
      <w:r>
        <w:separator/>
      </w:r>
    </w:p>
  </w:endnote>
  <w:endnote w:type="continuationSeparator" w:id="0">
    <w:p w14:paraId="6B69E13F" w14:textId="77777777" w:rsidR="00CE31E8" w:rsidRDefault="00CE31E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99328" w14:textId="77777777" w:rsidR="00CE31E8" w:rsidRDefault="00CE31E8" w:rsidP="0082223F">
      <w:pPr>
        <w:spacing w:line="240" w:lineRule="auto"/>
      </w:pPr>
      <w:r>
        <w:separator/>
      </w:r>
    </w:p>
  </w:footnote>
  <w:footnote w:type="continuationSeparator" w:id="0">
    <w:p w14:paraId="25B9675B" w14:textId="77777777" w:rsidR="00CE31E8" w:rsidRDefault="00CE31E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370B8"/>
    <w:rsid w:val="00062331"/>
    <w:rsid w:val="0006708A"/>
    <w:rsid w:val="00110E4E"/>
    <w:rsid w:val="00183597"/>
    <w:rsid w:val="00231FE8"/>
    <w:rsid w:val="00242107"/>
    <w:rsid w:val="002806B7"/>
    <w:rsid w:val="00306266"/>
    <w:rsid w:val="00343142"/>
    <w:rsid w:val="00396F99"/>
    <w:rsid w:val="003A225D"/>
    <w:rsid w:val="003A65D3"/>
    <w:rsid w:val="003C1A16"/>
    <w:rsid w:val="003E6A58"/>
    <w:rsid w:val="003F4714"/>
    <w:rsid w:val="00401D65"/>
    <w:rsid w:val="004223E8"/>
    <w:rsid w:val="00426C04"/>
    <w:rsid w:val="004A164F"/>
    <w:rsid w:val="004A784B"/>
    <w:rsid w:val="00512646"/>
    <w:rsid w:val="00514EB0"/>
    <w:rsid w:val="0051745F"/>
    <w:rsid w:val="00536607"/>
    <w:rsid w:val="0057120F"/>
    <w:rsid w:val="00585274"/>
    <w:rsid w:val="005923BC"/>
    <w:rsid w:val="00601C4E"/>
    <w:rsid w:val="00616423"/>
    <w:rsid w:val="0069477C"/>
    <w:rsid w:val="006A341A"/>
    <w:rsid w:val="006A4445"/>
    <w:rsid w:val="006B09FB"/>
    <w:rsid w:val="00724CD3"/>
    <w:rsid w:val="0073677D"/>
    <w:rsid w:val="00772383"/>
    <w:rsid w:val="0079523E"/>
    <w:rsid w:val="007C4880"/>
    <w:rsid w:val="00812676"/>
    <w:rsid w:val="00817E59"/>
    <w:rsid w:val="0082223F"/>
    <w:rsid w:val="00827979"/>
    <w:rsid w:val="008B5129"/>
    <w:rsid w:val="008D2E3B"/>
    <w:rsid w:val="008F4E82"/>
    <w:rsid w:val="00903C51"/>
    <w:rsid w:val="009A4F19"/>
    <w:rsid w:val="009A757D"/>
    <w:rsid w:val="00A02B23"/>
    <w:rsid w:val="00A40DC8"/>
    <w:rsid w:val="00A677F8"/>
    <w:rsid w:val="00AF3D2B"/>
    <w:rsid w:val="00B03497"/>
    <w:rsid w:val="00B04AD7"/>
    <w:rsid w:val="00B579F1"/>
    <w:rsid w:val="00B94D7E"/>
    <w:rsid w:val="00BE04C0"/>
    <w:rsid w:val="00C36854"/>
    <w:rsid w:val="00C73692"/>
    <w:rsid w:val="00C84B56"/>
    <w:rsid w:val="00C93BB7"/>
    <w:rsid w:val="00CB25E9"/>
    <w:rsid w:val="00CE31E8"/>
    <w:rsid w:val="00D67D79"/>
    <w:rsid w:val="00D80FC0"/>
    <w:rsid w:val="00D86358"/>
    <w:rsid w:val="00DE2224"/>
    <w:rsid w:val="00E45A39"/>
    <w:rsid w:val="00E61229"/>
    <w:rsid w:val="00E82D08"/>
    <w:rsid w:val="00E94F9C"/>
    <w:rsid w:val="00EB4939"/>
    <w:rsid w:val="00F462B4"/>
    <w:rsid w:val="00F63783"/>
    <w:rsid w:val="00F82261"/>
    <w:rsid w:val="00FF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40DC8"/>
  </w:style>
  <w:style w:type="table" w:styleId="PlainTable4">
    <w:name w:val="Plain Table 4"/>
    <w:basedOn w:val="TableNormal"/>
    <w:uiPriority w:val="44"/>
    <w:rsid w:val="0053660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4793">
      <w:bodyDiv w:val="1"/>
      <w:marLeft w:val="0"/>
      <w:marRight w:val="0"/>
      <w:marTop w:val="0"/>
      <w:marBottom w:val="0"/>
      <w:divBdr>
        <w:top w:val="none" w:sz="0" w:space="0" w:color="auto"/>
        <w:left w:val="none" w:sz="0" w:space="0" w:color="auto"/>
        <w:bottom w:val="none" w:sz="0" w:space="0" w:color="auto"/>
        <w:right w:val="none" w:sz="0" w:space="0" w:color="auto"/>
      </w:divBdr>
    </w:div>
    <w:div w:id="202837335">
      <w:bodyDiv w:val="1"/>
      <w:marLeft w:val="0"/>
      <w:marRight w:val="0"/>
      <w:marTop w:val="0"/>
      <w:marBottom w:val="0"/>
      <w:divBdr>
        <w:top w:val="none" w:sz="0" w:space="0" w:color="auto"/>
        <w:left w:val="none" w:sz="0" w:space="0" w:color="auto"/>
        <w:bottom w:val="none" w:sz="0" w:space="0" w:color="auto"/>
        <w:right w:val="none" w:sz="0" w:space="0" w:color="auto"/>
      </w:divBdr>
    </w:div>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051564938">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7</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3</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5</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6</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4</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7BCE8E8A-936A-47DE-9443-A5279195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12</Pages>
  <Words>2418</Words>
  <Characters>15070</Characters>
  <Application>Microsoft Office Word</Application>
  <DocSecurity>0</DocSecurity>
  <Lines>334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2020-03-29T17:20:00Z</dcterms:modified>
</cp:coreProperties>
</file>