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3376A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69A46112" w:rsidR="00DD0459"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this invalid action could result in a model that provides excessive confidence through overfitting and does not make reliable predictions in practice.</w:t>
      </w:r>
    </w:p>
    <w:p w14:paraId="622CE241" w14:textId="036B1155" w:rsidR="00DD0459" w:rsidRDefault="00DD0459" w:rsidP="00786D6D">
      <w:r>
        <w:lastRenderedPageBreak/>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accurately predicts the target value.</w:t>
      </w:r>
      <w:bookmarkStart w:id="0" w:name="_GoBack"/>
      <w:bookmarkEnd w:id="0"/>
      <w:r w:rsidR="00B41DC5">
        <w:t xml:space="preserve"> </w:t>
      </w:r>
    </w:p>
    <w:p w14:paraId="1866514B"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073A" w14:textId="77777777" w:rsidR="003376AA" w:rsidRDefault="003376AA" w:rsidP="0082223F">
      <w:pPr>
        <w:spacing w:line="240" w:lineRule="auto"/>
      </w:pPr>
      <w:r>
        <w:separator/>
      </w:r>
    </w:p>
  </w:endnote>
  <w:endnote w:type="continuationSeparator" w:id="0">
    <w:p w14:paraId="56D71F12" w14:textId="77777777" w:rsidR="003376AA" w:rsidRDefault="003376A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769E7" w14:textId="77777777" w:rsidR="003376AA" w:rsidRDefault="003376AA" w:rsidP="0082223F">
      <w:pPr>
        <w:spacing w:line="240" w:lineRule="auto"/>
      </w:pPr>
      <w:r>
        <w:separator/>
      </w:r>
    </w:p>
  </w:footnote>
  <w:footnote w:type="continuationSeparator" w:id="0">
    <w:p w14:paraId="6B4F48A5" w14:textId="77777777" w:rsidR="003376AA" w:rsidRDefault="003376A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1E8"/>
    <w:rsid w:val="000E3731"/>
    <w:rsid w:val="00183597"/>
    <w:rsid w:val="002806B7"/>
    <w:rsid w:val="002B3A75"/>
    <w:rsid w:val="003376AA"/>
    <w:rsid w:val="003F4714"/>
    <w:rsid w:val="00401D65"/>
    <w:rsid w:val="004223E8"/>
    <w:rsid w:val="004A784B"/>
    <w:rsid w:val="004D0243"/>
    <w:rsid w:val="004D2200"/>
    <w:rsid w:val="005E683B"/>
    <w:rsid w:val="006B1C31"/>
    <w:rsid w:val="0072121A"/>
    <w:rsid w:val="0073677D"/>
    <w:rsid w:val="00740BF8"/>
    <w:rsid w:val="00786D6D"/>
    <w:rsid w:val="008007F2"/>
    <w:rsid w:val="0082223F"/>
    <w:rsid w:val="008B5129"/>
    <w:rsid w:val="009A757D"/>
    <w:rsid w:val="00AE19FC"/>
    <w:rsid w:val="00AE2456"/>
    <w:rsid w:val="00B33DA4"/>
    <w:rsid w:val="00B41DC5"/>
    <w:rsid w:val="00C14AC9"/>
    <w:rsid w:val="00C73692"/>
    <w:rsid w:val="00C93BB7"/>
    <w:rsid w:val="00CB25E9"/>
    <w:rsid w:val="00D57D25"/>
    <w:rsid w:val="00D85D48"/>
    <w:rsid w:val="00DB3BAA"/>
    <w:rsid w:val="00DD0459"/>
    <w:rsid w:val="00DE2224"/>
    <w:rsid w:val="00E162D8"/>
    <w:rsid w:val="00E43C04"/>
    <w:rsid w:val="00EE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s>
</file>

<file path=customXml/itemProps1.xml><?xml version="1.0" encoding="utf-8"?>
<ds:datastoreItem xmlns:ds="http://schemas.openxmlformats.org/officeDocument/2006/customXml" ds:itemID="{7CC05B51-7A58-4909-B11D-9804C325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2020-02-22T19:50:00Z</dcterms:modified>
</cp:coreProperties>
</file>