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607F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CB25E9">
      <w:pPr>
        <w:pStyle w:val="Title"/>
      </w:pPr>
      <w:r>
        <w:lastRenderedPageBreak/>
        <w:t>Imagine Boston 2030</w:t>
      </w:r>
    </w:p>
    <w:p w14:paraId="6B1723ED" w14:textId="30D3673E" w:rsidR="00237346" w:rsidRDefault="00237346" w:rsidP="00237346">
      <w:r>
        <w:tab/>
        <w:t>As the city of Boston continues to grow, the Mayor has recognized that not all citizens are equally gaining those rewards.  The dichotomy of the metropolitan area has led to distinct clusters, disproportionally filled with wealth or crime.  Nearly one in five residents live in poverty and does not have a path to improve their situation.  Instead, Walsh asks the community to imagine a different Boston, one that within a generation creates access to affordable housing, regulates climate change, and 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xml:space="preserve">.  This transformational process not only raise the standard of life for Bostonians,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1355B5">
        <w:t>January 2000 to present</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w:t>
      </w:r>
      <w:proofErr w:type="gramStart"/>
      <w:r w:rsidR="001355B5">
        <w:t>paycheck, and</w:t>
      </w:r>
      <w:proofErr w:type="gramEnd"/>
      <w:r w:rsidR="001355B5">
        <w:t xml:space="preserve"> quantifies it through the ratio of wages to housing costs.</w:t>
      </w:r>
      <w:r w:rsidR="00B97FCF">
        <w:t xml:space="preserve">  According to their chart, the ratio has held steady for low-income residents between 45-50% since 2000.  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w:t>
      </w:r>
      <w:r w:rsidR="00CF0B7C">
        <w:t xml:space="preserve">  These human problems need solutions, but what moves the needle the most in the least amount of time? Merely writing a blanket check or applying broad policy can be ineffective without addressing the crux of the issue.</w:t>
      </w:r>
    </w:p>
    <w:p w14:paraId="07C81C25" w14:textId="77777777" w:rsidR="00CF0B7C" w:rsidRPr="00237346" w:rsidRDefault="00CF0B7C" w:rsidP="00237346">
      <w:bookmarkStart w:id="0" w:name="_GoBack"/>
      <w:bookmarkEnd w:id="0"/>
    </w:p>
    <w:sectPr w:rsidR="00CF0B7C" w:rsidRPr="0023734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21A30" w14:textId="77777777" w:rsidR="008607F4" w:rsidRDefault="008607F4" w:rsidP="0082223F">
      <w:pPr>
        <w:spacing w:line="240" w:lineRule="auto"/>
      </w:pPr>
      <w:r>
        <w:separator/>
      </w:r>
    </w:p>
  </w:endnote>
  <w:endnote w:type="continuationSeparator" w:id="0">
    <w:p w14:paraId="383039F2" w14:textId="77777777" w:rsidR="008607F4" w:rsidRDefault="008607F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82377" w14:textId="77777777" w:rsidR="008607F4" w:rsidRDefault="008607F4" w:rsidP="0082223F">
      <w:pPr>
        <w:spacing w:line="240" w:lineRule="auto"/>
      </w:pPr>
      <w:r>
        <w:separator/>
      </w:r>
    </w:p>
  </w:footnote>
  <w:footnote w:type="continuationSeparator" w:id="0">
    <w:p w14:paraId="77129DA5" w14:textId="77777777" w:rsidR="008607F4" w:rsidRDefault="008607F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355B5"/>
    <w:rsid w:val="00183597"/>
    <w:rsid w:val="00237346"/>
    <w:rsid w:val="00251CE0"/>
    <w:rsid w:val="002806B7"/>
    <w:rsid w:val="003F4714"/>
    <w:rsid w:val="00401D65"/>
    <w:rsid w:val="004223E8"/>
    <w:rsid w:val="004A784B"/>
    <w:rsid w:val="0073677D"/>
    <w:rsid w:val="0082223F"/>
    <w:rsid w:val="008607F4"/>
    <w:rsid w:val="008B5129"/>
    <w:rsid w:val="009A757D"/>
    <w:rsid w:val="00B97FCF"/>
    <w:rsid w:val="00C73692"/>
    <w:rsid w:val="00C93BB7"/>
    <w:rsid w:val="00CB25E9"/>
    <w:rsid w:val="00CF0B7C"/>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2</b:RefOrder>
  </b:Source>
</b:Sources>
</file>

<file path=customXml/itemProps1.xml><?xml version="1.0" encoding="utf-8"?>
<ds:datastoreItem xmlns:ds="http://schemas.openxmlformats.org/officeDocument/2006/customXml" ds:itemID="{AB89F20D-4289-46BC-86C3-C510FEAF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2019-05-19T17:38:00Z</dcterms:created>
  <dcterms:modified xsi:type="dcterms:W3CDTF">2020-03-08T15:00:00Z</dcterms:modified>
</cp:coreProperties>
</file>