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9A032E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D55F920" w:rsidR="0082223F" w:rsidRDefault="0082223F" w:rsidP="0082223F">
      <w:pPr>
        <w:pStyle w:val="Title"/>
      </w:pPr>
      <w:r>
        <w:t xml:space="preserve">Week </w:t>
      </w:r>
      <w:r w:rsidR="00DE314C">
        <w:t>3</w:t>
      </w:r>
      <w:r>
        <w:t xml:space="preserve">: </w:t>
      </w:r>
      <w:r w:rsidR="00DE314C">
        <w:t>Influencing Thought for Fun or Profit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77777777" w:rsidR="00E82898" w:rsidRDefault="00E82898" w:rsidP="0082223F">
      <w:pPr>
        <w:jc w:val="center"/>
      </w:pPr>
      <w:r w:rsidRPr="00877007">
        <w:t>TIM-</w:t>
      </w:r>
      <w:r>
        <w:t>8150</w:t>
      </w:r>
      <w:r w:rsidRPr="00877007">
        <w:t xml:space="preserve">: </w:t>
      </w:r>
      <w:r>
        <w:t xml:space="preserve">Artificial Intelligence </w:t>
      </w:r>
    </w:p>
    <w:p w14:paraId="13BFFB78" w14:textId="4532C2C3" w:rsidR="00CB25E9" w:rsidRDefault="00E82898" w:rsidP="0082223F">
      <w:pPr>
        <w:jc w:val="center"/>
      </w:pPr>
      <w:r>
        <w:t>October 4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4A9FF45B" w:rsidR="0082223F" w:rsidRDefault="00DE314C" w:rsidP="005B7079">
      <w:pPr>
        <w:pStyle w:val="Heading1"/>
      </w:pPr>
      <w:r>
        <w:lastRenderedPageBreak/>
        <w:t>Influencing Thought for Fun or Profit</w:t>
      </w:r>
    </w:p>
    <w:p w14:paraId="477CD7FA" w14:textId="25C3F35B" w:rsidR="00DE314C" w:rsidRDefault="00B97C04" w:rsidP="00DE314C">
      <w:r>
        <w:tab/>
        <w:t xml:space="preserve">The NCU Political Action </w:t>
      </w:r>
      <w:r w:rsidR="0063429D">
        <w:t xml:space="preserve">Committee (NPAC) seeks to promote its ideology through highly targeted </w:t>
      </w:r>
      <w:r w:rsidR="00212DD6">
        <w:t>censorship</w:t>
      </w:r>
      <w:r w:rsidR="0063429D">
        <w:t>.</w:t>
      </w:r>
      <w:r w:rsidR="00CF7C8B">
        <w:t xml:space="preserve">  Modern censorship does not restrict free speech; instead, it increases the noise and drowns the signal</w:t>
      </w:r>
      <w:sdt>
        <w:sdtPr>
          <w:id w:val="-214885721"/>
          <w:citation/>
        </w:sdtPr>
        <w:sdtContent>
          <w:r w:rsidR="00CF7C8B">
            <w:fldChar w:fldCharType="begin"/>
          </w:r>
          <w:r w:rsidR="00CF7C8B">
            <w:instrText xml:space="preserve"> CITATION Tho19 \l 1033 </w:instrText>
          </w:r>
          <w:r w:rsidR="00CF7C8B">
            <w:fldChar w:fldCharType="separate"/>
          </w:r>
          <w:r w:rsidR="00CF7C8B">
            <w:rPr>
              <w:noProof/>
            </w:rPr>
            <w:t xml:space="preserve"> (Thomas, 2019)</w:t>
          </w:r>
          <w:r w:rsidR="00CF7C8B">
            <w:fldChar w:fldCharType="end"/>
          </w:r>
        </w:sdtContent>
      </w:sdt>
      <w:r w:rsidR="00CF7C8B">
        <w:t xml:space="preserve">. </w:t>
      </w:r>
      <w:r w:rsidR="0063429D">
        <w:t xml:space="preserve"> One critical challenge the organization faces is its ability to scale-out personalized communications with potential voters.  Traditionally, businesses approach these problems by either hiring armies of </w:t>
      </w:r>
      <w:r w:rsidR="00CF7C8B">
        <w:t xml:space="preserve">people </w:t>
      </w:r>
      <w:r w:rsidR="0063429D">
        <w:t xml:space="preserve">or resorting to mass marketing campaigns.  However, NPAC lacks funding to employ a large staff, and modern spam filters reduce </w:t>
      </w:r>
      <w:r w:rsidR="008D7FC1">
        <w:t>email blasts</w:t>
      </w:r>
      <w:r w:rsidR="000F3D26">
        <w:t>’</w:t>
      </w:r>
      <w:r w:rsidR="008D7FC1">
        <w:t xml:space="preserve"> effectivenes</w:t>
      </w:r>
      <w:r w:rsidR="0063429D">
        <w:t>s.</w:t>
      </w:r>
      <w:r w:rsidR="00BA05EE">
        <w:t xml:space="preserve">  Instead, NPAC chooses to modernize its tactics and focus solely on Natural Language </w:t>
      </w:r>
      <w:r w:rsidR="004D4CDE">
        <w:t>P</w:t>
      </w:r>
      <w:r w:rsidR="00BA05EE">
        <w:t>rocessing</w:t>
      </w:r>
      <w:r w:rsidR="004D4CDE">
        <w:t xml:space="preserve"> (NLP)</w:t>
      </w:r>
      <w:r w:rsidR="00BA05EE">
        <w:t xml:space="preserve"> and social media graphs.</w:t>
      </w:r>
      <w:r w:rsidR="004D4CDE">
        <w:t xml:space="preserve"> </w:t>
      </w:r>
      <w:r w:rsidR="000F3D26">
        <w:t>“</w:t>
      </w:r>
      <w:r w:rsidR="00EF7AAF">
        <w:t xml:space="preserve">[…] </w:t>
      </w:r>
      <w:r w:rsidR="004D4CDE">
        <w:t>NLP is an interdisciplinary field [that] studies and develops algorithms and systems, enabling computers to understand and perform tasks involving human language</w:t>
      </w:r>
      <w:sdt>
        <w:sdtPr>
          <w:id w:val="-159548386"/>
          <w:citation/>
        </w:sdtPr>
        <w:sdtContent>
          <w:r w:rsidR="004D4CDE">
            <w:fldChar w:fldCharType="begin"/>
          </w:r>
          <w:r w:rsidR="004D4CDE">
            <w:instrText xml:space="preserve">CITATION Sin17 \p 135 \l 1033 </w:instrText>
          </w:r>
          <w:r w:rsidR="004D4CDE">
            <w:fldChar w:fldCharType="separate"/>
          </w:r>
          <w:r w:rsidR="004D4CDE">
            <w:rPr>
              <w:noProof/>
            </w:rPr>
            <w:t xml:space="preserve"> (Sintoris &amp; Vergidis, 2017, p. 135)</w:t>
          </w:r>
          <w:r w:rsidR="004D4CDE">
            <w:fldChar w:fldCharType="end"/>
          </w:r>
        </w:sdtContent>
      </w:sdt>
      <w:r w:rsidR="004D4CDE">
        <w:t>.</w:t>
      </w:r>
      <w:r w:rsidR="000F3D26">
        <w:t>”</w:t>
      </w:r>
      <w:r w:rsidR="004D4CDE">
        <w:t xml:space="preserve"> NPAC plans to use these technologies to both parse free form text </w:t>
      </w:r>
      <w:proofErr w:type="gramStart"/>
      <w:r w:rsidR="004D4CDE">
        <w:t>and also</w:t>
      </w:r>
      <w:proofErr w:type="gramEnd"/>
      <w:r w:rsidR="004D4CDE">
        <w:t xml:space="preserve"> produce novel commentary.</w:t>
      </w:r>
      <w:r w:rsidR="007D31EA">
        <w:t xml:space="preserve">  Maximizing the </w:t>
      </w:r>
      <w:r w:rsidR="007D31EA" w:rsidRPr="007D31EA">
        <w:t>resonat</w:t>
      </w:r>
      <w:r w:rsidR="007D31EA">
        <w:t xml:space="preserve">ion </w:t>
      </w:r>
      <w:r w:rsidR="006E02EC">
        <w:t xml:space="preserve">of custom content </w:t>
      </w:r>
      <w:r w:rsidR="007D31EA">
        <w:t xml:space="preserve">with the audience requires </w:t>
      </w:r>
      <w:r w:rsidR="006E02EC">
        <w:t xml:space="preserve">a personalized </w:t>
      </w:r>
      <w:r w:rsidR="007D31EA">
        <w:t>voice.</w:t>
      </w:r>
      <w:r w:rsidR="00921DC0">
        <w:t xml:space="preserve">  For instance, the manner that people speak in an academic forum differs from Facebook or Twitter.</w:t>
      </w:r>
      <w:r w:rsidR="00877185">
        <w:t xml:space="preserve">  NLP language models can assist in these situations as well by adopting different vocabularies and alternative sentence structures.</w:t>
      </w:r>
    </w:p>
    <w:p w14:paraId="0D1DD92C" w14:textId="7313978F" w:rsidR="0022686B" w:rsidRDefault="0022686B" w:rsidP="00EF7AAF">
      <w:pPr>
        <w:pStyle w:val="Heading1"/>
      </w:pPr>
      <w:r>
        <w:t>How does NLP work</w:t>
      </w:r>
    </w:p>
    <w:p w14:paraId="3E082162" w14:textId="169486D9" w:rsidR="00A0547A" w:rsidRDefault="0022686B" w:rsidP="00165BB0">
      <w:r>
        <w:tab/>
      </w:r>
      <w:r w:rsidR="00EF7AAF">
        <w:t>Natural Language Processing</w:t>
      </w:r>
      <w:r w:rsidR="004974BF">
        <w:t xml:space="preserve"> (NLP)</w:t>
      </w:r>
      <w:r w:rsidR="00EF7AAF">
        <w:t xml:space="preserve"> sits at the intersection of artificial intelligence, human language, and computer science.</w:t>
      </w:r>
    </w:p>
    <w:p w14:paraId="5E198FE3" w14:textId="364714A3" w:rsidR="00A0547A" w:rsidRDefault="00A0547A" w:rsidP="00A0547A">
      <w:pPr>
        <w:pStyle w:val="Heading2"/>
      </w:pPr>
      <w:r>
        <w:t>Text Ingestion Process</w:t>
      </w:r>
    </w:p>
    <w:p w14:paraId="3F3CD4B1" w14:textId="315B0F79" w:rsidR="0062134B" w:rsidRDefault="0062134B" w:rsidP="00A0547A">
      <w:pPr>
        <w:ind w:firstLine="720"/>
      </w:pPr>
      <w:r>
        <w:t>NLP systems typically follow sentence normalization, token annotation and combining, and finally perform custom business logic (see Figure 1)</w:t>
      </w:r>
      <w:sdt>
        <w:sdtPr>
          <w:id w:val="1861773403"/>
          <w:citation/>
        </w:sdtPr>
        <w:sdtContent>
          <w:r w:rsidR="00165BB0">
            <w:fldChar w:fldCharType="begin"/>
          </w:r>
          <w:r w:rsidR="00165BB0">
            <w:instrText xml:space="preserve"> CITATION Edu18 \l 1033 </w:instrText>
          </w:r>
          <w:r w:rsidR="00165BB0">
            <w:fldChar w:fldCharType="separate"/>
          </w:r>
          <w:r w:rsidR="00165BB0">
            <w:rPr>
              <w:noProof/>
            </w:rPr>
            <w:t xml:space="preserve"> (Edureka, 2018)</w:t>
          </w:r>
          <w:r w:rsidR="00165BB0">
            <w:fldChar w:fldCharType="end"/>
          </w:r>
        </w:sdtContent>
      </w:sdt>
      <w:r>
        <w:t xml:space="preserve">.  </w:t>
      </w:r>
      <w:r w:rsidR="00E10119">
        <w:t xml:space="preserve">Using strategies like </w:t>
      </w:r>
      <w:proofErr w:type="spellStart"/>
      <w:r w:rsidR="00E10119">
        <w:t>Lemmatiziation</w:t>
      </w:r>
      <w:proofErr w:type="spellEnd"/>
      <w:r w:rsidR="00E10119">
        <w:t xml:space="preserve"> and Stemming enables the parsers to reduce the variability between sentences, </w:t>
      </w:r>
      <w:r w:rsidR="00E10119">
        <w:lastRenderedPageBreak/>
        <w:t>such as removing verb-tensing.</w:t>
      </w:r>
      <w:r w:rsidR="001C0318">
        <w:t xml:space="preserve">  Next, the words collect annotations by subsystems like Named Entity Recognition (NER) to discover the sentence’s critical components.</w:t>
      </w:r>
      <w:r w:rsidR="00CB152E">
        <w:t xml:space="preserve">  After chunking related tokens together, the scenario-specific business logic can operate on a semantic representation of the text.</w:t>
      </w:r>
      <w:r w:rsidR="000F3D26">
        <w:t xml:space="preserve">  Depending on the use-case, these steps will be massive subsystems or single lines of code.</w:t>
      </w:r>
    </w:p>
    <w:p w14:paraId="7D3DE8BA" w14:textId="67111E7A" w:rsidR="0062134B" w:rsidRDefault="0062134B" w:rsidP="0062134B">
      <w:pPr>
        <w:pStyle w:val="Caption"/>
      </w:pPr>
      <w:r>
        <w:t>Figure 1: NLP Process</w:t>
      </w:r>
    </w:p>
    <w:p w14:paraId="5B55D3E6" w14:textId="36CFB019" w:rsidR="0062134B" w:rsidRDefault="0062134B" w:rsidP="0062134B">
      <w:pPr>
        <w:jc w:val="center"/>
      </w:pPr>
      <w:r>
        <w:rPr>
          <w:noProof/>
        </w:rPr>
        <w:drawing>
          <wp:inline distT="0" distB="0" distL="0" distR="0" wp14:anchorId="79330852" wp14:editId="19CAAD3C">
            <wp:extent cx="2471738" cy="18345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936" cy="18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EF5" w14:textId="03BC1F18" w:rsidR="004523FE" w:rsidRDefault="004523FE" w:rsidP="004523FE">
      <w:pPr>
        <w:pStyle w:val="Heading2"/>
      </w:pPr>
      <w:r>
        <w:t>Business Logic</w:t>
      </w:r>
    </w:p>
    <w:p w14:paraId="6301A047" w14:textId="54136136" w:rsidR="004523FE" w:rsidRPr="00F7431D" w:rsidRDefault="00D235EF" w:rsidP="004523FE">
      <w:r>
        <w:tab/>
        <w:t>NLP appears across a wide range of use cases like language translation, speech-to-text, and sentiment analysis.</w:t>
      </w:r>
      <w:r w:rsidR="003B28CF">
        <w:t xml:space="preserve">  </w:t>
      </w:r>
      <w:r w:rsidR="003B28CF">
        <w:t>In biology, animal brains accomplish these tasks through meshes of neurons that transmit signals across connected synaptic (transforming) and activation (filtering) links</w:t>
      </w:r>
      <w:sdt>
        <w:sdtPr>
          <w:id w:val="-2144716055"/>
          <w:citation/>
        </w:sdtPr>
        <w:sdtContent>
          <w:r w:rsidR="003B28CF">
            <w:fldChar w:fldCharType="begin"/>
          </w:r>
          <w:r w:rsidR="003B28CF">
            <w:instrText xml:space="preserve"> CITATION Kel16 \l 1033 </w:instrText>
          </w:r>
          <w:r w:rsidR="003B28CF">
            <w:fldChar w:fldCharType="separate"/>
          </w:r>
          <w:r w:rsidR="003B28CF">
            <w:rPr>
              <w:noProof/>
            </w:rPr>
            <w:t xml:space="preserve"> (Keller, Liu, &amp; Fogel, 2016)</w:t>
          </w:r>
          <w:r w:rsidR="003B28CF">
            <w:fldChar w:fldCharType="end"/>
          </w:r>
        </w:sdtContent>
      </w:sdt>
      <w:r w:rsidR="003B28CF">
        <w:t>.  Computer scientist</w:t>
      </w:r>
      <w:r w:rsidR="00217A83">
        <w:t>s</w:t>
      </w:r>
      <w:r w:rsidR="003B28CF">
        <w:t xml:space="preserve"> mimic this </w:t>
      </w:r>
      <w:r w:rsidR="00217A83">
        <w:t xml:space="preserve">behavior with Deep Learning </w:t>
      </w:r>
      <w:r w:rsidR="00653332">
        <w:t>on</w:t>
      </w:r>
      <w:r w:rsidR="00217A83">
        <w:t xml:space="preserve"> N</w:t>
      </w:r>
      <w:r w:rsidR="003B28CF">
        <w:t xml:space="preserve">eural </w:t>
      </w:r>
      <w:r w:rsidR="00217A83">
        <w:t>N</w:t>
      </w:r>
      <w:r w:rsidR="003B28CF">
        <w:t>etworks</w:t>
      </w:r>
      <w:r w:rsidR="00217A83">
        <w:t>, which are essentially weighted graphs.</w:t>
      </w:r>
      <w:r w:rsidR="00F7431D">
        <w:t xml:space="preserve">  Depending on </w:t>
      </w:r>
      <w:r w:rsidR="00F7431D" w:rsidRPr="00F7431D">
        <w:rPr>
          <w:i/>
          <w:iCs/>
        </w:rPr>
        <w:t>the</w:t>
      </w:r>
      <w:r w:rsidR="00F7431D">
        <w:t xml:space="preserve"> </w:t>
      </w:r>
      <w:r w:rsidR="00F7431D" w:rsidRPr="00F7431D">
        <w:rPr>
          <w:i/>
          <w:iCs/>
        </w:rPr>
        <w:t>architecture</w:t>
      </w:r>
      <w:r w:rsidR="00F7431D">
        <w:t xml:space="preserve"> of the graph, the system can perform tasks of varying complexity.</w:t>
      </w:r>
      <w:r w:rsidR="00C17002">
        <w:t xml:space="preserve">  For instance, sequence to sequence (seq2seq)</w:t>
      </w:r>
    </w:p>
    <w:p w14:paraId="05F294CF" w14:textId="677B4D94" w:rsidR="003B28CF" w:rsidRDefault="003B28CF" w:rsidP="003B28CF">
      <w:pPr>
        <w:pStyle w:val="Caption"/>
      </w:pPr>
      <w:r>
        <w:t>Table 1: Example Algorithms of NLP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B28CF" w14:paraId="436E14B9" w14:textId="77777777" w:rsidTr="003B2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7E4A346" w14:textId="501FF091" w:rsidR="003B28CF" w:rsidRDefault="003B28CF" w:rsidP="003B28CF">
            <w:pPr>
              <w:jc w:val="center"/>
            </w:pPr>
            <w:r>
              <w:t>Algorithm</w:t>
            </w:r>
          </w:p>
        </w:tc>
        <w:tc>
          <w:tcPr>
            <w:tcW w:w="6385" w:type="dxa"/>
          </w:tcPr>
          <w:p w14:paraId="29588188" w14:textId="1C9E242F" w:rsidR="003B28CF" w:rsidRDefault="003B28CF" w:rsidP="003B2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17002" w14:paraId="7F2F3372" w14:textId="77777777" w:rsidTr="003B2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11DE0A2" w14:textId="1E912435" w:rsidR="00C17002" w:rsidRDefault="00C17002" w:rsidP="004523FE">
            <w:r>
              <w:t>seq2seq</w:t>
            </w:r>
          </w:p>
        </w:tc>
        <w:tc>
          <w:tcPr>
            <w:tcW w:w="6385" w:type="dxa"/>
          </w:tcPr>
          <w:p w14:paraId="223FA87B" w14:textId="09F35CC9" w:rsidR="00C17002" w:rsidRDefault="00C17002" w:rsidP="0045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Recurrent NN for a token sequence to sequence prediction</w:t>
            </w:r>
          </w:p>
        </w:tc>
      </w:tr>
      <w:tr w:rsidR="00C17002" w14:paraId="6FD0AF48" w14:textId="77777777" w:rsidTr="003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0D5A887" w14:textId="72890EF0" w:rsidR="00C17002" w:rsidRDefault="00C17002" w:rsidP="004523FE">
            <w:r>
              <w:t>Embedding Space</w:t>
            </w:r>
          </w:p>
        </w:tc>
        <w:tc>
          <w:tcPr>
            <w:tcW w:w="6385" w:type="dxa"/>
          </w:tcPr>
          <w:p w14:paraId="2FAF36A9" w14:textId="4CF5045B" w:rsidR="00C17002" w:rsidRDefault="00C17002" w:rsidP="0045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word distance (e.g., run versus walk versus sit) to derive context</w:t>
            </w:r>
          </w:p>
        </w:tc>
      </w:tr>
      <w:tr w:rsidR="00C17002" w14:paraId="10BDA96B" w14:textId="77777777" w:rsidTr="003B2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5C77324" w14:textId="30AF8087" w:rsidR="00C17002" w:rsidRDefault="00C17002" w:rsidP="004523FE">
            <w:r>
              <w:t>LSTM</w:t>
            </w:r>
          </w:p>
        </w:tc>
        <w:tc>
          <w:tcPr>
            <w:tcW w:w="6385" w:type="dxa"/>
          </w:tcPr>
          <w:p w14:paraId="5F992217" w14:textId="276E56B1" w:rsidR="00C17002" w:rsidRDefault="00C17002" w:rsidP="0045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long term and </w:t>
            </w:r>
            <w:proofErr w:type="gramStart"/>
            <w:r>
              <w:t>short term</w:t>
            </w:r>
            <w:proofErr w:type="gramEnd"/>
            <w:r>
              <w:t xml:space="preserve"> memory to increase context retention</w:t>
            </w:r>
          </w:p>
        </w:tc>
      </w:tr>
      <w:tr w:rsidR="00C17002" w14:paraId="6BEFF433" w14:textId="77777777" w:rsidTr="003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84CF1D" w14:textId="65B41D44" w:rsidR="00C17002" w:rsidRDefault="00C17002" w:rsidP="004523FE">
            <w:r>
              <w:lastRenderedPageBreak/>
              <w:t>Transformers</w:t>
            </w:r>
            <w:r>
              <w:br/>
            </w:r>
          </w:p>
        </w:tc>
        <w:tc>
          <w:tcPr>
            <w:tcW w:w="6385" w:type="dxa"/>
          </w:tcPr>
          <w:p w14:paraId="770A9480" w14:textId="5737317E" w:rsidR="00C17002" w:rsidRDefault="00C17002" w:rsidP="0045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of the art architecture using attention vectors, positional encoding, and feed-forward blocks</w:t>
            </w:r>
          </w:p>
        </w:tc>
      </w:tr>
    </w:tbl>
    <w:p w14:paraId="60A0B0C9" w14:textId="77777777" w:rsidR="003B28CF" w:rsidRPr="004523FE" w:rsidRDefault="003B28CF" w:rsidP="004523FE"/>
    <w:p w14:paraId="58A383AD" w14:textId="649F1F18" w:rsidR="004523FE" w:rsidRDefault="004523FE" w:rsidP="004523FE">
      <w:pPr>
        <w:pStyle w:val="Heading2"/>
      </w:pPr>
      <w:r>
        <w:t xml:space="preserve"> </w:t>
      </w:r>
    </w:p>
    <w:sectPr w:rsidR="004523FE" w:rsidSect="00877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E6C57" w14:textId="77777777" w:rsidR="009A032E" w:rsidRDefault="009A032E" w:rsidP="0082223F">
      <w:pPr>
        <w:spacing w:line="240" w:lineRule="auto"/>
      </w:pPr>
      <w:r>
        <w:separator/>
      </w:r>
    </w:p>
  </w:endnote>
  <w:endnote w:type="continuationSeparator" w:id="0">
    <w:p w14:paraId="5B7023E0" w14:textId="77777777" w:rsidR="009A032E" w:rsidRDefault="009A032E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894EC" w14:textId="77777777" w:rsidR="00E82898" w:rsidRDefault="00E82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4DC73" w14:textId="77777777" w:rsidR="00E82898" w:rsidRDefault="00E82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7F6FC" w14:textId="77777777" w:rsidR="00E82898" w:rsidRDefault="00E82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316CA" w14:textId="77777777" w:rsidR="009A032E" w:rsidRDefault="009A032E" w:rsidP="0082223F">
      <w:pPr>
        <w:spacing w:line="240" w:lineRule="auto"/>
      </w:pPr>
      <w:r>
        <w:separator/>
      </w:r>
    </w:p>
  </w:footnote>
  <w:footnote w:type="continuationSeparator" w:id="0">
    <w:p w14:paraId="42038001" w14:textId="77777777" w:rsidR="009A032E" w:rsidRDefault="009A032E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D656" w14:textId="77777777" w:rsidR="00E82898" w:rsidRDefault="00E82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643D55F7" w:rsidR="00877007" w:rsidRDefault="00877007" w:rsidP="00877007">
    <w:pPr>
      <w:pStyle w:val="Header"/>
    </w:pPr>
    <w:r w:rsidRPr="00877007">
      <w:t>TIM-</w:t>
    </w:r>
    <w:r w:rsidR="00E82898">
      <w:t>8</w:t>
    </w:r>
    <w:r w:rsidR="00D0165E">
      <w:t>1</w:t>
    </w:r>
    <w:r w:rsidR="00E82898">
      <w:t>50</w:t>
    </w:r>
    <w:r w:rsidRPr="00877007">
      <w:t xml:space="preserve">: </w:t>
    </w:r>
    <w:r w:rsidR="00E82898">
      <w:t>Artificial Intelligence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1B5A" w14:textId="77777777" w:rsidR="00E82898" w:rsidRDefault="00E82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0F3D26"/>
    <w:rsid w:val="0012233A"/>
    <w:rsid w:val="00134BF0"/>
    <w:rsid w:val="0014241C"/>
    <w:rsid w:val="00165BB0"/>
    <w:rsid w:val="00183597"/>
    <w:rsid w:val="001B27C4"/>
    <w:rsid w:val="001C0318"/>
    <w:rsid w:val="00212DD6"/>
    <w:rsid w:val="00217A83"/>
    <w:rsid w:val="0022686B"/>
    <w:rsid w:val="002806B7"/>
    <w:rsid w:val="002C17C9"/>
    <w:rsid w:val="0036353B"/>
    <w:rsid w:val="003B28CF"/>
    <w:rsid w:val="003F4714"/>
    <w:rsid w:val="00401D65"/>
    <w:rsid w:val="00402D2F"/>
    <w:rsid w:val="004223E8"/>
    <w:rsid w:val="00424108"/>
    <w:rsid w:val="004523FE"/>
    <w:rsid w:val="004974BF"/>
    <w:rsid w:val="004A784B"/>
    <w:rsid w:val="004D4CDE"/>
    <w:rsid w:val="005A6988"/>
    <w:rsid w:val="005B7079"/>
    <w:rsid w:val="005F75F5"/>
    <w:rsid w:val="0062134B"/>
    <w:rsid w:val="0063429D"/>
    <w:rsid w:val="00653332"/>
    <w:rsid w:val="006D793E"/>
    <w:rsid w:val="006E02EC"/>
    <w:rsid w:val="0073677D"/>
    <w:rsid w:val="007D31EA"/>
    <w:rsid w:val="007F5FA7"/>
    <w:rsid w:val="0082223F"/>
    <w:rsid w:val="00877007"/>
    <w:rsid w:val="00877185"/>
    <w:rsid w:val="008B5129"/>
    <w:rsid w:val="008D7FC1"/>
    <w:rsid w:val="00921DC0"/>
    <w:rsid w:val="009A032E"/>
    <w:rsid w:val="009A757D"/>
    <w:rsid w:val="00A0547A"/>
    <w:rsid w:val="00A20190"/>
    <w:rsid w:val="00B13ADF"/>
    <w:rsid w:val="00B83595"/>
    <w:rsid w:val="00B97C04"/>
    <w:rsid w:val="00BA05EE"/>
    <w:rsid w:val="00C17002"/>
    <w:rsid w:val="00C54DC8"/>
    <w:rsid w:val="00C73692"/>
    <w:rsid w:val="00C93BB7"/>
    <w:rsid w:val="00CB152E"/>
    <w:rsid w:val="00CB25E9"/>
    <w:rsid w:val="00CF7C8B"/>
    <w:rsid w:val="00D0165E"/>
    <w:rsid w:val="00D235EF"/>
    <w:rsid w:val="00D75C7B"/>
    <w:rsid w:val="00D85C7B"/>
    <w:rsid w:val="00DE2224"/>
    <w:rsid w:val="00DE314C"/>
    <w:rsid w:val="00DF3CB4"/>
    <w:rsid w:val="00E10119"/>
    <w:rsid w:val="00E234E9"/>
    <w:rsid w:val="00E82898"/>
    <w:rsid w:val="00ED3713"/>
    <w:rsid w:val="00EF7AAF"/>
    <w:rsid w:val="00F50E3F"/>
    <w:rsid w:val="00F533EA"/>
    <w:rsid w:val="00F7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3B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B28C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Sin17</b:Tag>
    <b:SourceType>ConferenceProceedings</b:SourceType>
    <b:Guid>{F1798668-60F0-4E44-8E1F-76ADB5E624D8}</b:Guid>
    <b:Title>Extracting busines process models using NLP techniques</b:Title>
    <b:JournalName>IEEE 19th Conference on Business Informatics</b:JournalName>
    <b:Year>2017</b:Year>
    <b:Pages>135-139</b:Pages>
    <b:Author>
      <b:Author>
        <b:NameList>
          <b:Person>
            <b:Last>Sintoris</b:Last>
            <b:First>K</b:First>
          </b:Person>
          <b:Person>
            <b:Last>Vergidis</b:Last>
            <b:First>K</b:First>
          </b:Person>
        </b:NameList>
      </b:Author>
    </b:Author>
    <b:City>Thessaloniki, Greece</b:City>
    <b:Publisher>Institute of Electrical and Electronics Engineers</b:Publisher>
    <b:DOI>https://doi-org.proxy1.ncu.edu/10.1080/014492997119879</b:DOI>
    <b:ConferenceName>IEEE 19th Conference on Business Informatics</b:ConferenceName>
    <b:RefOrder>2</b:RefOrder>
  </b:Source>
  <b:Source>
    <b:Tag>Tho19</b:Tag>
    <b:SourceType>ConferenceProceedings</b:SourceType>
    <b:Guid>{80C3DBFD-7DA5-4148-811F-10AF32831771}</b:Guid>
    <b:Author>
      <b:Author>
        <b:NameList>
          <b:Person>
            <b:Last>Thomas</b:Last>
            <b:First>R</b:First>
          </b:Person>
        </b:NameList>
      </b:Author>
    </b:Author>
    <b:Title>The new era of NLP</b:Title>
    <b:Year>2019</b:Year>
    <b:ConferenceName>Scientific Computing with Python</b:ConferenceName>
    <b:City>Austin, Texas</b:City>
    <b:Publisher>SciPy</b:Publisher>
    <b:URL>https://youtu.be/KChtdexd5Jo</b:URL>
    <b:RefOrder>1</b:RefOrder>
  </b:Source>
  <b:Source>
    <b:Tag>Edu18</b:Tag>
    <b:SourceType>InternetSite</b:SourceType>
    <b:Guid>{7F912DF3-C101-4E1C-A602-0C7509B54C47}</b:Guid>
    <b:Title>Natural language processing in 10 minutes</b:Title>
    <b:Year>2018</b:Year>
    <b:Author>
      <b:Author>
        <b:Corporate>Edureka</b:Corporate>
      </b:Author>
    </b:Author>
    <b:InternetSiteTitle>YouTube</b:InternetSiteTitle>
    <b:Month>October</b:Month>
    <b:Day>16</b:Day>
    <b:URL>https://www.youtube.com/watch?v=5ctbvkAMQO4</b:URL>
    <b:RefOrder>3</b:RefOrder>
  </b:Source>
  <b:Source>
    <b:Tag>Fri20</b:Tag>
    <b:SourceType>InternetSite</b:SourceType>
    <b:Guid>{E2FCACA9-6130-4793-A649-4331441EDC62}</b:Guid>
    <b:Author>
      <b:Author>
        <b:NameList>
          <b:Person>
            <b:Last>Fridman</b:Last>
            <b:First>L</b:First>
          </b:Person>
        </b:NameList>
      </b:Author>
    </b:Author>
    <b:Title>Deep Learning State of the Art</b:Title>
    <b:InternetSiteTitle>YouTube</b:InternetSiteTitle>
    <b:Year>2020</b:Year>
    <b:Month>January</b:Month>
    <b:URL>https://youtu.be/0VH1Lim8gL8</b:URL>
    <b:ProductionCompany>Massachusetts Institute of Technology (MIT)</b:ProductionCompany>
    <b:RefOrder>4</b:RefOrder>
  </b:Source>
  <b:Source>
    <b:Tag>Kel16</b:Tag>
    <b:SourceType>Book</b:SourceType>
    <b:Guid>{EDB8FC0A-2279-4FE5-95A2-EE9E0B67E26A}</b:Guid>
    <b:Title>Fundamentals of Computational Intelligence</b:Title>
    <b:Year>2016</b:Year>
    <b:Author>
      <b:Author>
        <b:NameList>
          <b:Person>
            <b:Last>Keller</b:Last>
            <b:First>J</b:First>
          </b:Person>
          <b:Person>
            <b:Last>Liu</b:Last>
            <b:First>D</b:First>
          </b:Person>
          <b:Person>
            <b:Last>Fogel</b:Last>
            <b:First>D</b:First>
          </b:Person>
        </b:NameList>
      </b:Author>
    </b:Author>
    <b:Publisher>John Wiley &amp; Sons</b:Publisher>
    <b:RefOrder>5</b:RefOrder>
  </b:Source>
</b:Sources>
</file>

<file path=customXml/itemProps1.xml><?xml version="1.0" encoding="utf-8"?>
<ds:datastoreItem xmlns:ds="http://schemas.openxmlformats.org/officeDocument/2006/customXml" ds:itemID="{5BF58DD4-AC2B-44B3-81D6-546358BA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57</cp:revision>
  <dcterms:created xsi:type="dcterms:W3CDTF">2019-05-19T17:38:00Z</dcterms:created>
  <dcterms:modified xsi:type="dcterms:W3CDTF">2020-10-18T20:14:00Z</dcterms:modified>
</cp:coreProperties>
</file>