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E4AC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E29BEF"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AC213C">
        <w:t xml:space="preserve">convenience </w:t>
      </w:r>
      <w:r w:rsidR="00AC213C">
        <w:t xml:space="preserve">resource </w:t>
      </w:r>
      <w:r w:rsidR="007543DF">
        <w:t xml:space="preserve">optimization, </w:t>
      </w:r>
      <w:r w:rsidR="00AC213C">
        <w:t xml:space="preserve">and </w:t>
      </w:r>
      <w:r w:rsidR="00884DBB">
        <w:t>smart city integrations</w:t>
      </w:r>
      <w:r w:rsidR="00F655C9">
        <w:t>.</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7346428"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53C4042B" w:rsidR="0025041F" w:rsidRDefault="00622F89" w:rsidP="00D0524B">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w:t>
      </w:r>
      <w:r w:rsidR="00B17CA8">
        <w:rPr>
          <w:i/>
          <w:iCs/>
        </w:rPr>
        <w:t>at</w:t>
      </w:r>
      <w:r w:rsidRPr="00622F89">
        <w:rPr>
          <w:i/>
          <w:iCs/>
        </w:rPr>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that can risk</w:t>
      </w:r>
      <w:r>
        <w:t xml:space="preserve"> a multi-vehicle accident.</w:t>
      </w:r>
      <w:r w:rsidR="00D0524B">
        <w:t xml:space="preserve"> </w:t>
      </w:r>
    </w:p>
    <w:p w14:paraId="4FC15CBF" w14:textId="07839764" w:rsidR="009039D4" w:rsidRDefault="009039D4" w:rsidP="009039D4">
      <w:pPr>
        <w:pStyle w:val="Heading2"/>
      </w:pPr>
      <w:r>
        <w:lastRenderedPageBreak/>
        <w:t>Convenience Systems</w:t>
      </w:r>
    </w:p>
    <w:p w14:paraId="40D0ABB8" w14:textId="2E72691C" w:rsidR="000457C9" w:rsidRDefault="008E42B9" w:rsidP="000457C9">
      <w:r>
        <w:tab/>
        <w:t xml:space="preserve">During a road trip, there are often long monotonous segments necessary to arrive at the destination.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manufactures tackle these needs with adaptive cruise control technologies.  This approach is useful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feeding into </w:t>
      </w:r>
      <w:r w:rsidR="00695F76">
        <w:t xml:space="preserve">sophisticated reinforcement learning </w:t>
      </w:r>
      <w:proofErr w:type="gramStart"/>
      <w:r w:rsidR="00695F76">
        <w:t>algorithms</w:t>
      </w:r>
      <w:r w:rsidR="008740F0">
        <w:t>, but</w:t>
      </w:r>
      <w:proofErr w:type="gramEnd"/>
      <w:r w:rsidR="008740F0">
        <w:t xml:space="preserve"> continuing to scale these m</w:t>
      </w:r>
      <w:r w:rsidR="00D3335E">
        <w:t xml:space="preserve">onolithic expert systems </w:t>
      </w:r>
      <w:r w:rsidR="008740F0">
        <w:t xml:space="preserve">is challenging </w:t>
      </w:r>
      <w:r w:rsidR="008740F0">
        <w:t>(</w:t>
      </w:r>
      <w:proofErr w:type="spellStart"/>
      <w:r w:rsidR="008740F0">
        <w:t>Fridman</w:t>
      </w:r>
      <w:proofErr w:type="spellEnd"/>
      <w:r w:rsidR="008740F0">
        <w:t>, 2020).</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33F7375E">
            <wp:extent cx="4414345" cy="161387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3229" cy="1821860"/>
                    </a:xfrm>
                    <a:prstGeom prst="rect">
                      <a:avLst/>
                    </a:prstGeom>
                  </pic:spPr>
                </pic:pic>
              </a:graphicData>
            </a:graphic>
          </wp:inline>
        </w:drawing>
      </w:r>
    </w:p>
    <w:p w14:paraId="281826C9" w14:textId="2A75BD4E"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combinations of </w:t>
      </w:r>
      <w:r>
        <w:t xml:space="preserve">ensemble </w:t>
      </w:r>
      <w:r w:rsidR="000457C9">
        <w:t xml:space="preserve">and multi-task learning </w:t>
      </w:r>
      <w:r>
        <w:t>methods</w:t>
      </w:r>
      <w:r w:rsidR="000457C9">
        <w:t xml:space="preserve"> (Li et al. 2019)</w:t>
      </w:r>
      <w:r>
        <w:t>.</w:t>
      </w:r>
      <w:r w:rsidR="000457C9">
        <w:t xml:space="preserve">  Consider a decision process that feeds camera frames into a</w:t>
      </w:r>
      <w:r w:rsidR="003649B0">
        <w:t>n</w:t>
      </w:r>
      <w:r w:rsidR="000457C9">
        <w:t xml:space="preserve"> </w:t>
      </w:r>
      <w:r w:rsidR="003649B0">
        <w:t xml:space="preserve">image classification </w:t>
      </w:r>
      <w:r w:rsidR="003649B0">
        <w:t xml:space="preserve">Convolutional Neural Network (CNN) </w:t>
      </w:r>
      <w:r w:rsidR="00D03B25">
        <w:t xml:space="preserve">to </w:t>
      </w:r>
      <w:r w:rsidR="000457C9">
        <w:t>extract objects and contextualize the environment</w:t>
      </w:r>
      <w:r w:rsidR="00D03B25">
        <w:t xml:space="preserve"> </w:t>
      </w:r>
      <w:r w:rsidR="00D03B25">
        <w:t>(see Figure 3)</w:t>
      </w:r>
      <w:r w:rsidR="000457C9">
        <w:t>.</w:t>
      </w:r>
      <w:r w:rsidR="003649B0">
        <w:t xml:space="preserve">  CNN algorithms mimic </w:t>
      </w:r>
      <w:r w:rsidR="00030A4F">
        <w:t>an eye’s biological structures</w:t>
      </w:r>
      <w:r w:rsidR="003649B0">
        <w:t xml:space="preserve"> by normalizing </w:t>
      </w:r>
      <w:r w:rsidR="00030A4F">
        <w:t>neighboring pixels block</w:t>
      </w:r>
      <w:r w:rsidR="003649B0">
        <w:t>s together</w:t>
      </w:r>
      <w:r w:rsidR="00030A4F">
        <w:t xml:space="preserve"> to derive structure (Keller et al. 2016)</w:t>
      </w:r>
      <w:r w:rsidR="003649B0">
        <w:t xml:space="preserve">. </w:t>
      </w:r>
      <w:r w:rsidR="00030A4F">
        <w:t xml:space="preserve"> </w:t>
      </w:r>
      <w:r w:rsidR="000457C9">
        <w:t>These results continue into various expert subsystems that control the car, such as turning the wheel or accelerating.</w:t>
      </w:r>
      <w:r w:rsidR="00D03B25">
        <w:t xml:space="preserve">  </w:t>
      </w:r>
      <w:r w:rsidR="00030A4F">
        <w:t>S</w:t>
      </w:r>
      <w:r w:rsidR="00D03B25">
        <w:t>ubsystem</w:t>
      </w:r>
      <w:r w:rsidR="00030A4F">
        <w:t>s</w:t>
      </w:r>
      <w:r w:rsidR="00D03B25">
        <w:t xml:space="preserve"> output observations ensemble into a decision model that directs the I/O controller.</w:t>
      </w:r>
      <w:r w:rsidR="00080850">
        <w:t xml:space="preserve">  </w:t>
      </w:r>
      <w:r w:rsidR="0097624B">
        <w:t>Like</w:t>
      </w:r>
      <w:r w:rsidR="00080850">
        <w:t xml:space="preserve"> other </w:t>
      </w:r>
      <w:r w:rsidR="00080850">
        <w:lastRenderedPageBreak/>
        <w:t xml:space="preserve">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t>Optimization Systems</w:t>
      </w:r>
    </w:p>
    <w:p w14:paraId="14E09249" w14:textId="18E5E1F1" w:rsidR="009B1036" w:rsidRDefault="00CA6E08" w:rsidP="00BE57E4">
      <w:r>
        <w:tab/>
      </w:r>
      <w:r w:rsidR="00B72BA0">
        <w:t>Modern personal vehicles have a lifespan of over 200,000 miles and often travel 24,000 miles per year</w:t>
      </w:r>
      <w:sdt>
        <w:sdtPr>
          <w:id w:val="-1120296512"/>
          <w:citation/>
        </w:sdtPr>
        <w:sdtContent>
          <w:r w:rsidR="00B72BA0">
            <w:fldChar w:fldCharType="begin"/>
          </w:r>
          <w:r w:rsidR="00B72BA0">
            <w:instrText xml:space="preserve"> CITATION For12 \l 1033 </w:instrText>
          </w:r>
          <w:r w:rsidR="00B72BA0">
            <w:fldChar w:fldCharType="separate"/>
          </w:r>
          <w:r w:rsidR="00B72BA0">
            <w:rPr>
              <w:noProof/>
            </w:rPr>
            <w:t xml:space="preserve"> (Ford, 2012)</w:t>
          </w:r>
          <w:r w:rsidR="00B72BA0">
            <w:fldChar w:fldCharType="end"/>
          </w:r>
        </w:sdtContent>
      </w:sdt>
      <w:r w:rsidR="00B72BA0">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57AB6BA6" w14:textId="1FDF97E3" w:rsidR="00E90EC1" w:rsidRDefault="00E90EC1" w:rsidP="00E90EC1">
      <w:pPr>
        <w:ind w:firstLine="720"/>
      </w:pPr>
      <w:r>
        <w:t xml:space="preserve">Data scientists can improve this situation by introducing micro-optimization systems across the </w:t>
      </w:r>
      <w:proofErr w:type="gramStart"/>
      <w:r>
        <w:t>auto-mobile</w:t>
      </w:r>
      <w:proofErr w:type="gramEnd"/>
      <w:r>
        <w:t>.  For instance, traditional cruise control maintains a specific speed (e.g., 70mph) without considering any environmental context.  Meanwhile, a smarter system can factor in the road’s incline, the driver’s profile, and metrics about the trip to meet a dynamic profile ranging from, e.g., 65-70mph.</w:t>
      </w:r>
      <w:r w:rsidR="00D80F94">
        <w:t xml:space="preserve">  As this idea expands outward, it results in collections of micro-optimizers that monitor all aspects of the driving experience, potentially saving hundreds of dollars </w:t>
      </w:r>
      <w:r w:rsidR="009B101F">
        <w:t>in fuel</w:t>
      </w:r>
      <w:r w:rsidR="00D80F94">
        <w:t>.</w:t>
      </w:r>
    </w:p>
    <w:p w14:paraId="5FD2B136" w14:textId="5A51CC44" w:rsidR="004B5F95" w:rsidRDefault="004B5F95" w:rsidP="004B5F95">
      <w:pPr>
        <w:pStyle w:val="Caption"/>
      </w:pPr>
      <w:r>
        <w:t>Figure 4: Preventative Maintenance System</w:t>
      </w:r>
    </w:p>
    <w:p w14:paraId="07854E74" w14:textId="33B526C8" w:rsidR="004B5F95" w:rsidRDefault="004B5F95" w:rsidP="004B5F95">
      <w:pPr>
        <w:ind w:firstLine="720"/>
        <w:jc w:val="center"/>
      </w:pPr>
      <w:r>
        <w:rPr>
          <w:noProof/>
        </w:rPr>
        <w:drawing>
          <wp:inline distT="0" distB="0" distL="0" distR="0" wp14:anchorId="479D891E" wp14:editId="499C7FDA">
            <wp:extent cx="2957791" cy="168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414" cy="1787643"/>
                    </a:xfrm>
                    <a:prstGeom prst="rect">
                      <a:avLst/>
                    </a:prstGeom>
                  </pic:spPr>
                </pic:pic>
              </a:graphicData>
            </a:graphic>
          </wp:inline>
        </w:drawing>
      </w:r>
    </w:p>
    <w:p w14:paraId="48E304C7" w14:textId="109B7EA7" w:rsidR="00835B37" w:rsidRDefault="00835B37" w:rsidP="00E90EC1">
      <w:pPr>
        <w:ind w:firstLine="720"/>
      </w:pPr>
      <w:r>
        <w:lastRenderedPageBreak/>
        <w:t xml:space="preserve">When the driver has advance notice that a component is likely to fail, they can schedule the maintenance and minimize costs.  Preventative </w:t>
      </w:r>
      <w:r w:rsidR="004B5F95">
        <w:t xml:space="preserve">Maintenance </w:t>
      </w:r>
      <w:r w:rsidR="00EE79BA">
        <w:t>S</w:t>
      </w:r>
      <w:r w:rsidR="004B5F95">
        <w:t>ystems</w:t>
      </w:r>
      <w:r w:rsidR="00EE79BA">
        <w:t xml:space="preserve"> (PMS)</w:t>
      </w:r>
      <w:r w:rsidR="004B5F95">
        <w:t xml:space="preserve"> </w:t>
      </w:r>
      <w:r w:rsidR="00EE79BA">
        <w:t>p</w:t>
      </w:r>
      <w:r w:rsidR="004B5F95">
        <w:t>rovide</w:t>
      </w:r>
      <w:r w:rsidR="00EE79BA">
        <w:t>s</w:t>
      </w:r>
      <w:r w:rsidR="004B5F95">
        <w:t xml:space="preserve"> </w:t>
      </w:r>
      <w:r>
        <w:t xml:space="preserve">this capability by </w:t>
      </w:r>
      <w:r w:rsidR="004B5F95">
        <w:t xml:space="preserve">first </w:t>
      </w:r>
      <w:r>
        <w:t>collecting component</w:t>
      </w:r>
      <w:r w:rsidR="004B5F95">
        <w:t>-level</w:t>
      </w:r>
      <w:r>
        <w:t xml:space="preserve"> telemetry and looking for anomalous metrics</w:t>
      </w:r>
      <w:r w:rsidR="004B5F95">
        <w:t xml:space="preserve"> (see Figure 4)</w:t>
      </w:r>
      <w:r>
        <w:t>.</w:t>
      </w:r>
      <w:r w:rsidR="00EE79BA">
        <w:t xml:space="preserve">  For instance, an engine monitoring solution might observe the RPMs (Revolutions per Minute) and electrical output.  Sensor time series data tends to noisy and requires a curation process (e.g., Kalman filter) to remove noise and derive a stable signal</w:t>
      </w:r>
      <w:sdt>
        <w:sdtPr>
          <w:id w:val="1314606233"/>
          <w:citation/>
        </w:sdtPr>
        <w:sdtContent>
          <w:r w:rsidR="00EE79BA">
            <w:fldChar w:fldCharType="begin"/>
          </w:r>
          <w:r w:rsidR="00EE79BA">
            <w:instrText xml:space="preserve"> CITATION Jac19 \l 1033 </w:instrText>
          </w:r>
          <w:r w:rsidR="00EE79BA">
            <w:fldChar w:fldCharType="separate"/>
          </w:r>
          <w:r w:rsidR="00EE79BA">
            <w:rPr>
              <w:noProof/>
            </w:rPr>
            <w:t xml:space="preserve"> (Jackson &amp; Rege, 2019)</w:t>
          </w:r>
          <w:r w:rsidR="00EE79BA">
            <w:fldChar w:fldCharType="end"/>
          </w:r>
        </w:sdtContent>
      </w:sdt>
      <w:r w:rsidR="00EE79BA">
        <w:t>.</w:t>
      </w:r>
      <w:r w:rsidR="003649B0">
        <w:t xml:space="preserve">  </w:t>
      </w:r>
      <w:r w:rsidR="00030A4F">
        <w:t>Next, the stable signal flows into a Recurrent Neural Network (RNN)</w:t>
      </w:r>
      <w:r w:rsidR="000B0061">
        <w:t>,</w:t>
      </w:r>
      <w:r w:rsidR="00030A4F">
        <w:t xml:space="preserve"> which uses sequences of previous tokens to predict future values (Keller et al. 2016).</w:t>
      </w:r>
      <w:r w:rsidR="000B0061">
        <w:t xml:space="preserve">  When the observations deviate outside of these predictions, an anomaly exists and needs surfacing to a decision control process.</w:t>
      </w:r>
    </w:p>
    <w:p w14:paraId="340ABC4A" w14:textId="00F73878" w:rsidR="00FE2439" w:rsidRDefault="00FE2439" w:rsidP="00FE2439">
      <w:pPr>
        <w:pStyle w:val="Heading2"/>
      </w:pPr>
      <w:r>
        <w:t>Smart City Integration</w:t>
      </w:r>
    </w:p>
    <w:p w14:paraId="2F608F3B" w14:textId="025B663F" w:rsidR="003E281A" w:rsidRDefault="00322902" w:rsidP="003A66FB">
      <w:r>
        <w:tab/>
        <w:t xml:space="preserve">The future </w:t>
      </w:r>
      <w:r w:rsidR="003E281A">
        <w:t>evolution</w:t>
      </w:r>
      <w:r>
        <w:t xml:space="preserve"> of city planning</w:t>
      </w:r>
      <w:r w:rsidR="003E281A">
        <w:t xml:space="preserve"> makes</w:t>
      </w:r>
      <w:r>
        <w:t xml:space="preserve"> urban areas highly connected with fast wireless networking and intelligent machines emitting enormous </w:t>
      </w:r>
      <w:r w:rsidR="003E281A">
        <w:t>telemetry data volumes (</w:t>
      </w:r>
      <w:proofErr w:type="spellStart"/>
      <w:r w:rsidR="003E281A">
        <w:t>Balduccini</w:t>
      </w:r>
      <w:proofErr w:type="spellEnd"/>
      <w:r w:rsidR="003E281A">
        <w:t xml:space="preserve"> et al. 2018)</w:t>
      </w:r>
      <w:r>
        <w:t>.</w:t>
      </w:r>
      <w:r w:rsidR="003E281A">
        <w:t xml:space="preserve">  A central participant in this ecosystem is the autonomous vehicle, as it transmits metrics to infrastructure (V2I) and other drivers (V2V).  These metadata fields will enable more efficient traffic shaping, alertness to potential risks, and more insights into driver patterns (Tong et al. 2019).  For instance, today, each driver inputs their GPS destination and follows the route in an isolated silo.  Tomorrow, aspects of those routing decisions can become centralized, resulting in less route congestion.  While ideas of this ideal state are already coming to life in areas like Seattle, Boston, and New York; the large scale implementation is still </w:t>
      </w:r>
      <w:proofErr w:type="spellStart"/>
      <w:r w:rsidR="003E281A">
        <w:t>aways</w:t>
      </w:r>
      <w:proofErr w:type="spellEnd"/>
      <w:r w:rsidR="003E281A">
        <w:t xml:space="preserve"> out</w:t>
      </w:r>
      <w:sdt>
        <w:sdtPr>
          <w:id w:val="1466778463"/>
          <w:citation/>
        </w:sdtPr>
        <w:sdtContent>
          <w:r w:rsidR="003E281A">
            <w:fldChar w:fldCharType="begin"/>
          </w:r>
          <w:r w:rsidR="003E281A">
            <w:instrText xml:space="preserve"> CITATION Coh13 \l 1033 </w:instrText>
          </w:r>
          <w:r w:rsidR="003E281A">
            <w:fldChar w:fldCharType="separate"/>
          </w:r>
          <w:r w:rsidR="003E281A">
            <w:rPr>
              <w:noProof/>
            </w:rPr>
            <w:t xml:space="preserve"> (Cohen, 2013)</w:t>
          </w:r>
          <w:r w:rsidR="003E281A">
            <w:fldChar w:fldCharType="end"/>
          </w:r>
        </w:sdtContent>
      </w:sdt>
      <w:r w:rsidR="003E281A">
        <w:t>.</w:t>
      </w:r>
      <w:r w:rsidR="00022B1B">
        <w:t xml:space="preserve">  Completely modernizing these areas will require significant in</w:t>
      </w:r>
      <w:r w:rsidR="003A66FB">
        <w:t>frastructure investments,</w:t>
      </w:r>
      <w:r w:rsidR="00022B1B">
        <w:t xml:space="preserve"> </w:t>
      </w:r>
      <w:r w:rsidR="003A66FB">
        <w:t xml:space="preserve">consensus on V2X communication </w:t>
      </w:r>
      <w:r w:rsidR="00022B1B">
        <w:t>protocols</w:t>
      </w:r>
      <w:r w:rsidR="003A66FB">
        <w:t>, and machines that implement those standards</w:t>
      </w:r>
      <w:r w:rsidR="00022B1B">
        <w:t>.</w:t>
      </w:r>
      <w:r w:rsidR="003A66FB">
        <w:t xml:space="preserve">  </w:t>
      </w:r>
      <w:r w:rsidR="003E281A">
        <w:t>Until then</w:t>
      </w:r>
      <w:r w:rsidR="00022B1B">
        <w:t>,</w:t>
      </w:r>
      <w:r w:rsidR="003E281A">
        <w:t xml:space="preserve"> machine learning technologies will need to synthesis those capabilities by making predictions </w:t>
      </w:r>
      <w:r w:rsidR="00F52C72">
        <w:t>by pairing</w:t>
      </w:r>
      <w:r w:rsidR="003E281A">
        <w:t xml:space="preserve"> vehicle-local sensors </w:t>
      </w:r>
      <w:r w:rsidR="00F52C72">
        <w:t xml:space="preserve">with </w:t>
      </w:r>
      <w:r w:rsidR="003E281A">
        <w:t>remote web services.</w:t>
      </w:r>
    </w:p>
    <w:p w14:paraId="694C5A13" w14:textId="047E2E86" w:rsidR="00022B1B" w:rsidRDefault="00D32FD8" w:rsidP="00D32FD8">
      <w:pPr>
        <w:pStyle w:val="Heading1"/>
      </w:pPr>
      <w:r>
        <w:lastRenderedPageBreak/>
        <w:t>Conclusion</w:t>
      </w:r>
    </w:p>
    <w:p w14:paraId="5E1F71D2" w14:textId="528E8F74" w:rsidR="00E035A5" w:rsidRDefault="00523837" w:rsidP="00C85B76">
      <w:r>
        <w:tab/>
      </w:r>
      <w:r w:rsidR="00E035A5">
        <w:tab/>
      </w:r>
    </w:p>
    <w:p w14:paraId="77CB7250" w14:textId="4E9FA8E6" w:rsidR="00C85B76" w:rsidRDefault="00E035A5" w:rsidP="00C85B76">
      <w:r>
        <w:t xml:space="preserve">When systems use artificial intelligence to augment human decision processes, it results in a powerful partnership.  Humans </w:t>
      </w:r>
    </w:p>
    <w:p w14:paraId="7920C78D" w14:textId="79947257" w:rsidR="00C85B76" w:rsidRDefault="00C85B76" w:rsidP="00C85B76"/>
    <w:p w14:paraId="4EF37934" w14:textId="6D7D94A2" w:rsidR="00C85B76" w:rsidRDefault="00C85B76">
      <w:r>
        <w:br w:type="page"/>
      </w:r>
    </w:p>
    <w:sdt>
      <w:sdtPr>
        <w:id w:val="-1918086163"/>
        <w:docPartObj>
          <w:docPartGallery w:val="Bibliographies"/>
          <w:docPartUnique/>
        </w:docPartObj>
      </w:sdtPr>
      <w:sdtEndPr>
        <w:rPr>
          <w:b w:val="0"/>
        </w:rPr>
      </w:sdtEndPr>
      <w:sdtContent>
        <w:p w14:paraId="24BE41C4" w14:textId="00909CA7" w:rsidR="00C85B76" w:rsidRDefault="00C85B76">
          <w:pPr>
            <w:pStyle w:val="Heading1"/>
          </w:pPr>
          <w:r>
            <w:t>References</w:t>
          </w:r>
        </w:p>
        <w:sdt>
          <w:sdtPr>
            <w:id w:val="-573587230"/>
            <w:bibliography/>
          </w:sdtPr>
          <w:sdtContent>
            <w:p w14:paraId="1EC4CB7F" w14:textId="15A6AFD6" w:rsidR="00C85B76" w:rsidRDefault="00C85B76" w:rsidP="00C85B76">
              <w:pPr>
                <w:pStyle w:val="Bibliography"/>
                <w:ind w:left="720" w:hanging="720"/>
                <w:rPr>
                  <w:noProof/>
                </w:rPr>
              </w:pPr>
              <w:r>
                <w:fldChar w:fldCharType="begin"/>
              </w:r>
              <w:r>
                <w:instrText xml:space="preserve"> BIBLIOGRAPHY </w:instrText>
              </w:r>
              <w:r>
                <w:fldChar w:fldCharType="separate"/>
              </w:r>
              <w:r>
                <w:rPr>
                  <w:noProof/>
                </w:rPr>
                <w:t xml:space="preserve">Balduccini, M., Griffor, E., Huth, M., Vishik, C., Burns, M., &amp; Wollman, D. (2018). Reasoning about Smart Cities. </w:t>
              </w:r>
              <w:r>
                <w:rPr>
                  <w:i/>
                  <w:iCs/>
                  <w:noProof/>
                </w:rPr>
                <w:t>IEEE International Conference on Smart Computing</w:t>
              </w:r>
              <w:r>
                <w:rPr>
                  <w:noProof/>
                </w:rPr>
                <w:t xml:space="preserve"> (pp. 381-386). Institute of Electrical and Electronics Engineers. </w:t>
              </w:r>
              <w:r w:rsidR="00E035A5">
                <w:rPr>
                  <w:noProof/>
                </w:rPr>
                <w:t>DOI</w:t>
              </w:r>
              <w:r>
                <w:rPr>
                  <w:noProof/>
                </w:rPr>
                <w:t>:10.1109/SMARTCOMP.2018.00033</w:t>
              </w:r>
            </w:p>
            <w:p w14:paraId="7EBF79EF" w14:textId="438EA124" w:rsidR="00C85B76" w:rsidRDefault="00C85B76" w:rsidP="00C85B76">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w:t>
              </w:r>
              <w:r w:rsidR="00E035A5">
                <w:rPr>
                  <w:noProof/>
                </w:rPr>
                <w:t>DOI</w:t>
              </w:r>
              <w:r>
                <w:rPr>
                  <w:noProof/>
                </w:rPr>
                <w:t>:10.1109/BigData.2017.8258349</w:t>
              </w:r>
            </w:p>
            <w:p w14:paraId="12B5CBE0" w14:textId="77777777" w:rsidR="00C85B76" w:rsidRDefault="00C85B76" w:rsidP="00C85B7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35B0233" w14:textId="7FE4D0FC" w:rsidR="00C85B76" w:rsidRDefault="00C85B76" w:rsidP="00C85B76">
              <w:pPr>
                <w:pStyle w:val="Bibliography"/>
                <w:ind w:left="720" w:hanging="720"/>
                <w:rPr>
                  <w:noProof/>
                </w:rPr>
              </w:pPr>
              <w:r>
                <w:rPr>
                  <w:noProof/>
                </w:rPr>
                <w:t xml:space="preserve">Cohen, B. (2013, November 14). </w:t>
              </w:r>
              <w:r>
                <w:rPr>
                  <w:i/>
                  <w:iCs/>
                  <w:noProof/>
                </w:rPr>
                <w:t xml:space="preserve">The </w:t>
              </w:r>
              <w:r w:rsidR="00E035A5">
                <w:rPr>
                  <w:i/>
                  <w:iCs/>
                  <w:noProof/>
                </w:rPr>
                <w:t>T</w:t>
              </w:r>
              <w:r>
                <w:rPr>
                  <w:i/>
                  <w:iCs/>
                  <w:noProof/>
                </w:rPr>
                <w:t>en</w:t>
              </w:r>
              <w:r w:rsidR="00E035A5">
                <w:rPr>
                  <w:i/>
                  <w:iCs/>
                  <w:noProof/>
                </w:rPr>
                <w:t xml:space="preserve"> S</w:t>
              </w:r>
              <w:r>
                <w:rPr>
                  <w:i/>
                  <w:iCs/>
                  <w:noProof/>
                </w:rPr>
                <w:t xml:space="preserve">martest </w:t>
              </w:r>
              <w:r w:rsidR="00E035A5">
                <w:rPr>
                  <w:i/>
                  <w:iCs/>
                  <w:noProof/>
                </w:rPr>
                <w:t>C</w:t>
              </w:r>
              <w:r>
                <w:rPr>
                  <w:i/>
                  <w:iCs/>
                  <w:noProof/>
                </w:rPr>
                <w:t>ities In North America</w:t>
              </w:r>
              <w:r>
                <w:rPr>
                  <w:noProof/>
                </w:rPr>
                <w:t>. Retrieved from Fast Company: https://www.fastcompany.com/3021592/the-10-smartest-cities-in-north-america</w:t>
              </w:r>
            </w:p>
            <w:p w14:paraId="357056B7" w14:textId="789D7F18" w:rsidR="00C85B76" w:rsidRDefault="00C85B76" w:rsidP="00C85B7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1BB6B72" w14:textId="77777777" w:rsidR="00C85B76" w:rsidRDefault="00C85B76" w:rsidP="00C85B76">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15BA65" w14:textId="77777777" w:rsidR="00C85B76" w:rsidRDefault="00C85B76" w:rsidP="00C85B7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29CA78F" w14:textId="7ECD2C19" w:rsidR="00C85B76" w:rsidRDefault="00C85B76" w:rsidP="00C85B76">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6ED4DDF5" w14:textId="0BDB147C" w:rsidR="00C85B76" w:rsidRDefault="00C85B76" w:rsidP="00C85B76">
              <w:pPr>
                <w:pStyle w:val="Bibliography"/>
                <w:ind w:left="720" w:hanging="720"/>
                <w:rPr>
                  <w:noProof/>
                </w:rPr>
              </w:pPr>
              <w:r>
                <w:rPr>
                  <w:noProof/>
                </w:rPr>
                <w:lastRenderedPageBreak/>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w:t>
              </w:r>
              <w:r w:rsidR="00E035A5">
                <w:rPr>
                  <w:noProof/>
                </w:rPr>
                <w:t>DOI</w:t>
              </w:r>
              <w:r>
                <w:rPr>
                  <w:noProof/>
                </w:rPr>
                <w:t>:10.1109/IRI.2019.00019</w:t>
              </w:r>
            </w:p>
            <w:p w14:paraId="7753E501" w14:textId="77777777" w:rsidR="00C85B76" w:rsidRDefault="00C85B76" w:rsidP="00C85B7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8551DE" w14:textId="157005C6" w:rsidR="00C85B76" w:rsidRDefault="00C85B76" w:rsidP="00C85B7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 xml:space="preserve">(2), 83-98. </w:t>
              </w:r>
              <w:r w:rsidR="00E035A5">
                <w:rPr>
                  <w:noProof/>
                </w:rPr>
                <w:t>DOI</w:t>
              </w:r>
              <w:r>
                <w:rPr>
                  <w:noProof/>
                </w:rPr>
                <w:t>:10.1109/MCI.2019.2901089</w:t>
              </w:r>
            </w:p>
            <w:p w14:paraId="5DA2B140" w14:textId="08AFC6E7" w:rsidR="00C85B76" w:rsidRDefault="00C85B76" w:rsidP="00C85B76">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 xml:space="preserve">(10), 1673-1686. </w:t>
              </w:r>
              <w:r w:rsidR="00E035A5">
                <w:rPr>
                  <w:noProof/>
                </w:rPr>
                <w:t>DOI</w:t>
              </w:r>
              <w:r>
                <w:rPr>
                  <w:noProof/>
                </w:rPr>
                <w:t>:10.1007/s11548-019-01927-z</w:t>
              </w:r>
            </w:p>
            <w:p w14:paraId="4576CAE7" w14:textId="53E18796" w:rsidR="00C85B76" w:rsidRDefault="00C85B76" w:rsidP="00C85B76">
              <w:pPr>
                <w:pStyle w:val="Bibliography"/>
                <w:ind w:left="720" w:hanging="720"/>
                <w:rPr>
                  <w:noProof/>
                </w:rPr>
              </w:pPr>
              <w:r>
                <w:rPr>
                  <w:noProof/>
                </w:rPr>
                <w:t xml:space="preserve">Tong, W., Hussain, A., Bo, W., &amp; Maharjan, S. (2019). Artificial Intelligence for Vehicle-to-Everything. </w:t>
              </w:r>
              <w:r>
                <w:rPr>
                  <w:i/>
                  <w:iCs/>
                  <w:noProof/>
                </w:rPr>
                <w:t>IEEE Access, 7</w:t>
              </w:r>
              <w:r>
                <w:rPr>
                  <w:noProof/>
                </w:rPr>
                <w:t xml:space="preserve">, 10823-10843. </w:t>
              </w:r>
              <w:r w:rsidR="00E035A5">
                <w:rPr>
                  <w:noProof/>
                </w:rPr>
                <w:t>DOI</w:t>
              </w:r>
              <w:r>
                <w:rPr>
                  <w:noProof/>
                </w:rPr>
                <w:t>:10.1109/ACCESS.2019</w:t>
              </w:r>
            </w:p>
            <w:p w14:paraId="31EDC7E2" w14:textId="6AEF7CB8" w:rsidR="00C85B76" w:rsidRDefault="00C85B76" w:rsidP="00C85B76">
              <w:r>
                <w:rPr>
                  <w:b/>
                  <w:bCs/>
                  <w:noProof/>
                </w:rPr>
                <w:fldChar w:fldCharType="end"/>
              </w:r>
            </w:p>
          </w:sdtContent>
        </w:sdt>
      </w:sdtContent>
    </w:sdt>
    <w:p w14:paraId="05BBF567" w14:textId="77777777" w:rsidR="00C85B76" w:rsidRPr="00C85B76" w:rsidRDefault="00C85B76" w:rsidP="00C85B76"/>
    <w:sectPr w:rsidR="00C85B76" w:rsidRPr="00C85B76"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B7352" w14:textId="77777777" w:rsidR="008E4AC5" w:rsidRDefault="008E4AC5" w:rsidP="0082223F">
      <w:pPr>
        <w:spacing w:line="240" w:lineRule="auto"/>
      </w:pPr>
      <w:r>
        <w:separator/>
      </w:r>
    </w:p>
  </w:endnote>
  <w:endnote w:type="continuationSeparator" w:id="0">
    <w:p w14:paraId="03081763" w14:textId="77777777" w:rsidR="008E4AC5" w:rsidRDefault="008E4AC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3290D" w14:textId="77777777" w:rsidR="008E4AC5" w:rsidRDefault="008E4AC5" w:rsidP="0082223F">
      <w:pPr>
        <w:spacing w:line="240" w:lineRule="auto"/>
      </w:pPr>
      <w:r>
        <w:separator/>
      </w:r>
    </w:p>
  </w:footnote>
  <w:footnote w:type="continuationSeparator" w:id="0">
    <w:p w14:paraId="016B4612" w14:textId="77777777" w:rsidR="008E4AC5" w:rsidRDefault="008E4AC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2B1B"/>
    <w:rsid w:val="00030A4F"/>
    <w:rsid w:val="00036708"/>
    <w:rsid w:val="00036F58"/>
    <w:rsid w:val="000457C9"/>
    <w:rsid w:val="00057B06"/>
    <w:rsid w:val="00080850"/>
    <w:rsid w:val="00092B30"/>
    <w:rsid w:val="000B0061"/>
    <w:rsid w:val="000E09AF"/>
    <w:rsid w:val="000E528B"/>
    <w:rsid w:val="000E530D"/>
    <w:rsid w:val="00134BF0"/>
    <w:rsid w:val="00146398"/>
    <w:rsid w:val="00152610"/>
    <w:rsid w:val="00183597"/>
    <w:rsid w:val="001B14F7"/>
    <w:rsid w:val="001B27C4"/>
    <w:rsid w:val="00201EC4"/>
    <w:rsid w:val="00246BD9"/>
    <w:rsid w:val="0025041F"/>
    <w:rsid w:val="00260C04"/>
    <w:rsid w:val="002806B7"/>
    <w:rsid w:val="00322902"/>
    <w:rsid w:val="00324418"/>
    <w:rsid w:val="00342ED0"/>
    <w:rsid w:val="003649B0"/>
    <w:rsid w:val="00376CA5"/>
    <w:rsid w:val="003A66FB"/>
    <w:rsid w:val="003E281A"/>
    <w:rsid w:val="003F4714"/>
    <w:rsid w:val="00401D65"/>
    <w:rsid w:val="004223E8"/>
    <w:rsid w:val="00424108"/>
    <w:rsid w:val="004905B2"/>
    <w:rsid w:val="004A784B"/>
    <w:rsid w:val="004B5F95"/>
    <w:rsid w:val="00523837"/>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A5BD7"/>
    <w:rsid w:val="008B5129"/>
    <w:rsid w:val="008D20E9"/>
    <w:rsid w:val="008E42B9"/>
    <w:rsid w:val="008E4AC5"/>
    <w:rsid w:val="009039D4"/>
    <w:rsid w:val="00963901"/>
    <w:rsid w:val="00964130"/>
    <w:rsid w:val="0097624B"/>
    <w:rsid w:val="00993AAF"/>
    <w:rsid w:val="00995256"/>
    <w:rsid w:val="009A0CA7"/>
    <w:rsid w:val="009A5F68"/>
    <w:rsid w:val="009A757D"/>
    <w:rsid w:val="009B101F"/>
    <w:rsid w:val="009B1036"/>
    <w:rsid w:val="009D5828"/>
    <w:rsid w:val="00A85B35"/>
    <w:rsid w:val="00AA0F5F"/>
    <w:rsid w:val="00AC213C"/>
    <w:rsid w:val="00B13ADF"/>
    <w:rsid w:val="00B17CA8"/>
    <w:rsid w:val="00B72BA0"/>
    <w:rsid w:val="00B83595"/>
    <w:rsid w:val="00BE57E4"/>
    <w:rsid w:val="00C54DC8"/>
    <w:rsid w:val="00C64410"/>
    <w:rsid w:val="00C73692"/>
    <w:rsid w:val="00C85B76"/>
    <w:rsid w:val="00C93BB7"/>
    <w:rsid w:val="00CA6E08"/>
    <w:rsid w:val="00CB25E9"/>
    <w:rsid w:val="00D0165E"/>
    <w:rsid w:val="00D03B25"/>
    <w:rsid w:val="00D0524B"/>
    <w:rsid w:val="00D32FD8"/>
    <w:rsid w:val="00D3335E"/>
    <w:rsid w:val="00D75C7B"/>
    <w:rsid w:val="00D771E8"/>
    <w:rsid w:val="00D80F94"/>
    <w:rsid w:val="00D85C7B"/>
    <w:rsid w:val="00DE2224"/>
    <w:rsid w:val="00E035A5"/>
    <w:rsid w:val="00E16BA1"/>
    <w:rsid w:val="00E234E9"/>
    <w:rsid w:val="00E82898"/>
    <w:rsid w:val="00E90EC1"/>
    <w:rsid w:val="00ED3713"/>
    <w:rsid w:val="00EE5852"/>
    <w:rsid w:val="00EE79BA"/>
    <w:rsid w:val="00F45638"/>
    <w:rsid w:val="00F52C72"/>
    <w:rsid w:val="00F655C9"/>
    <w:rsid w:val="00F96476"/>
    <w:rsid w:val="00F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8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8705">
      <w:bodyDiv w:val="1"/>
      <w:marLeft w:val="0"/>
      <w:marRight w:val="0"/>
      <w:marTop w:val="0"/>
      <w:marBottom w:val="0"/>
      <w:divBdr>
        <w:top w:val="none" w:sz="0" w:space="0" w:color="auto"/>
        <w:left w:val="none" w:sz="0" w:space="0" w:color="auto"/>
        <w:bottom w:val="none" w:sz="0" w:space="0" w:color="auto"/>
        <w:right w:val="none" w:sz="0" w:space="0" w:color="auto"/>
      </w:divBdr>
    </w:div>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880674455">
      <w:bodyDiv w:val="1"/>
      <w:marLeft w:val="0"/>
      <w:marRight w:val="0"/>
      <w:marTop w:val="0"/>
      <w:marBottom w:val="0"/>
      <w:divBdr>
        <w:top w:val="none" w:sz="0" w:space="0" w:color="auto"/>
        <w:left w:val="none" w:sz="0" w:space="0" w:color="auto"/>
        <w:bottom w:val="none" w:sz="0" w:space="0" w:color="auto"/>
        <w:right w:val="none" w:sz="0" w:space="0" w:color="auto"/>
      </w:divBdr>
    </w:div>
    <w:div w:id="1141382855">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176214449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10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Bal18</b:Tag>
    <b:SourceType>ConferenceProceedings</b:SourceType>
    <b:Guid>{E623666D-3251-4293-A605-5B037448AE17}</b:Guid>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Title>Reasoning about Smart Cities</b:Title>
    <b:Pages>381-386</b:Pages>
    <b:Year>2018</b:Year>
    <b:ConferenceName>IEEE International Conference on Smart Computing</b:ConferenceName>
    <b:Publisher>Institute of Electrical and Electronics Engineers</b:Publisher>
    <b:DOI>10.1109/SMARTCOMP.2018.00033</b:DOI>
    <b:RefOrder>12</b:RefOrder>
  </b:Source>
  <b:Source>
    <b:Tag>Ton19</b:Tag>
    <b:SourceType>JournalArticle</b:SourceType>
    <b:Guid>{2E02980C-C9C5-4450-93D8-DCA83A6881BC}</b:Guid>
    <b:Title>Artificial Intelligence for Vehicle-to-Everything</b:Title>
    <b:Pages>10823-10843</b:Pages>
    <b:Year>2019</b:Year>
    <b:Author>
      <b:Author>
        <b:NameList>
          <b:Person>
            <b:Last>Tong</b:Last>
            <b:First>W</b:First>
          </b:Person>
          <b:Person>
            <b:Last>Hussain</b:Last>
            <b:First>A</b:First>
          </b:Person>
          <b:Person>
            <b:Last>Bo</b:Last>
            <b:First>W</b:First>
          </b:Person>
          <b:Person>
            <b:Last>Maharjan</b:Last>
            <b:First>S</b:First>
          </b:Person>
        </b:NameList>
      </b:Author>
    </b:Author>
    <b:JournalName>IEEE Access</b:JournalName>
    <b:Volume>7</b:Volume>
    <b:DOI>10.1109/ACCESS.2019</b:DOI>
    <b:RefOrder>13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21BFF4B4-EEA9-4219-BFAC-D2705AF8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9</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102</cp:revision>
  <dcterms:created xsi:type="dcterms:W3CDTF">2019-05-19T17:38:00Z</dcterms:created>
  <dcterms:modified xsi:type="dcterms:W3CDTF">2020-11-02T00:38:00Z</dcterms:modified>
</cp:coreProperties>
</file>