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7771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616FFE67" w:rsidR="00D8218E" w:rsidRDefault="00C21DAD" w:rsidP="00E62889">
      <w:r>
        <w:tab/>
        <w:t>The North American electrical network is the world’s most massive machine, spanning across the continent</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 xml:space="preserve">equations that seek to model the problem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51C8DDCF"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77777777" w:rsidR="00B05254" w:rsidRDefault="007C0149" w:rsidP="004A3DE0">
      <w:r>
        <w:lastRenderedPageBreak/>
        <w:tab/>
        <w:t xml:space="preserve">A simulation experiment first identifies the 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w:t>
      </w:r>
      <w:r w:rsidR="009441E2">
        <w:t xml:space="preserve"> </w:t>
      </w:r>
      <w:r>
        <w:t xml:space="preserve">until discovering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36DB5654" w:rsidR="00B05254" w:rsidRDefault="00B05254" w:rsidP="00B05254">
      <w:pPr>
        <w:ind w:firstLine="720"/>
      </w:pPr>
      <w:r>
        <w:t xml:space="preserve">While no individual agent understands the ideal distribution across the environment, the aggregate of independent decisions enables analysts to extract sophisticated observations about the broader </w:t>
      </w:r>
      <w:r>
        <w:t>objectives</w:t>
      </w:r>
      <w:r>
        <w:t xml:space="preserve">.  </w:t>
      </w:r>
      <w:r>
        <w:t>It is also possible to quickly expand upon this simulation by designing expert agents, such as communication specialists, to 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03C4ED68" w14:textId="165B0D38" w:rsidR="00655E22" w:rsidRDefault="00655E22" w:rsidP="00B05254">
      <w:r>
        <w:tab/>
        <w:t>In addition to executing rapid experimentation at scale, organizations require algorithms</w:t>
      </w:r>
      <w:r w:rsidR="00B926E5">
        <w:t xml:space="preserve"> that enable their agents to evolve.  Traditionally evolutionary computation leverages Genetic Algorithms (GA) and Cellular Automata (CA) (Keller et al., 2016; </w:t>
      </w:r>
      <w:proofErr w:type="spellStart"/>
      <w:r w:rsidR="00B926E5">
        <w:t>Wildberger</w:t>
      </w:r>
      <w:proofErr w:type="spellEnd"/>
      <w:r w:rsidR="00B926E5">
        <w:t>, 1996).  Others have extended these strategies, such as Multi-Level Agent-Based Modeling (ML-ABM), to create more adaptive simulations (</w:t>
      </w:r>
      <w:proofErr w:type="spellStart"/>
      <w:r w:rsidR="00B926E5">
        <w:t>Hijorth</w:t>
      </w:r>
      <w:proofErr w:type="spellEnd"/>
      <w:r w:rsidR="00B926E5">
        <w:t xml:space="preserve"> et al., 2020).</w:t>
      </w:r>
    </w:p>
    <w:p w14:paraId="3E16D790" w14:textId="5F35138F" w:rsidR="00B926E5" w:rsidRDefault="00B926E5" w:rsidP="00B926E5">
      <w:pPr>
        <w:pStyle w:val="Heading2"/>
      </w:pPr>
      <w:r>
        <w:t>Genetic Algorithms (GA)</w:t>
      </w:r>
    </w:p>
    <w:p w14:paraId="123C31F0" w14:textId="52959D8B" w:rsidR="00B926E5" w:rsidRDefault="003E61E3" w:rsidP="003E61E3">
      <w:r>
        <w:tab/>
        <w:t xml:space="preserve">The Traveling Salesman is a classical graph puzzle the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t>.  Computers can replicate this model through Genetic Algorithms to converge on optimal configurations (see Figure 2).</w:t>
      </w:r>
    </w:p>
    <w:p w14:paraId="50C9C964" w14:textId="4C7FA148" w:rsidR="003E61E3" w:rsidRDefault="003E61E3" w:rsidP="003E61E3">
      <w:pPr>
        <w:pStyle w:val="Caption"/>
      </w:pPr>
      <w:r>
        <w:t>Figure 2: Genetic Algorithm</w:t>
      </w:r>
    </w:p>
    <w:p w14:paraId="22F39453" w14:textId="568AB609" w:rsidR="003E61E3" w:rsidRPr="00B926E5" w:rsidRDefault="003E61E3" w:rsidP="003E61E3">
      <w:pPr>
        <w:jc w:val="center"/>
      </w:pPr>
      <w:r>
        <w:rPr>
          <w:noProof/>
        </w:rPr>
        <w:drawing>
          <wp:inline distT="0" distB="0" distL="0" distR="0" wp14:anchorId="227652E9" wp14:editId="78B20B1B">
            <wp:extent cx="3029803" cy="25827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267" cy="2636023"/>
                    </a:xfrm>
                    <a:prstGeom prst="rect">
                      <a:avLst/>
                    </a:prstGeom>
                  </pic:spPr>
                </pic:pic>
              </a:graphicData>
            </a:graphic>
          </wp:inline>
        </w:drawing>
      </w:r>
    </w:p>
    <w:p w14:paraId="6188F413" w14:textId="3A4ECE28" w:rsidR="003E61E3" w:rsidRDefault="003E61E3" w:rsidP="003E61E3">
      <w:r>
        <w:lastRenderedPageBreak/>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and discards any other instances.  Next, a </w:t>
      </w:r>
      <w:proofErr w:type="gramStart"/>
      <w:r>
        <w:t>cross-breeding</w:t>
      </w:r>
      <w:proofErr w:type="gramEnd"/>
      <w:r>
        <w:t xml:space="preserve"> and mutation process mixes features from winning combinations to produce the offspring.  Those offspring cycle through this system thousands of times until only superior specimens remain.</w:t>
      </w:r>
    </w:p>
    <w:p w14:paraId="3E412C03" w14:textId="1E9C7BFB" w:rsidR="00B926E5" w:rsidRDefault="00B926E5" w:rsidP="00B926E5">
      <w:pPr>
        <w:pStyle w:val="Heading2"/>
      </w:pPr>
      <w:r>
        <w:t>Multi-Level Agent-Based Modeling (ML-ABM)</w:t>
      </w:r>
    </w:p>
    <w:p w14:paraId="0BD2407C" w14:textId="5C6CEFDB" w:rsidR="004365F9" w:rsidRDefault="00AC73D5" w:rsidP="00AC73D5">
      <w:r>
        <w:tab/>
        <w:t xml:space="preserve">After decomposing complex models into individual agents, a mechanism must aggregate the independent decisions into more macro observations. </w:t>
      </w:r>
      <w:r>
        <w:t>Cellular Automata (CA)</w:t>
      </w:r>
      <w:r>
        <w:t xml:space="preserve"> paints this picture by grouping related swarms into “a hierarchical series of discrete systems</w:t>
      </w:r>
      <w:sdt>
        <w:sdtPr>
          <w:id w:val="2037301974"/>
          <w:citation/>
        </w:sdt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w:t>
      </w:r>
      <w:r w:rsidR="004365F9">
        <w:t xml:space="preserve">  Through multiple levels of aggregation, agents can feed into swarms and those individual-swarms into swarm-networks.</w:t>
      </w:r>
    </w:p>
    <w:p w14:paraId="5CDC76AE" w14:textId="27CC8DD9" w:rsidR="004365F9" w:rsidRDefault="004365F9" w:rsidP="004365F9">
      <w:pPr>
        <w:ind w:firstLine="720"/>
      </w:pPr>
      <w:r>
        <w:t xml:space="preserve">For instance, a financial market </w:t>
      </w:r>
      <w:r w:rsidR="00093891">
        <w:t xml:space="preserve">environment </w:t>
      </w:r>
      <w:r>
        <w:t xml:space="preserve">has individual buy-and-sell </w:t>
      </w:r>
      <w:r w:rsidR="00093891">
        <w:t xml:space="preserve">participants </w:t>
      </w:r>
      <w:r>
        <w:t>that react to fluctuations in supply-and-demand</w:t>
      </w:r>
      <w:r w:rsidR="00D31FBE">
        <w:t xml:space="preserve"> (see Figure 3)</w:t>
      </w:r>
      <w:r>
        <w:t xml:space="preserve">.  This </w:t>
      </w:r>
      <w:r w:rsidR="00093891">
        <w:t xml:space="preserve">specific example </w:t>
      </w:r>
      <w:r>
        <w:t>simulation contain</w:t>
      </w:r>
      <w:r w:rsidR="00093891">
        <w:t>s</w:t>
      </w:r>
      <w:r>
        <w:t xml:space="preserve"> thousands of individual portfolio accounts (agents) that frequently make rational transactions.  An analysis could apply CA across the</w:t>
      </w:r>
      <w:r w:rsidR="00D31FBE">
        <w:t>se</w:t>
      </w:r>
      <w:r>
        <w:t xml:space="preserve"> </w:t>
      </w:r>
      <w:r w:rsidR="00093891">
        <w:t xml:space="preserve">portfolios by </w:t>
      </w:r>
      <w:r>
        <w:t>aggregat</w:t>
      </w:r>
      <w:r w:rsidR="00093891">
        <w:t>ing</w:t>
      </w:r>
      <w:r>
        <w:t xml:space="preserve"> the multitude of data points and improve the data’s usability for professional traders.  However, an inefficiency exists within this design because some individual portfolios (agent state) are nearly identical.  Other aspects</w:t>
      </w:r>
      <w:r w:rsidR="00093891">
        <w:t>,</w:t>
      </w:r>
      <w:r>
        <w:t xml:space="preserve"> </w:t>
      </w:r>
      <w:r w:rsidR="00093891">
        <w:t>like the risk-free rate,</w:t>
      </w:r>
      <w:r>
        <w:t xml:space="preserve"> do not require the fidelity </w:t>
      </w:r>
      <w:r w:rsidR="00093891">
        <w:t xml:space="preserve">that swarms of </w:t>
      </w:r>
      <w:r>
        <w:t>agents</w:t>
      </w:r>
      <w:r w:rsidR="00093891">
        <w:t xml:space="preserve"> produce.  These situations can rely on ML-ABM to approximate irrelevant details</w:t>
      </w:r>
      <w:r w:rsidR="00D31FBE">
        <w:t xml:space="preserve"> (e.g., with caches)</w:t>
      </w:r>
      <w:r w:rsidR="00093891">
        <w:t xml:space="preserve"> and enable fine-grained influence over critical decisions </w:t>
      </w:r>
      <w:r w:rsidR="00D31FBE">
        <w:t xml:space="preserve">(e.g., with swarms of agent) </w:t>
      </w:r>
      <w:r w:rsidR="00093891">
        <w:t>(</w:t>
      </w:r>
      <w:proofErr w:type="spellStart"/>
      <w:r w:rsidR="00093891">
        <w:t>Hijorth</w:t>
      </w:r>
      <w:proofErr w:type="spellEnd"/>
      <w:r w:rsidR="00093891">
        <w:t xml:space="preserve"> et al., 2020).</w:t>
      </w:r>
      <w:r w:rsidR="00D31FBE">
        <w:t xml:space="preserve"> </w:t>
      </w:r>
    </w:p>
    <w:p w14:paraId="47091F96" w14:textId="77777777" w:rsidR="00D31FBE" w:rsidRDefault="00D31FBE" w:rsidP="00D31FBE">
      <w:pPr>
        <w:ind w:firstLine="720"/>
        <w:jc w:val="center"/>
      </w:pPr>
    </w:p>
    <w:p w14:paraId="20515B82" w14:textId="77777777" w:rsidR="00D31FBE" w:rsidRDefault="00D31FBE" w:rsidP="00D31FBE">
      <w:pPr>
        <w:pStyle w:val="Caption"/>
      </w:pPr>
    </w:p>
    <w:p w14:paraId="0A9AFDF8" w14:textId="1833F829" w:rsidR="00D31FBE" w:rsidRDefault="00D31FBE" w:rsidP="00D31FBE">
      <w:pPr>
        <w:pStyle w:val="Caption"/>
      </w:pPr>
      <w:r>
        <w:lastRenderedPageBreak/>
        <w:t>Figure 3: Financial Market</w:t>
      </w:r>
    </w:p>
    <w:p w14:paraId="2AC7F6EE" w14:textId="735AD590" w:rsidR="00D31FBE" w:rsidRDefault="00D31FBE" w:rsidP="00D31FBE">
      <w:pPr>
        <w:ind w:firstLine="720"/>
        <w:jc w:val="center"/>
      </w:pPr>
      <w:r>
        <w:rPr>
          <w:noProof/>
        </w:rPr>
        <w:drawing>
          <wp:inline distT="0" distB="0" distL="0" distR="0" wp14:anchorId="75C5E0AA" wp14:editId="2520B8B6">
            <wp:extent cx="3105150" cy="23451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292" cy="2357294"/>
                    </a:xfrm>
                    <a:prstGeom prst="rect">
                      <a:avLst/>
                    </a:prstGeom>
                  </pic:spPr>
                </pic:pic>
              </a:graphicData>
            </a:graphic>
          </wp:inline>
        </w:drawing>
      </w:r>
    </w:p>
    <w:p w14:paraId="7EBFDF08" w14:textId="14A919A8" w:rsidR="00D31FBE" w:rsidRPr="00AC73D5" w:rsidRDefault="00D31FBE" w:rsidP="00D31FBE">
      <w:pPr>
        <w:pStyle w:val="Heading1"/>
      </w:pPr>
      <w:proofErr w:type="gramStart"/>
      <w:r>
        <w:t>Future Prospects</w:t>
      </w:r>
      <w:proofErr w:type="gramEnd"/>
      <w:r>
        <w:t xml:space="preserve"> for Business and Science</w:t>
      </w:r>
    </w:p>
    <w:sectPr w:rsidR="00D31FBE" w:rsidRPr="00AC73D5" w:rsidSect="0087700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13A83" w14:textId="77777777" w:rsidR="00E7771B" w:rsidRDefault="00E7771B" w:rsidP="0082223F">
      <w:pPr>
        <w:spacing w:line="240" w:lineRule="auto"/>
      </w:pPr>
      <w:r>
        <w:separator/>
      </w:r>
    </w:p>
  </w:endnote>
  <w:endnote w:type="continuationSeparator" w:id="0">
    <w:p w14:paraId="3FBCB004" w14:textId="77777777" w:rsidR="00E7771B" w:rsidRDefault="00E7771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192E8" w14:textId="77777777" w:rsidR="00E7771B" w:rsidRDefault="00E7771B" w:rsidP="0082223F">
      <w:pPr>
        <w:spacing w:line="240" w:lineRule="auto"/>
      </w:pPr>
      <w:r>
        <w:separator/>
      </w:r>
    </w:p>
  </w:footnote>
  <w:footnote w:type="continuationSeparator" w:id="0">
    <w:p w14:paraId="3CF428D6" w14:textId="77777777" w:rsidR="00E7771B" w:rsidRDefault="00E7771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921F2"/>
    <w:rsid w:val="00093891"/>
    <w:rsid w:val="000C6BFF"/>
    <w:rsid w:val="00134BF0"/>
    <w:rsid w:val="001518DF"/>
    <w:rsid w:val="00183597"/>
    <w:rsid w:val="00197E70"/>
    <w:rsid w:val="001B27C4"/>
    <w:rsid w:val="002806B7"/>
    <w:rsid w:val="00392738"/>
    <w:rsid w:val="003E61E3"/>
    <w:rsid w:val="003F4714"/>
    <w:rsid w:val="00401D65"/>
    <w:rsid w:val="004223E8"/>
    <w:rsid w:val="00424108"/>
    <w:rsid w:val="004365F9"/>
    <w:rsid w:val="004A3DE0"/>
    <w:rsid w:val="004A784B"/>
    <w:rsid w:val="0059487A"/>
    <w:rsid w:val="005B7079"/>
    <w:rsid w:val="00655E22"/>
    <w:rsid w:val="006D793E"/>
    <w:rsid w:val="00720735"/>
    <w:rsid w:val="0073677D"/>
    <w:rsid w:val="007C0149"/>
    <w:rsid w:val="008051E5"/>
    <w:rsid w:val="0082223F"/>
    <w:rsid w:val="00824A23"/>
    <w:rsid w:val="00877007"/>
    <w:rsid w:val="008B5129"/>
    <w:rsid w:val="009441E2"/>
    <w:rsid w:val="009A757D"/>
    <w:rsid w:val="00A10A53"/>
    <w:rsid w:val="00AC73D5"/>
    <w:rsid w:val="00B05254"/>
    <w:rsid w:val="00B13ADF"/>
    <w:rsid w:val="00B24BBA"/>
    <w:rsid w:val="00B83595"/>
    <w:rsid w:val="00B926E5"/>
    <w:rsid w:val="00C21DAD"/>
    <w:rsid w:val="00C54DC8"/>
    <w:rsid w:val="00C73692"/>
    <w:rsid w:val="00C76C93"/>
    <w:rsid w:val="00C93BB7"/>
    <w:rsid w:val="00CB25E9"/>
    <w:rsid w:val="00D0165E"/>
    <w:rsid w:val="00D31FBE"/>
    <w:rsid w:val="00D65581"/>
    <w:rsid w:val="00D75C7B"/>
    <w:rsid w:val="00D8218E"/>
    <w:rsid w:val="00D85C7B"/>
    <w:rsid w:val="00D9683F"/>
    <w:rsid w:val="00DE2224"/>
    <w:rsid w:val="00E234E9"/>
    <w:rsid w:val="00E62889"/>
    <w:rsid w:val="00E71DFF"/>
    <w:rsid w:val="00E7536F"/>
    <w:rsid w:val="00E7771B"/>
    <w:rsid w:val="00E82898"/>
    <w:rsid w:val="00ED3713"/>
    <w:rsid w:val="00F6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E61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1343698656">
      <w:bodyDiv w:val="1"/>
      <w:marLeft w:val="0"/>
      <w:marRight w:val="0"/>
      <w:marTop w:val="0"/>
      <w:marBottom w:val="0"/>
      <w:divBdr>
        <w:top w:val="none" w:sz="0" w:space="0" w:color="auto"/>
        <w:left w:val="none" w:sz="0" w:space="0" w:color="auto"/>
        <w:bottom w:val="none" w:sz="0" w:space="0" w:color="auto"/>
        <w:right w:val="none" w:sz="0" w:space="0" w:color="auto"/>
      </w:divBdr>
    </w:div>
    <w:div w:id="1754399951">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5</b:RefOrder>
  </b:Source>
  <b:Source>
    <b:Tag>Hij20</b:Tag>
    <b:SourceType>JournalArticle</b:SourceType>
    <b:Guid>{4F82B767-A350-421E-BBA8-E1295E09E951}</b:Guid>
    <b:Title>LevelSpace: a NetLogo extension for multi-level agent-based modeling</b:Title>
    <b:Year>2020</b:Year>
    <b:Author>
      <b:Author>
        <b:NameList>
          <b:Person>
            <b:Last>Hijorth</b:Last>
            <b:First>A</b:First>
          </b:Person>
          <b:Person>
            <b:Last>Head</b:Last>
            <b:First>B</b:First>
          </b:Person>
          <b:Person>
            <b:Last>Brady</b:Last>
            <b:First>C</b:First>
          </b:Person>
          <b:Person>
            <b:Last>Wilensky</b:Last>
            <b:First>U</b:First>
          </b:Person>
        </b:NameList>
      </b:Author>
    </b:Author>
    <b:JournalName>Journal of Artificial Societies &amp; Social Simulation</b:JournalName>
    <b:Pages>1-24</b:Pages>
    <b:Volume>23</b:Volume>
    <b:Issue>1</b:Issue>
    <b:DOI>10.18564/jasss.4130</b:DOI>
    <b:RefOrder>6</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b:RefOrder>
  </b:Source>
</b:Sources>
</file>

<file path=customXml/itemProps1.xml><?xml version="1.0" encoding="utf-8"?>
<ds:datastoreItem xmlns:ds="http://schemas.openxmlformats.org/officeDocument/2006/customXml" ds:itemID="{8924D405-9DDC-47E3-A23F-48E37458F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TotalTime>
  <Pages>6</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48</cp:revision>
  <dcterms:created xsi:type="dcterms:W3CDTF">2019-05-19T17:38:00Z</dcterms:created>
  <dcterms:modified xsi:type="dcterms:W3CDTF">2020-11-09T00:46:00Z</dcterms:modified>
</cp:coreProperties>
</file>