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44CC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20494A" w:rsidR="0082223F" w:rsidRDefault="00D9588C" w:rsidP="0082223F">
      <w:pPr>
        <w:pStyle w:val="Title"/>
      </w:pPr>
      <w:r>
        <w:t>Week 8</w:t>
      </w:r>
      <w:r w:rsidR="0082223F">
        <w:t xml:space="preserve">: </w:t>
      </w:r>
      <w:r>
        <w:t>Artificial Intelligence for Business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AB44F6C" w:rsidR="00CB25E9" w:rsidRDefault="00D9588C" w:rsidP="0082223F">
      <w:pPr>
        <w:jc w:val="center"/>
      </w:pPr>
      <w:r>
        <w:t>November 22,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2A8A287" w:rsidR="0082223F" w:rsidRDefault="00D9588C" w:rsidP="005B7079">
      <w:pPr>
        <w:pStyle w:val="Heading1"/>
      </w:pPr>
      <w:r>
        <w:lastRenderedPageBreak/>
        <w:t>Artificial Intelligence for Business</w:t>
      </w:r>
    </w:p>
    <w:p w14:paraId="4A6FFE9E" w14:textId="21D22C0C" w:rsidR="00D9588C" w:rsidRDefault="002507A0" w:rsidP="002507A0">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automation uses patterns to make predictions (</w:t>
      </w:r>
      <w:proofErr w:type="spellStart"/>
      <w:r>
        <w:t>Schleer</w:t>
      </w:r>
      <w:proofErr w:type="spellEnd"/>
      <w:r>
        <w:t xml:space="preserve"> et al.</w:t>
      </w:r>
      <w:r w:rsidR="001045AB">
        <w:t>,</w:t>
      </w:r>
      <w:r>
        <w:t xml:space="preserve"> 2019).  Smart vehicles </w:t>
      </w:r>
      <w:r w:rsidR="007516D8">
        <w:t xml:space="preserve">and autonomous driving industries </w:t>
      </w:r>
      <w:r>
        <w:t>are area</w:t>
      </w:r>
      <w:r w:rsidR="007516D8">
        <w:t>s</w:t>
      </w:r>
      <w:r>
        <w:t xml:space="preserve"> of research that seeks to fuse this symbiotic relationship.  As this partnership flourish</w:t>
      </w:r>
      <w:r w:rsidR="005C56AA">
        <w:t>es</w:t>
      </w:r>
      <w:r>
        <w:t>, it will continue creating advancements across safety, convenience, resource utilization, and smart city integrations.</w:t>
      </w:r>
    </w:p>
    <w:p w14:paraId="0577B33C" w14:textId="5BA198CC" w:rsidR="00D9588C" w:rsidRDefault="00D9588C" w:rsidP="00D9588C">
      <w:pPr>
        <w:pStyle w:val="Heading1"/>
      </w:pPr>
      <w:r>
        <w:t>Technical Characteristics of Systems</w:t>
      </w:r>
    </w:p>
    <w:p w14:paraId="726BFA23" w14:textId="52B8AD23" w:rsidR="005C56AA" w:rsidRDefault="002507A0" w:rsidP="005C56AA">
      <w:pPr>
        <w:ind w:firstLine="720"/>
        <w:rPr>
          <w:i/>
          <w:iCs/>
        </w:rPr>
      </w:pPr>
      <w:r>
        <w:t xml:space="preserve">Dreams of artificial intelligence trace back to philosophical debates in ancient Greece.  Prometheus would mold handfuls of clay into images of the gods, and later these creatures were given life.  </w:t>
      </w:r>
      <w:r w:rsidR="005C56AA">
        <w:t xml:space="preserve">Models for realizing these autonomous creatures began in </w:t>
      </w:r>
      <w:r>
        <w:t>mathematics, biology, and computer science before eventually producing modern artificial intelligence</w:t>
      </w:r>
      <w:r w:rsidR="005C56AA">
        <w:t xml:space="preserve"> </w:t>
      </w:r>
      <w:r w:rsidR="005C56AA">
        <w:t>(</w:t>
      </w:r>
      <w:proofErr w:type="spellStart"/>
      <w:r w:rsidR="005C56AA">
        <w:t>Lukac</w:t>
      </w:r>
      <w:proofErr w:type="spellEnd"/>
      <w:r w:rsidR="005C56AA">
        <w:t xml:space="preserve"> et al., 2018)</w:t>
      </w:r>
      <w:r>
        <w:t xml:space="preserve">.  </w:t>
      </w:r>
      <w:r w:rsidR="005C56AA">
        <w:t>While these different domains have unique perspectives, they collectively</w:t>
      </w:r>
      <w:r w:rsidR="005C56AA">
        <w:t xml:space="preserve"> divide systems into those that </w:t>
      </w:r>
      <w:r w:rsidR="005C56AA">
        <w:rPr>
          <w:i/>
          <w:iCs/>
        </w:rPr>
        <w:t xml:space="preserve">think </w:t>
      </w:r>
      <w:r w:rsidR="005C56AA">
        <w:t xml:space="preserve">versus </w:t>
      </w:r>
      <w:r w:rsidR="005C56AA" w:rsidRPr="005C56AA">
        <w:rPr>
          <w:i/>
          <w:iCs/>
        </w:rPr>
        <w:t>act</w:t>
      </w:r>
      <w:r w:rsidR="005C56AA">
        <w:rPr>
          <w:i/>
          <w:iCs/>
        </w:rPr>
        <w:t>,</w:t>
      </w:r>
      <w:r w:rsidR="005C56AA">
        <w:t xml:space="preserve"> either </w:t>
      </w:r>
      <w:r w:rsidR="005C56AA">
        <w:rPr>
          <w:i/>
          <w:iCs/>
        </w:rPr>
        <w:t xml:space="preserve">human </w:t>
      </w:r>
      <w:r w:rsidR="005C56AA">
        <w:t xml:space="preserve">or </w:t>
      </w:r>
      <w:r w:rsidR="005C56AA" w:rsidRPr="005C56AA">
        <w:rPr>
          <w:i/>
          <w:iCs/>
        </w:rPr>
        <w:t>rationa</w:t>
      </w:r>
      <w:r w:rsidR="005C56AA">
        <w:rPr>
          <w:i/>
          <w:iCs/>
        </w:rPr>
        <w:t xml:space="preserve">lly </w:t>
      </w:r>
      <w:r w:rsidR="005C56AA">
        <w:t>(see Table 1)</w:t>
      </w:r>
      <w:r w:rsidR="005C56AA">
        <w:rPr>
          <w:i/>
          <w:iCs/>
        </w:rPr>
        <w:t>.</w:t>
      </w:r>
    </w:p>
    <w:p w14:paraId="11D70257" w14:textId="5D0CBA55" w:rsidR="00C03433" w:rsidRDefault="00C03433" w:rsidP="00C03433">
      <w:pPr>
        <w:pStyle w:val="Caption"/>
      </w:pPr>
      <w:r>
        <w:t>Table 1: System Characteristics</w:t>
      </w:r>
    </w:p>
    <w:tbl>
      <w:tblPr>
        <w:tblStyle w:val="GridTable5Dark"/>
        <w:tblW w:w="0" w:type="auto"/>
        <w:tblLook w:val="04A0" w:firstRow="1" w:lastRow="0" w:firstColumn="1" w:lastColumn="0" w:noHBand="0" w:noVBand="1"/>
      </w:tblPr>
      <w:tblGrid>
        <w:gridCol w:w="1795"/>
        <w:gridCol w:w="3240"/>
        <w:gridCol w:w="4315"/>
      </w:tblGrid>
      <w:tr w:rsidR="005C56AA" w14:paraId="2E276913" w14:textId="77777777" w:rsidTr="005C5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5DA1AC" w14:textId="77777777" w:rsidR="005C56AA" w:rsidRDefault="005C56AA" w:rsidP="005C56AA"/>
        </w:tc>
        <w:tc>
          <w:tcPr>
            <w:tcW w:w="3240" w:type="dxa"/>
          </w:tcPr>
          <w:p w14:paraId="3C103AC5" w14:textId="2463E69B" w:rsidR="005C56AA" w:rsidRDefault="005C56AA" w:rsidP="005C56AA">
            <w:pPr>
              <w:cnfStyle w:val="100000000000" w:firstRow="1" w:lastRow="0" w:firstColumn="0" w:lastColumn="0" w:oddVBand="0" w:evenVBand="0" w:oddHBand="0" w:evenHBand="0" w:firstRowFirstColumn="0" w:firstRowLastColumn="0" w:lastRowFirstColumn="0" w:lastRowLastColumn="0"/>
            </w:pPr>
            <w:r>
              <w:t>Think</w:t>
            </w:r>
          </w:p>
        </w:tc>
        <w:tc>
          <w:tcPr>
            <w:tcW w:w="4315" w:type="dxa"/>
          </w:tcPr>
          <w:p w14:paraId="55AB7800" w14:textId="5E9579E7" w:rsidR="005C56AA" w:rsidRDefault="005C56AA" w:rsidP="005C56AA">
            <w:pPr>
              <w:cnfStyle w:val="100000000000" w:firstRow="1" w:lastRow="0" w:firstColumn="0" w:lastColumn="0" w:oddVBand="0" w:evenVBand="0" w:oddHBand="0" w:evenHBand="0" w:firstRowFirstColumn="0" w:firstRowLastColumn="0" w:lastRowFirstColumn="0" w:lastRowLastColumn="0"/>
            </w:pPr>
            <w:r>
              <w:t>Act</w:t>
            </w:r>
          </w:p>
        </w:tc>
      </w:tr>
      <w:tr w:rsidR="005C56AA" w14:paraId="74335220" w14:textId="77777777" w:rsidTr="005C5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F6C5E9" w14:textId="06D88005" w:rsidR="005C56AA" w:rsidRDefault="005C56AA" w:rsidP="005C56AA">
            <w:r>
              <w:t>Human</w:t>
            </w:r>
          </w:p>
        </w:tc>
        <w:tc>
          <w:tcPr>
            <w:tcW w:w="3240" w:type="dxa"/>
          </w:tcPr>
          <w:p w14:paraId="6E134479" w14:textId="0A4F0AED" w:rsidR="005C56AA" w:rsidRDefault="005C56AA" w:rsidP="005C56AA">
            <w:pPr>
              <w:tabs>
                <w:tab w:val="center" w:pos="1512"/>
              </w:tabs>
              <w:cnfStyle w:val="000000100000" w:firstRow="0" w:lastRow="0" w:firstColumn="0" w:lastColumn="0" w:oddVBand="0" w:evenVBand="0" w:oddHBand="1" w:evenHBand="0" w:firstRowFirstColumn="0" w:firstRowLastColumn="0" w:lastRowFirstColumn="0" w:lastRowLastColumn="0"/>
            </w:pPr>
            <w:r>
              <w:t>Cruise Control</w:t>
            </w:r>
            <w:r>
              <w:tab/>
            </w:r>
          </w:p>
        </w:tc>
        <w:tc>
          <w:tcPr>
            <w:tcW w:w="4315" w:type="dxa"/>
          </w:tcPr>
          <w:p w14:paraId="7436C513" w14:textId="24A2CFE7" w:rsidR="005C56AA" w:rsidRDefault="005C56AA" w:rsidP="005C56AA">
            <w:pPr>
              <w:cnfStyle w:val="000000100000" w:firstRow="0" w:lastRow="0" w:firstColumn="0" w:lastColumn="0" w:oddVBand="0" w:evenVBand="0" w:oddHBand="1" w:evenHBand="0" w:firstRowFirstColumn="0" w:firstRowLastColumn="0" w:lastRowFirstColumn="0" w:lastRowLastColumn="0"/>
            </w:pPr>
            <w:r>
              <w:t>Mimic rolling to the stop sign</w:t>
            </w:r>
          </w:p>
        </w:tc>
      </w:tr>
      <w:tr w:rsidR="005C56AA" w14:paraId="2F672FA1" w14:textId="77777777" w:rsidTr="005C56AA">
        <w:tc>
          <w:tcPr>
            <w:cnfStyle w:val="001000000000" w:firstRow="0" w:lastRow="0" w:firstColumn="1" w:lastColumn="0" w:oddVBand="0" w:evenVBand="0" w:oddHBand="0" w:evenHBand="0" w:firstRowFirstColumn="0" w:firstRowLastColumn="0" w:lastRowFirstColumn="0" w:lastRowLastColumn="0"/>
            <w:tcW w:w="1795" w:type="dxa"/>
          </w:tcPr>
          <w:p w14:paraId="6FE288F0" w14:textId="486B6DB5" w:rsidR="005C56AA" w:rsidRDefault="005C56AA" w:rsidP="005C56AA">
            <w:r>
              <w:t>Rational</w:t>
            </w:r>
          </w:p>
        </w:tc>
        <w:tc>
          <w:tcPr>
            <w:tcW w:w="3240" w:type="dxa"/>
          </w:tcPr>
          <w:p w14:paraId="60AC4E01" w14:textId="10237071" w:rsidR="005C56AA" w:rsidRDefault="005C56AA" w:rsidP="005C56AA">
            <w:pPr>
              <w:cnfStyle w:val="000000000000" w:firstRow="0" w:lastRow="0" w:firstColumn="0" w:lastColumn="0" w:oddVBand="0" w:evenVBand="0" w:oddHBand="0" w:evenHBand="0" w:firstRowFirstColumn="0" w:firstRowLastColumn="0" w:lastRowFirstColumn="0" w:lastRowLastColumn="0"/>
            </w:pPr>
            <w:r>
              <w:t>Adaptive Cruise Control</w:t>
            </w:r>
          </w:p>
        </w:tc>
        <w:tc>
          <w:tcPr>
            <w:tcW w:w="4315" w:type="dxa"/>
          </w:tcPr>
          <w:p w14:paraId="4D396F14" w14:textId="271350C8" w:rsidR="005C56AA" w:rsidRDefault="005C56AA" w:rsidP="005C56AA">
            <w:pPr>
              <w:cnfStyle w:val="000000000000" w:firstRow="0" w:lastRow="0" w:firstColumn="0" w:lastColumn="0" w:oddVBand="0" w:evenVBand="0" w:oddHBand="0" w:evenHBand="0" w:firstRowFirstColumn="0" w:firstRowLastColumn="0" w:lastRowFirstColumn="0" w:lastRowLastColumn="0"/>
            </w:pPr>
            <w:r>
              <w:t>Change lanes to avoid a pothole</w:t>
            </w:r>
          </w:p>
        </w:tc>
      </w:tr>
    </w:tbl>
    <w:p w14:paraId="3F38A6F2" w14:textId="77777777" w:rsidR="005C56AA" w:rsidRDefault="005C56AA" w:rsidP="005C56AA"/>
    <w:p w14:paraId="5718D80E" w14:textId="74A7AD40" w:rsidR="00D9588C" w:rsidRDefault="00D9588C" w:rsidP="00D9588C">
      <w:pPr>
        <w:pStyle w:val="Heading2"/>
      </w:pPr>
      <w:r>
        <w:t>System Requirements</w:t>
      </w:r>
    </w:p>
    <w:p w14:paraId="3E17D230" w14:textId="288B21AE" w:rsidR="002507A0" w:rsidRDefault="002507A0" w:rsidP="002507A0">
      <w:pPr>
        <w:ind w:firstLine="720"/>
      </w:pPr>
      <w:r>
        <w:t xml:space="preserve">Machine learning can enhance every aspect of the drive, from extending the physical parts’ lifespan to increasing the driver’s overall satisfaction.  Figure 1 contains a non-exhaustive taxonomy of use-cases for artificial intelligence in motor vehicles, such as reducing wear and </w:t>
      </w:r>
      <w:r>
        <w:lastRenderedPageBreak/>
        <w:t>tear and object detection.  Many items, such as Voice Assistance (V</w:t>
      </w:r>
      <w:r w:rsidR="003D65E6">
        <w:t>A</w:t>
      </w:r>
      <w:r>
        <w:t xml:space="preserve">), could arguably live under a different pillar (e.g., </w:t>
      </w:r>
      <w:r w:rsidR="003D65E6">
        <w:t>s</w:t>
      </w:r>
      <w:r>
        <w:t>afety).  However, safety systems could exist in the same capacity using more traditional interfaces, making this example fall under conveniences.</w:t>
      </w:r>
    </w:p>
    <w:p w14:paraId="32E746F7" w14:textId="77777777" w:rsidR="002507A0" w:rsidRPr="009039D4" w:rsidRDefault="002507A0" w:rsidP="002507A0">
      <w:pPr>
        <w:pStyle w:val="Caption"/>
      </w:pPr>
      <w:r>
        <w:t>Figure 1: Taxonomy of Example Use-Cases</w:t>
      </w:r>
    </w:p>
    <w:p w14:paraId="6D9A4F2A" w14:textId="27FE84ED" w:rsidR="002507A0" w:rsidRDefault="002507A0" w:rsidP="002507A0">
      <w:r>
        <w:rPr>
          <w:noProof/>
        </w:rPr>
        <w:drawing>
          <wp:inline distT="0" distB="0" distL="0" distR="0" wp14:anchorId="53DBEB81" wp14:editId="29D5685E">
            <wp:extent cx="6003235" cy="1987826"/>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0EDA6EB" w14:textId="03C671FA" w:rsidR="00D9588C" w:rsidRDefault="00D9588C" w:rsidP="00D9588C">
      <w:pPr>
        <w:pStyle w:val="Heading2"/>
      </w:pPr>
      <w:r>
        <w:t xml:space="preserve">Resources </w:t>
      </w:r>
      <w:r w:rsidR="00535E4F">
        <w:t>Requirements</w:t>
      </w:r>
    </w:p>
    <w:p w14:paraId="0CF84876" w14:textId="0714AD67" w:rsidR="00D6271A" w:rsidRDefault="00B51EA2" w:rsidP="00D6271A">
      <w:pPr>
        <w:ind w:firstLine="720"/>
      </w:pPr>
      <w:r>
        <w:t>Since c</w:t>
      </w:r>
      <w:r w:rsidR="007516D8">
        <w:t xml:space="preserve">overing </w:t>
      </w:r>
      <w:r w:rsidR="00D6271A">
        <w:t xml:space="preserve">each </w:t>
      </w:r>
      <w:r w:rsidR="007516D8">
        <w:t>use-case in full detail would fill multiple books</w:t>
      </w:r>
      <w:r>
        <w:t>, this section</w:t>
      </w:r>
      <w:r w:rsidR="007516D8">
        <w:t xml:space="preserve"> </w:t>
      </w:r>
      <w:r>
        <w:t xml:space="preserve">reviews </w:t>
      </w:r>
      <w:proofErr w:type="gramStart"/>
      <w:r>
        <w:t>these user-scenarios’ commonality</w:t>
      </w:r>
      <w:proofErr w:type="gramEnd"/>
      <w:r w:rsidR="007516D8">
        <w:t>.  The lifeblood of these systems is data, and only through synthesizing information into knowledge can they be more adaptive.</w:t>
      </w:r>
      <w:r w:rsidR="003A1704">
        <w:t xml:space="preserve">  These processes require mechanisms for collecting telemetry, performing data mining, and modeling the interactions (see Figure 2).  As simulations run across that model, statistical distributions form</w:t>
      </w:r>
      <w:r w:rsidR="00111A99">
        <w:t xml:space="preserve">, </w:t>
      </w:r>
      <w:r w:rsidR="003A1704">
        <w:t>lead</w:t>
      </w:r>
      <w:r w:rsidR="00111A99">
        <w:t xml:space="preserve">ing to </w:t>
      </w:r>
      <w:r w:rsidR="003A1704">
        <w:t>predictive capabilities.</w:t>
      </w:r>
      <w:r w:rsidR="00DF5016">
        <w:t xml:space="preserve">  When the model’s complexity model grows or the required accuracy increases, the learning system also needs more examples to cover each scenario.</w:t>
      </w:r>
    </w:p>
    <w:p w14:paraId="2D9D43A5" w14:textId="5116BFED" w:rsidR="00D6271A" w:rsidRDefault="00D6271A" w:rsidP="00D6271A">
      <w:pPr>
        <w:ind w:firstLine="720"/>
      </w:pPr>
      <w:r>
        <w:t xml:space="preserve">Consider the analogy of building an All-Wheel-Drive (AWD) feature that only knows about Florida’s flat topical roads.  Despite the engineers’ best efforts, the vehicle will encounter challenges on Colorado’s ice-covered mountainous climbs.  Similar behaviors exist across the autonomous vehicle supply chain and demand either (a) more data or (b) more erroneous assumptions.  This trade-off introduces </w:t>
      </w:r>
      <w:r w:rsidR="00E0291F">
        <w:t xml:space="preserve">acceptable </w:t>
      </w:r>
      <w:r>
        <w:t xml:space="preserve">feature specific risks in specific situations (e.g., entertainment modules) and undesirable </w:t>
      </w:r>
      <w:r w:rsidR="00E0291F">
        <w:t xml:space="preserve">consequences for </w:t>
      </w:r>
      <w:r>
        <w:t>others (e.g., safety modules).</w:t>
      </w:r>
    </w:p>
    <w:p w14:paraId="38DD4836" w14:textId="77777777" w:rsidR="00D6271A" w:rsidRDefault="00D6271A" w:rsidP="00D6271A">
      <w:pPr>
        <w:pStyle w:val="Caption"/>
      </w:pPr>
      <w:r>
        <w:lastRenderedPageBreak/>
        <w:t>Figure 2: System Design</w:t>
      </w:r>
    </w:p>
    <w:p w14:paraId="5F902B62" w14:textId="5701112D" w:rsidR="00D6271A" w:rsidRDefault="00D6271A" w:rsidP="0055285F">
      <w:pPr>
        <w:jc w:val="center"/>
      </w:pPr>
      <w:r>
        <w:rPr>
          <w:noProof/>
        </w:rPr>
        <w:drawing>
          <wp:inline distT="0" distB="0" distL="0" distR="0" wp14:anchorId="48431C3D" wp14:editId="3102A31E">
            <wp:extent cx="5237085" cy="2276677"/>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0948" cy="2287051"/>
                    </a:xfrm>
                    <a:prstGeom prst="rect">
                      <a:avLst/>
                    </a:prstGeom>
                  </pic:spPr>
                </pic:pic>
              </a:graphicData>
            </a:graphic>
          </wp:inline>
        </w:drawing>
      </w:r>
    </w:p>
    <w:p w14:paraId="408D6F69" w14:textId="2C889DC7" w:rsidR="0055285F" w:rsidRDefault="00535E4F" w:rsidP="0055285F">
      <w:pPr>
        <w:ind w:firstLine="720"/>
      </w:pPr>
      <w:r>
        <w:t xml:space="preserve">Around 2014, GAN (Generative Adversarial) Networks became the state-of-the-art approach to produce high-quality </w:t>
      </w:r>
      <w:r w:rsidR="0055285F">
        <w:t xml:space="preserve">detection and </w:t>
      </w:r>
      <w:r>
        <w:t>fabricated content</w:t>
      </w:r>
      <w:sdt>
        <w:sdtPr>
          <w:id w:val="-1457558552"/>
          <w:citation/>
        </w:sdtPr>
        <w:sdtContent>
          <w:r>
            <w:fldChar w:fldCharType="begin"/>
          </w:r>
          <w:r>
            <w:instrText xml:space="preserve"> CITATION Fri20 \l 1033 </w:instrText>
          </w:r>
          <w:r>
            <w:fldChar w:fldCharType="separate"/>
          </w:r>
          <w:r>
            <w:rPr>
              <w:noProof/>
            </w:rPr>
            <w:t xml:space="preserve"> (Fridman, 2020)</w:t>
          </w:r>
          <w:r>
            <w:fldChar w:fldCharType="end"/>
          </w:r>
        </w:sdtContent>
      </w:sdt>
      <w:r>
        <w:t>.  These systems utilize a feedback loop between a Generative N</w:t>
      </w:r>
      <w:r>
        <w:t>N</w:t>
      </w:r>
      <w:r>
        <w:t xml:space="preserve"> (GNN) and Discriminator N</w:t>
      </w:r>
      <w:r>
        <w:t>N</w:t>
      </w:r>
      <w:r>
        <w:t xml:space="preserve"> (DNN).  Each iteration outputs a ‘Deep-Fake’ asset and assesses its likelihood of being legitimate</w:t>
      </w:r>
      <w:r w:rsidR="0055285F">
        <w:t xml:space="preserve"> </w:t>
      </w:r>
      <w:r w:rsidR="0055285F">
        <w:t>(see Figure 3).</w:t>
      </w:r>
      <w:r w:rsidR="0055285F">
        <w:t xml:space="preserve">  </w:t>
      </w:r>
      <w:r>
        <w:t>This process enables both systems to learn from one another, continuously improving.</w:t>
      </w:r>
    </w:p>
    <w:p w14:paraId="754CEBDC" w14:textId="77777777" w:rsidR="0055285F" w:rsidRDefault="0055285F" w:rsidP="0055285F">
      <w:pPr>
        <w:pStyle w:val="Caption"/>
      </w:pPr>
      <w:r>
        <w:t>Figure 3: Training Configuration</w:t>
      </w:r>
    </w:p>
    <w:p w14:paraId="230151E2" w14:textId="77777777" w:rsidR="0055285F" w:rsidRPr="00535E4F" w:rsidRDefault="0055285F" w:rsidP="0055285F">
      <w:pPr>
        <w:jc w:val="center"/>
      </w:pPr>
      <w:r>
        <w:rPr>
          <w:noProof/>
        </w:rPr>
        <w:drawing>
          <wp:inline distT="0" distB="0" distL="0" distR="0" wp14:anchorId="04AF016E" wp14:editId="34ED1FA9">
            <wp:extent cx="4480526" cy="2648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1518" cy="2731646"/>
                    </a:xfrm>
                    <a:prstGeom prst="rect">
                      <a:avLst/>
                    </a:prstGeom>
                  </pic:spPr>
                </pic:pic>
              </a:graphicData>
            </a:graphic>
          </wp:inline>
        </w:drawing>
      </w:r>
    </w:p>
    <w:p w14:paraId="10199A03" w14:textId="77777777" w:rsidR="0055285F" w:rsidRDefault="0055285F" w:rsidP="0055285F">
      <w:pPr>
        <w:ind w:firstLine="720"/>
      </w:pPr>
    </w:p>
    <w:p w14:paraId="1B3EC620" w14:textId="7DB9C998" w:rsidR="00535E4F" w:rsidRDefault="0055285F" w:rsidP="00535E4F">
      <w:pPr>
        <w:ind w:firstLine="720"/>
      </w:pPr>
      <w:r>
        <w:lastRenderedPageBreak/>
        <w:t>Automotive companies like Formula-One use this methodology to synthesize more efficient race-cars that can safely operate at high speeds</w:t>
      </w:r>
      <w:sdt>
        <w:sdtPr>
          <w:id w:val="-735551338"/>
          <w:citation/>
        </w:sdtPr>
        <w:sdtContent>
          <w:r>
            <w:fldChar w:fldCharType="begin"/>
          </w:r>
          <w:r>
            <w:instrText xml:space="preserve"> CITATION Sme19 \l 1033 </w:instrText>
          </w:r>
          <w:r>
            <w:fldChar w:fldCharType="separate"/>
          </w:r>
          <w:r>
            <w:rPr>
              <w:noProof/>
            </w:rPr>
            <w:t xml:space="preserve"> (Smedley, 2019)</w:t>
          </w:r>
          <w:r>
            <w:fldChar w:fldCharType="end"/>
          </w:r>
        </w:sdtContent>
      </w:sdt>
      <w:r>
        <w:t>.  First, a collection of features load into the GNN and its simulation environment.  Next, the output flows into a DNN, which assesses the feasibility of that solution. Then, the GNN modifies the solution’s parameters to search for a higher score.</w:t>
      </w:r>
      <w:r w:rsidR="00AA7908">
        <w:t xml:space="preserve">  </w:t>
      </w:r>
      <w:r w:rsidR="00535E4F">
        <w:t>During the training process, periodic snapshots archive the content and model state for offline troubleshooting use cases.</w:t>
      </w:r>
    </w:p>
    <w:p w14:paraId="1CCD89B6" w14:textId="2FE3FA37" w:rsidR="00AA7908" w:rsidRDefault="00AA7908" w:rsidP="00AA7908">
      <w:pPr>
        <w:ind w:firstLine="720"/>
      </w:pPr>
      <w:r>
        <w:t xml:space="preserve">The </w:t>
      </w:r>
      <w:r>
        <w:t xml:space="preserve">simulation </w:t>
      </w:r>
      <w:r>
        <w:t xml:space="preserve">consists of the </w:t>
      </w:r>
      <w:r>
        <w:t xml:space="preserve">environment, participants, and one or more objectives.  Each participant, called an agent, attempts to complete its objective under a set of guiding rules and principles.  For instance, </w:t>
      </w:r>
      <w:proofErr w:type="spellStart"/>
      <w:r>
        <w:t>NetLogo’s</w:t>
      </w:r>
      <w:proofErr w:type="spellEnd"/>
      <w:r>
        <w:t xml:space="preserve"> </w:t>
      </w:r>
      <w:proofErr w:type="spellStart"/>
      <w:r>
        <w:t>BeeSmart</w:t>
      </w:r>
      <w:proofErr w:type="spellEnd"/>
      <w:r>
        <w:t xml:space="preserve"> environment contains multiple bees that attempt to maximize food production from various honey pots within a given scene</w:t>
      </w:r>
      <w:sdt>
        <w:sdtPr>
          <w:id w:val="282005456"/>
          <w:citation/>
        </w:sdtPr>
        <w:sdtContent>
          <w:r>
            <w:fldChar w:fldCharType="begin"/>
          </w:r>
          <w:r>
            <w:instrText xml:space="preserve"> CITATION Wil14 \l 1033 </w:instrText>
          </w:r>
          <w:r>
            <w:fldChar w:fldCharType="separate"/>
          </w:r>
          <w:r>
            <w:rPr>
              <w:noProof/>
            </w:rPr>
            <w:t xml:space="preserve"> (Wilensky, 2014)</w:t>
          </w:r>
          <w:r>
            <w:fldChar w:fldCharType="end"/>
          </w:r>
        </w:sdtContent>
      </w:sdt>
      <w:r>
        <w:t>.  Initially, the swarm fumbles around until discovering a couple of locations.  After some time, the colony will divide across multiple honey pots and compare site values with neighboring peers.  Eventually, the bees converge to the optimal configuration that provides the maximum food for the hive.</w:t>
      </w:r>
    </w:p>
    <w:p w14:paraId="1428D680" w14:textId="4974785A" w:rsidR="00AA7908" w:rsidRDefault="00AA7908" w:rsidP="00AA7908">
      <w:pPr>
        <w:pStyle w:val="Caption"/>
      </w:pPr>
      <w:r>
        <w:t xml:space="preserve">Figure </w:t>
      </w:r>
      <w:r w:rsidR="00C67BB7">
        <w:t>4</w:t>
      </w:r>
      <w:r>
        <w:t xml:space="preserve">: </w:t>
      </w:r>
      <w:proofErr w:type="spellStart"/>
      <w:r>
        <w:t>BeeSmart</w:t>
      </w:r>
      <w:proofErr w:type="spellEnd"/>
      <w:r>
        <w:t xml:space="preserve"> Simulation </w:t>
      </w:r>
      <w:sdt>
        <w:sdtPr>
          <w:id w:val="1031689376"/>
          <w:citation/>
        </w:sdtPr>
        <w:sdtContent>
          <w:r>
            <w:fldChar w:fldCharType="begin"/>
          </w:r>
          <w:r>
            <w:instrText xml:space="preserve"> CITATION Wil14 \l 1033 </w:instrText>
          </w:r>
          <w:r>
            <w:fldChar w:fldCharType="separate"/>
          </w:r>
          <w:r>
            <w:rPr>
              <w:noProof/>
            </w:rPr>
            <w:t>(Wilensky, 2014)</w:t>
          </w:r>
          <w:r>
            <w:fldChar w:fldCharType="end"/>
          </w:r>
        </w:sdtContent>
      </w:sdt>
    </w:p>
    <w:p w14:paraId="7DB995A2" w14:textId="77777777" w:rsidR="00AA7908" w:rsidRDefault="00AA7908" w:rsidP="00AA7908">
      <w:pPr>
        <w:jc w:val="center"/>
      </w:pPr>
      <w:r>
        <w:rPr>
          <w:noProof/>
        </w:rPr>
        <w:drawing>
          <wp:inline distT="0" distB="0" distL="0" distR="0" wp14:anchorId="633FA540" wp14:editId="1BB36F81">
            <wp:extent cx="4801445" cy="2725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2765" cy="2766439"/>
                    </a:xfrm>
                    <a:prstGeom prst="rect">
                      <a:avLst/>
                    </a:prstGeom>
                  </pic:spPr>
                </pic:pic>
              </a:graphicData>
            </a:graphic>
          </wp:inline>
        </w:drawing>
      </w:r>
      <w:r>
        <w:t xml:space="preserve">  </w:t>
      </w:r>
    </w:p>
    <w:p w14:paraId="53AE5D57" w14:textId="77777777" w:rsidR="00AA7908" w:rsidRDefault="00AA7908" w:rsidP="00AA7908">
      <w:pPr>
        <w:ind w:firstLine="720"/>
      </w:pPr>
      <w:r>
        <w:lastRenderedPageBreak/>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3302DBAE" w14:textId="77777777" w:rsidR="00D9588C" w:rsidRDefault="00D9588C" w:rsidP="00D9588C">
      <w:pPr>
        <w:pStyle w:val="Heading1"/>
      </w:pPr>
      <w:r>
        <w:t xml:space="preserve">Timelines </w:t>
      </w:r>
    </w:p>
    <w:p w14:paraId="7308DFF1" w14:textId="5802CF98" w:rsidR="00D9588C" w:rsidRDefault="00D9588C" w:rsidP="00D9588C">
      <w:pPr>
        <w:pStyle w:val="Heading2"/>
      </w:pPr>
      <w:r>
        <w:t>Acquisition</w:t>
      </w:r>
    </w:p>
    <w:p w14:paraId="6CA6615C" w14:textId="660AA767" w:rsidR="00D9588C" w:rsidRDefault="00D9588C" w:rsidP="00D9588C">
      <w:pPr>
        <w:pStyle w:val="Heading2"/>
      </w:pPr>
      <w:r>
        <w:t>Custom Development</w:t>
      </w:r>
    </w:p>
    <w:p w14:paraId="13D95E4E" w14:textId="77777777" w:rsidR="00D9588C" w:rsidRDefault="00D9588C" w:rsidP="00D9588C">
      <w:pPr>
        <w:pStyle w:val="Heading1"/>
      </w:pPr>
      <w:r>
        <w:t>User Considerations</w:t>
      </w:r>
    </w:p>
    <w:p w14:paraId="542CF9DD" w14:textId="4ECFD363" w:rsidR="00D9588C" w:rsidRDefault="00D9588C" w:rsidP="00D9588C">
      <w:pPr>
        <w:pStyle w:val="Heading2"/>
      </w:pPr>
      <w:r>
        <w:t>Interactions</w:t>
      </w:r>
    </w:p>
    <w:p w14:paraId="4F94D293" w14:textId="48D61895" w:rsidR="002507A0" w:rsidRDefault="002507A0" w:rsidP="002507A0">
      <w:pPr>
        <w:ind w:firstLine="360"/>
      </w:pPr>
      <w:r>
        <w:t>Traditional software follows the model of</w:t>
      </w:r>
      <w:r w:rsidR="00535E4F">
        <w:t xml:space="preserve"> </w:t>
      </w:r>
      <m:oMath>
        <m:r>
          <w:rPr>
            <w:rFonts w:ascii="Cambria Math" w:hAnsi="Cambria Math"/>
          </w:rPr>
          <m:t>data+rules=outcomes</m:t>
        </m:r>
      </m:oMath>
      <w:r>
        <w:rPr>
          <w:i/>
          <w:iCs/>
        </w:rPr>
        <w:t xml:space="preserve">.  </w:t>
      </w:r>
      <w:r>
        <w:t xml:space="preserve">In contrast, intelligent systems </w:t>
      </w:r>
      <w:r w:rsidR="00535E4F">
        <w:t xml:space="preserve">derive </w:t>
      </w:r>
      <m:oMath>
        <m:r>
          <w:rPr>
            <w:rFonts w:ascii="Cambria Math" w:hAnsi="Cambria Math"/>
          </w:rPr>
          <m:t xml:space="preserve">rules= </m:t>
        </m:r>
        <m:r>
          <w:rPr>
            <w:rFonts w:ascii="Cambria Math" w:hAnsi="Cambria Math"/>
          </w:rPr>
          <m:t>data+</m:t>
        </m:r>
        <m:r>
          <w:rPr>
            <w:rFonts w:ascii="Cambria Math" w:hAnsi="Cambria Math"/>
          </w:rPr>
          <m:t>outcomes</m:t>
        </m:r>
      </m:oMath>
      <w:r>
        <w:t xml:space="preserve">.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r w:rsidR="004B1D72">
        <w:t xml:space="preserve"> (Huang et al., 2019)</w:t>
      </w:r>
      <w:r>
        <w:t>.</w:t>
      </w:r>
      <w:r w:rsidR="00535E4F">
        <w:t xml:space="preserve">  As the task type moves from left to right (see Table 1), it requires substantially more sophistication to produce quality results.  </w:t>
      </w:r>
    </w:p>
    <w:p w14:paraId="0E2C7A35" w14:textId="44349A95" w:rsidR="00535E4F" w:rsidRDefault="00535E4F" w:rsidP="00535E4F">
      <w:pPr>
        <w:pStyle w:val="Caption"/>
      </w:pPr>
      <w:r>
        <w:t>Table 1: Task Types</w:t>
      </w:r>
    </w:p>
    <w:tbl>
      <w:tblPr>
        <w:tblStyle w:val="TableGrid"/>
        <w:tblW w:w="0" w:type="auto"/>
        <w:tblLook w:val="04A0" w:firstRow="1" w:lastRow="0" w:firstColumn="1" w:lastColumn="0" w:noHBand="0" w:noVBand="1"/>
      </w:tblPr>
      <w:tblGrid>
        <w:gridCol w:w="2337"/>
        <w:gridCol w:w="2337"/>
        <w:gridCol w:w="2338"/>
        <w:gridCol w:w="2338"/>
      </w:tblGrid>
      <w:tr w:rsidR="00535E4F" w14:paraId="058A6305" w14:textId="77777777" w:rsidTr="00535E4F">
        <w:tc>
          <w:tcPr>
            <w:tcW w:w="2337" w:type="dxa"/>
          </w:tcPr>
          <w:p w14:paraId="0617B5AF" w14:textId="77777777" w:rsidR="00535E4F" w:rsidRDefault="00535E4F" w:rsidP="00535E4F"/>
        </w:tc>
        <w:tc>
          <w:tcPr>
            <w:tcW w:w="2337" w:type="dxa"/>
          </w:tcPr>
          <w:p w14:paraId="56A1BD42" w14:textId="638CF0CB" w:rsidR="00535E4F" w:rsidRDefault="00535E4F" w:rsidP="00535E4F">
            <w:r>
              <w:t>Mechanical</w:t>
            </w:r>
          </w:p>
        </w:tc>
        <w:tc>
          <w:tcPr>
            <w:tcW w:w="2338" w:type="dxa"/>
          </w:tcPr>
          <w:p w14:paraId="15E68025" w14:textId="1404A37D" w:rsidR="00535E4F" w:rsidRDefault="00535E4F" w:rsidP="00535E4F">
            <w:r>
              <w:t>Thinking</w:t>
            </w:r>
          </w:p>
        </w:tc>
        <w:tc>
          <w:tcPr>
            <w:tcW w:w="2338" w:type="dxa"/>
          </w:tcPr>
          <w:p w14:paraId="46CEC5E3" w14:textId="1E0F7D16" w:rsidR="00535E4F" w:rsidRDefault="00535E4F" w:rsidP="00535E4F">
            <w:r>
              <w:t>Feeling</w:t>
            </w:r>
          </w:p>
        </w:tc>
      </w:tr>
      <w:tr w:rsidR="00535E4F" w14:paraId="3BC36B8F" w14:textId="77777777" w:rsidTr="00535E4F">
        <w:tc>
          <w:tcPr>
            <w:tcW w:w="2337" w:type="dxa"/>
          </w:tcPr>
          <w:p w14:paraId="29056A38" w14:textId="5425C4DC" w:rsidR="00535E4F" w:rsidRDefault="00535E4F" w:rsidP="00535E4F">
            <w:r>
              <w:t>Description</w:t>
            </w:r>
          </w:p>
        </w:tc>
        <w:tc>
          <w:tcPr>
            <w:tcW w:w="2337" w:type="dxa"/>
          </w:tcPr>
          <w:p w14:paraId="4FC8B10C" w14:textId="67269220" w:rsidR="00535E4F" w:rsidRDefault="00535E4F" w:rsidP="00535E4F">
            <w:r>
              <w:t>Highly repetitive actions that benefit from automation</w:t>
            </w:r>
          </w:p>
        </w:tc>
        <w:tc>
          <w:tcPr>
            <w:tcW w:w="2338" w:type="dxa"/>
          </w:tcPr>
          <w:p w14:paraId="613CF6DE" w14:textId="1E537964" w:rsidR="00535E4F" w:rsidRDefault="00535E4F" w:rsidP="00535E4F">
            <w:r>
              <w:t>Operations that require analysis and rationalization</w:t>
            </w:r>
          </w:p>
        </w:tc>
        <w:tc>
          <w:tcPr>
            <w:tcW w:w="2338" w:type="dxa"/>
          </w:tcPr>
          <w:p w14:paraId="7AD796DC" w14:textId="0E28ABC2" w:rsidR="00535E4F" w:rsidRDefault="00535E4F" w:rsidP="00535E4F">
            <w:r>
              <w:t>Emulate interpersonal experiences, and express empathy toward the users</w:t>
            </w:r>
          </w:p>
        </w:tc>
      </w:tr>
      <w:tr w:rsidR="00535E4F" w14:paraId="52BEA58F" w14:textId="77777777" w:rsidTr="00535E4F">
        <w:tc>
          <w:tcPr>
            <w:tcW w:w="2337" w:type="dxa"/>
          </w:tcPr>
          <w:p w14:paraId="53022DAE" w14:textId="164DDBB4" w:rsidR="00535E4F" w:rsidRDefault="00535E4F" w:rsidP="00535E4F">
            <w:r>
              <w:t>Examples</w:t>
            </w:r>
          </w:p>
        </w:tc>
        <w:tc>
          <w:tcPr>
            <w:tcW w:w="2337" w:type="dxa"/>
          </w:tcPr>
          <w:p w14:paraId="23E050D7" w14:textId="77777777" w:rsidR="00535E4F" w:rsidRDefault="00535E4F" w:rsidP="00535E4F">
            <w:pPr>
              <w:pStyle w:val="ListParagraph"/>
              <w:numPr>
                <w:ilvl w:val="0"/>
                <w:numId w:val="2"/>
              </w:numPr>
            </w:pPr>
            <w:r>
              <w:t>Turning on lights</w:t>
            </w:r>
          </w:p>
          <w:p w14:paraId="159F5929" w14:textId="67618962" w:rsidR="00535E4F" w:rsidRDefault="00535E4F" w:rsidP="00535E4F">
            <w:pPr>
              <w:pStyle w:val="ListParagraph"/>
              <w:numPr>
                <w:ilvl w:val="0"/>
                <w:numId w:val="2"/>
              </w:numPr>
            </w:pPr>
            <w:r>
              <w:t>Assembly line construction</w:t>
            </w:r>
          </w:p>
        </w:tc>
        <w:tc>
          <w:tcPr>
            <w:tcW w:w="2338" w:type="dxa"/>
          </w:tcPr>
          <w:p w14:paraId="5910965D" w14:textId="77777777" w:rsidR="00535E4F" w:rsidRDefault="00535E4F" w:rsidP="00535E4F">
            <w:pPr>
              <w:pStyle w:val="ListParagraph"/>
              <w:numPr>
                <w:ilvl w:val="0"/>
                <w:numId w:val="2"/>
              </w:numPr>
            </w:pPr>
            <w:r>
              <w:t>Image recognition</w:t>
            </w:r>
          </w:p>
          <w:p w14:paraId="57F3C734" w14:textId="77777777" w:rsidR="00535E4F" w:rsidRDefault="00535E4F" w:rsidP="00535E4F">
            <w:pPr>
              <w:pStyle w:val="ListParagraph"/>
              <w:numPr>
                <w:ilvl w:val="0"/>
                <w:numId w:val="2"/>
              </w:numPr>
            </w:pPr>
            <w:r>
              <w:t>Grammar validation</w:t>
            </w:r>
          </w:p>
          <w:p w14:paraId="1D2C316B" w14:textId="2DA45BC3" w:rsidR="00535E4F" w:rsidRDefault="00535E4F" w:rsidP="00535E4F">
            <w:pPr>
              <w:pStyle w:val="ListParagraph"/>
              <w:numPr>
                <w:ilvl w:val="0"/>
                <w:numId w:val="2"/>
              </w:numPr>
            </w:pPr>
            <w:r>
              <w:t>Safe to change lanes</w:t>
            </w:r>
          </w:p>
        </w:tc>
        <w:tc>
          <w:tcPr>
            <w:tcW w:w="2338" w:type="dxa"/>
          </w:tcPr>
          <w:p w14:paraId="16F0B1F2" w14:textId="3CBA8331" w:rsidR="00535E4F" w:rsidRDefault="00535E4F" w:rsidP="00535E4F">
            <w:pPr>
              <w:pStyle w:val="ListParagraph"/>
              <w:numPr>
                <w:ilvl w:val="0"/>
                <w:numId w:val="2"/>
              </w:numPr>
            </w:pPr>
            <w:r>
              <w:t>Empathizing with a driver after an accident</w:t>
            </w:r>
          </w:p>
          <w:p w14:paraId="4370A033" w14:textId="186933B0" w:rsidR="00535E4F" w:rsidRDefault="00535E4F" w:rsidP="00535E4F">
            <w:pPr>
              <w:pStyle w:val="ListParagraph"/>
              <w:numPr>
                <w:ilvl w:val="0"/>
                <w:numId w:val="2"/>
              </w:numPr>
            </w:pPr>
            <w:r>
              <w:t>Human Resource Systems</w:t>
            </w:r>
          </w:p>
        </w:tc>
      </w:tr>
    </w:tbl>
    <w:p w14:paraId="679476A4" w14:textId="35A2A78B" w:rsidR="00D9588C" w:rsidRDefault="00D9588C" w:rsidP="00D9588C">
      <w:pPr>
        <w:pStyle w:val="Heading2"/>
      </w:pPr>
      <w:r>
        <w:t>Experiences</w:t>
      </w:r>
    </w:p>
    <w:p w14:paraId="7EB92BE2" w14:textId="40D9CB18" w:rsidR="002507A0" w:rsidRDefault="002507A0" w:rsidP="002507A0">
      <w:pPr>
        <w:ind w:firstLine="720"/>
      </w:pPr>
      <w:r>
        <w:lastRenderedPageBreak/>
        <w:t>Artificial intelligent systems that augment existing business processes are more likely to succeed</w:t>
      </w:r>
      <w:sdt>
        <w:sdtPr>
          <w:id w:val="-947543700"/>
          <w:citation/>
        </w:sdtPr>
        <w:sdtContent>
          <w:r>
            <w:fldChar w:fldCharType="begin"/>
          </w:r>
          <w:r>
            <w:instrText xml:space="preserve"> CITATION Gar19 \l 1033 </w:instrText>
          </w:r>
          <w:r>
            <w:fldChar w:fldCharType="separate"/>
          </w:r>
          <w:r>
            <w:rPr>
              <w:noProof/>
            </w:rPr>
            <w:t xml:space="preserve"> (Garbuio &amp; Lin, 2019)</w:t>
          </w:r>
          <w:r>
            <w:fldChar w:fldCharType="end"/>
          </w:r>
        </w:sdtContent>
      </w:sdt>
      <w:r>
        <w:t>.  Accomplishing this goal begins with identifying what problem exists, its impact, and potential value.  Today, Contoso Motors employs several staff members to read and monitor social media.  The business can use sentiment analysis to classify and prioritize only the messages that require human intervention.  Since the team does not need to review every tweet, this automation change frees them to perform additional customer relationship tasks.  In addition to providing immediate value to the organization, its statement of work and purpose is explainable to senior leadership.</w:t>
      </w:r>
    </w:p>
    <w:p w14:paraId="7B7EE6A7" w14:textId="41A14E34" w:rsidR="004B1D72" w:rsidRDefault="004B1D72" w:rsidP="004B1D72">
      <w:pPr>
        <w:ind w:firstLine="720"/>
      </w:pPr>
      <w:r>
        <w:t>Huang et al. (2019) state that incorporating human emotion into A</w:t>
      </w:r>
      <w:r w:rsidR="003D65E6">
        <w:t>I</w:t>
      </w:r>
      <w:r>
        <w:t xml:space="preserve"> systems is a decade away.  Perhaps this is true for the general case, but initial wins also exist along the way.  For instance, the system could also capture sentiment analysis information about the thread before commenting. Those reactions can then feed into a stylistic decision model that chooses more appropriate tones.  This capability would allow the publishing pipeline to emit more impactful content that harnesses the </w:t>
      </w:r>
      <w:r w:rsidR="001045AB">
        <w:t>customer’s</w:t>
      </w:r>
      <w:r>
        <w:t xml:space="preserve"> </w:t>
      </w:r>
      <w:r w:rsidR="001045AB">
        <w:t>emotions</w:t>
      </w:r>
      <w:r>
        <w:t>.</w:t>
      </w:r>
    </w:p>
    <w:p w14:paraId="7D2A12DF" w14:textId="77777777" w:rsidR="00D9588C" w:rsidRDefault="00D9588C" w:rsidP="00D9588C">
      <w:pPr>
        <w:pStyle w:val="Heading1"/>
      </w:pPr>
      <w:r>
        <w:t xml:space="preserve">Performance Metrics </w:t>
      </w:r>
    </w:p>
    <w:p w14:paraId="034F22F9" w14:textId="4CF2188D" w:rsidR="00D9588C" w:rsidRDefault="001045AB" w:rsidP="00D9588C">
      <w:pPr>
        <w:pStyle w:val="Heading2"/>
      </w:pPr>
      <w:r>
        <w:t>Measuring</w:t>
      </w:r>
      <w:r w:rsidR="00D9588C">
        <w:t xml:space="preserve"> </w:t>
      </w:r>
      <w:r>
        <w:t>Success</w:t>
      </w:r>
    </w:p>
    <w:p w14:paraId="1350C765" w14:textId="0774F70D" w:rsidR="002507A0" w:rsidRPr="002507A0" w:rsidRDefault="002507A0" w:rsidP="004B1D72">
      <w:pPr>
        <w:ind w:firstLine="720"/>
      </w:pPr>
      <w:r>
        <w:t>Artificial intelligence comes in many forms and applies to a wide array of scenarios, making it challenging to define success arbitrarily.  Instead, organizations should identify both the value and resource constraints involved with the project, similar to any other Information Communication and Technology (ICT) system</w:t>
      </w:r>
      <w:sdt>
        <w:sdtPr>
          <w:id w:val="-475221859"/>
          <w:citation/>
        </w:sdtPr>
        <w:sdtContent>
          <w:r>
            <w:fldChar w:fldCharType="begin"/>
          </w:r>
          <w:r>
            <w:instrText xml:space="preserve"> CITATION Jai18 \l 1033 </w:instrText>
          </w:r>
          <w:r>
            <w:fldChar w:fldCharType="separate"/>
          </w:r>
          <w:r>
            <w:rPr>
              <w:noProof/>
            </w:rPr>
            <w:t xml:space="preserve"> (Jain, 2018)</w:t>
          </w:r>
          <w:r>
            <w:fldChar w:fldCharType="end"/>
          </w:r>
        </w:sdtContent>
      </w:sdt>
      <w:r>
        <w:t xml:space="preserve">.  For instance, Contoso Motors wants to implement a smarter cruise control with 3% better fuel mileage for its SUV (Sport Utility Vehicles).  According to the data, the vehicle expends significant fuel on inclines, so the engineering team chooses to optimize this aspect with a terrain classification system.  Now that </w:t>
      </w:r>
      <w:r>
        <w:lastRenderedPageBreak/>
        <w:t xml:space="preserve">the researchers have a problem definition, performance metrics, and potential solution, they can report what level of success is delivered.  However, alternative solutions might also exist that do not require artificial intelligence.  Instead, the engineering team might implement business policies as static firmware code.  Perhaps upgrading the hardware of the onboard </w:t>
      </w:r>
      <w:r w:rsidR="004B1D72">
        <w:t xml:space="preserve">firmware </w:t>
      </w:r>
      <w:r>
        <w:t>also results in a three percent improvement.</w:t>
      </w:r>
    </w:p>
    <w:p w14:paraId="3B993ADA" w14:textId="7A1E1F51" w:rsidR="00D9588C" w:rsidRDefault="00D9588C" w:rsidP="00D9588C">
      <w:pPr>
        <w:pStyle w:val="Heading2"/>
      </w:pPr>
      <w:r>
        <w:t>User Training</w:t>
      </w:r>
    </w:p>
    <w:p w14:paraId="52ECD07E" w14:textId="5A47B562" w:rsidR="00D9588C" w:rsidRDefault="00D9588C" w:rsidP="00535E4F">
      <w:pPr>
        <w:pStyle w:val="Heading2"/>
      </w:pPr>
      <w:r>
        <w:t>Monitoring</w:t>
      </w:r>
    </w:p>
    <w:p w14:paraId="4CFDD6EE" w14:textId="3FAF1D6C" w:rsidR="00D9588C" w:rsidRDefault="00D9588C" w:rsidP="00D9588C">
      <w:pPr>
        <w:pStyle w:val="Heading1"/>
      </w:pPr>
      <w:r>
        <w:t>Limitations and Challenges</w:t>
      </w:r>
    </w:p>
    <w:p w14:paraId="3C0896A5" w14:textId="4EF1D530" w:rsidR="00D9588C" w:rsidRDefault="00D9588C" w:rsidP="00D9588C">
      <w:pPr>
        <w:pStyle w:val="Heading2"/>
      </w:pPr>
      <w:r>
        <w:t>Potential Issues</w:t>
      </w:r>
    </w:p>
    <w:p w14:paraId="5EC07355" w14:textId="77777777" w:rsidR="004B1D72" w:rsidRDefault="004B1D72" w:rsidP="004B1D72">
      <w:pPr>
        <w:ind w:firstLine="720"/>
      </w:pPr>
      <w:r>
        <w:t>It can be challenging to model real-world business scenarios due to the volume of interactions and their inter-relationships.  Some organizations approach these issues by building monolithic models that are difficult to scale, operate, and update.  Instead, businesses need to decompose the problem into an environment, participants, and objectives.  An agent program manages the state of an individual and any behavior policies.  When additional scenarios or behaviors are necessary, engineers can create isolated changes, enabling agile experimentation.</w:t>
      </w:r>
    </w:p>
    <w:p w14:paraId="18155C26" w14:textId="09A1E10B" w:rsidR="004B1D72" w:rsidRDefault="004B1D72" w:rsidP="004B1D72">
      <w:r>
        <w:t>An analyst can study macro-systems by invoking multiple agent program</w:t>
      </w:r>
      <w:r w:rsidR="003D65E6">
        <w:t xml:space="preserve"> instances</w:t>
      </w:r>
      <w:r>
        <w:t xml:space="preserve"> and aggregating individual decisions into swarms.</w:t>
      </w:r>
    </w:p>
    <w:p w14:paraId="2E8C7DBC" w14:textId="7EA4B010" w:rsidR="004B1D72" w:rsidRPr="004B1D72" w:rsidRDefault="004B1D72" w:rsidP="004B1D72">
      <w:r>
        <w:tab/>
        <w:t>Many simulation environments need to find the best choice from K-states across L-decisions.  This setup creates exponential permutations (e.g., K</w:t>
      </w:r>
      <w:r w:rsidRPr="006A03ED">
        <w:rPr>
          <w:vertAlign w:val="superscript"/>
        </w:rPr>
        <w:t>L</w:t>
      </w:r>
      <w:r>
        <w:t xml:space="preserve"> choices), which is difficult to enumerate even with cloud computing.  Using Genetic Algorithms (GA) reduces the search by cross-breeding the fittest specimens.  Simulation models can also require different levels of fidelity and precision.  Administrators can incorporate these needs into Multi-Level Agent-Based </w:t>
      </w:r>
      <w:r>
        <w:lastRenderedPageBreak/>
        <w:t>Modeling (ML-ABM) to approximate tedious values and provide supporting evidence for critical data points.</w:t>
      </w:r>
    </w:p>
    <w:p w14:paraId="7A74CA75" w14:textId="7E953E78" w:rsidR="00D9588C" w:rsidRDefault="00D9588C" w:rsidP="00D9588C">
      <w:pPr>
        <w:pStyle w:val="Heading2"/>
      </w:pPr>
      <w:r>
        <w:t>Potential Solutions</w:t>
      </w:r>
    </w:p>
    <w:p w14:paraId="64B608DB" w14:textId="77777777" w:rsidR="004B1D72" w:rsidRDefault="004B1D72" w:rsidP="004B1D72">
      <w:pPr>
        <w:ind w:firstLine="720"/>
      </w:pPr>
      <w:r>
        <w:t>Intelligent agents form decisions from a predefined action space using static rules or Neural Networks (NN).  Artificial neural networks (ANN) are inferior to humans because they are greedy, brittle, rigid, and opaque</w:t>
      </w:r>
      <w:sdt>
        <w:sdtPr>
          <w:id w:val="-1876846419"/>
          <w:citation/>
        </w:sdtPr>
        <w:sdtContent>
          <w:r>
            <w:fldChar w:fldCharType="begin"/>
          </w:r>
          <w:r>
            <w:instrText xml:space="preserve"> CITATION Hol19 \l 1033 </w:instrText>
          </w:r>
          <w:r>
            <w:fldChar w:fldCharType="separate"/>
          </w:r>
          <w:r>
            <w:rPr>
              <w:noProof/>
            </w:rPr>
            <w:t xml:space="preserve"> (Hole &amp; Ahmad, 2019)</w:t>
          </w:r>
          <w:r>
            <w:fldChar w:fldCharType="end"/>
          </w:r>
        </w:sdtContent>
      </w:sdt>
      <w:r>
        <w:t xml:space="preserve">.  These technologies excel at </w:t>
      </w:r>
      <w:r w:rsidRPr="00D31834">
        <w:t>memorizing</w:t>
      </w:r>
      <w:r>
        <w:t xml:space="preserve"> or patterns, not contextually understanding them, which causes erroneous behavior under novel conditions.  While researchers are quick to highlight this issue (Hole &amp; Ahmad, 2019; </w:t>
      </w:r>
      <w:proofErr w:type="spellStart"/>
      <w:r>
        <w:t>Wildberger</w:t>
      </w:r>
      <w:proofErr w:type="spellEnd"/>
      <w:r>
        <w:t>, 1996), does it matter in the world of tomorrow?</w:t>
      </w:r>
    </w:p>
    <w:p w14:paraId="367E97D2" w14:textId="77777777" w:rsidR="004B1D72" w:rsidRDefault="004B1D72" w:rsidP="004B1D72">
      <w:pPr>
        <w:pStyle w:val="Caption"/>
      </w:pPr>
      <w:r>
        <w:t>Figure 4: Blended Cyber-Physical System</w:t>
      </w:r>
    </w:p>
    <w:p w14:paraId="31931A19" w14:textId="77777777" w:rsidR="004B1D72" w:rsidRDefault="004B1D72" w:rsidP="004B1D72">
      <w:pPr>
        <w:jc w:val="center"/>
      </w:pPr>
      <w:r>
        <w:rPr>
          <w:noProof/>
        </w:rPr>
        <w:drawing>
          <wp:inline distT="0" distB="0" distL="0" distR="0" wp14:anchorId="5176488E" wp14:editId="41CA51D1">
            <wp:extent cx="3953331"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2418" cy="3034227"/>
                    </a:xfrm>
                    <a:prstGeom prst="rect">
                      <a:avLst/>
                    </a:prstGeom>
                  </pic:spPr>
                </pic:pic>
              </a:graphicData>
            </a:graphic>
          </wp:inline>
        </w:drawing>
      </w:r>
    </w:p>
    <w:p w14:paraId="3E8A8FA8" w14:textId="78A2A9BA" w:rsidR="004B1D72" w:rsidRPr="004B1D72" w:rsidRDefault="004B1D72" w:rsidP="004B1D72">
      <w:r>
        <w:tab/>
        <w:t>With the availability of Massively Parallel Processing (MPP) and high-speed networking, administrators can further blur the lines between cyber-physical systems.  When unknown situations arise, an artificial brain can treat it as a cache miss and fetch the appropriate response from a simulation service (see Figure 4).  Next, the simulator will render the calling agent</w:t>
      </w:r>
      <w:r w:rsidR="003D65E6">
        <w:t>’</w:t>
      </w:r>
      <w:r>
        <w:t xml:space="preserve">s state before searching for the best reaction.  After confirming the virtual world’s behavior meets </w:t>
      </w:r>
      <w:r>
        <w:lastRenderedPageBreak/>
        <w:t>administrative policies, the decision can safely execute in the physical world.  This mechanism is not appropriate for every situation but could apply to broad types of problems.</w:t>
      </w:r>
    </w:p>
    <w:p w14:paraId="6E5B801F" w14:textId="23510BEB" w:rsidR="00D9588C" w:rsidRDefault="00D9588C" w:rsidP="00D9588C">
      <w:pPr>
        <w:pStyle w:val="Heading1"/>
      </w:pPr>
      <w:r>
        <w:t>Ethical Considerations</w:t>
      </w:r>
    </w:p>
    <w:p w14:paraId="5DEF5D0C" w14:textId="77777777" w:rsidR="004B1D72" w:rsidRDefault="004B1D72" w:rsidP="004B1D72">
      <w:pPr>
        <w:ind w:firstLine="720"/>
      </w:pPr>
      <w:r>
        <w:t>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hundreds of blue-collar jobs.  Cities must also build universities and technical schools to train team members that will fill these roles, further expanding the job market.</w:t>
      </w:r>
    </w:p>
    <w:p w14:paraId="42D17318" w14:textId="1356429A" w:rsidR="004B1D72" w:rsidRDefault="004B1D72" w:rsidP="004B1D72">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grammatical errors.  This </w:t>
      </w:r>
      <w:r w:rsidRPr="00246BD9">
        <w:t>dichotomy</w:t>
      </w:r>
      <w:r>
        <w:t xml:space="preserve"> exists because humans specialize in contextualizing thought versus automation uses patterns to make predictions (</w:t>
      </w:r>
      <w:proofErr w:type="spellStart"/>
      <w:r>
        <w:t>Schleer</w:t>
      </w:r>
      <w:proofErr w:type="spellEnd"/>
      <w:r>
        <w:t xml:space="preserve"> et al.</w:t>
      </w:r>
      <w:r w:rsidR="003D65E6">
        <w:t>,</w:t>
      </w:r>
      <w:r>
        <w:t xml:space="preserve"> 2019).  Many professions exist as a combination of decision-making, pattern recognition, and mechanical tasks.  Expert systems address specific aspects of the job requirements; however, superseding the </w:t>
      </w:r>
      <w:proofErr w:type="gramStart"/>
      <w:r>
        <w:t>soft-skills</w:t>
      </w:r>
      <w:proofErr w:type="gramEnd"/>
      <w:r>
        <w:t xml:space="preserve"> that unify these role components is challenging (Huang et al., 2019).</w:t>
      </w:r>
    </w:p>
    <w:p w14:paraId="6CB85332" w14:textId="5A57BF28" w:rsidR="00D9588C" w:rsidRDefault="004B1D72" w:rsidP="00D9588C">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xml:space="preserve">) becomes commoditized through AI systems.  Given the </w:t>
      </w:r>
      <w:r>
        <w:lastRenderedPageBreak/>
        <w:t>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583B9BC2" w14:textId="74933174" w:rsidR="00D9588C" w:rsidRDefault="00D9588C" w:rsidP="00D9588C">
      <w:pPr>
        <w:pStyle w:val="Heading1"/>
      </w:pPr>
      <w:r>
        <w:t>Strategic Implications of the System</w:t>
      </w:r>
    </w:p>
    <w:p w14:paraId="3699B54E" w14:textId="77777777" w:rsidR="004B1D72" w:rsidRDefault="004B1D72" w:rsidP="004B1D72">
      <w:pPr>
        <w:ind w:firstLine="720"/>
      </w:pPr>
      <w:r>
        <w:t xml:space="preserve">Artificial intelligence is a tool that can automate mechanical tasks, pattern match data, and enhancing human capabilities.  Organizations can use these means to improve efficiency and reduce wastefulness.  These innovations deprecate the need for specific skill sets and lower the entry barrier into other expert systems.  While this causes an initial decrease number of jobs necessary, entirely new industries follow shortly afterward.  When a society can replace low-paying jobs with high-paying alternatives, this promotion justifies the </w:t>
      </w:r>
      <w:proofErr w:type="gramStart"/>
      <w:r>
        <w:t>short term</w:t>
      </w:r>
      <w:proofErr w:type="gramEnd"/>
      <w:r>
        <w:t xml:space="preserve"> pain.</w:t>
      </w:r>
    </w:p>
    <w:p w14:paraId="41CD5464" w14:textId="77777777" w:rsidR="004B1D72" w:rsidRDefault="004B1D72" w:rsidP="004B1D72">
      <w:r>
        <w:tab/>
        <w:t xml:space="preserve">Machine learning technology is too immature to delegate business-critical decisions.  Instead, professionals should consider these technologies for initial recommendations and to verify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7D2B5F1C" w14:textId="77777777" w:rsidR="004B1D72" w:rsidRDefault="004B1D72" w:rsidP="004B1D72">
      <w:pPr>
        <w:ind w:firstLine="720"/>
      </w:pPr>
      <w:r>
        <w:t xml:space="preserve">Laws cannot keep up with technology’s high-velocity innovation, causing businesses to define and self-regulate their ethical behavior.  Without an official solution for maintaining accountability, this ethical desire must compete against existing business priorities.  Those priorities will vary significantly between organizations, as even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w:t>
      </w:r>
      <w:r>
        <w:lastRenderedPageBreak/>
        <w:t>problems for all but the most trivial systems.  After solving those issues, ensuring the training data is inclusive requires significant investments into unverifiable results.</w:t>
      </w:r>
    </w:p>
    <w:p w14:paraId="4DDD1C76" w14:textId="3F4D094F" w:rsidR="004B1D72" w:rsidRDefault="004B1D72" w:rsidP="004B1D72">
      <w:pPr>
        <w:ind w:firstLine="720"/>
      </w:pPr>
      <w:r>
        <w:t>These limitations bring the discussion around full circle to the beginning.  Artificial intelligent systems are not ethical, evil, or corruptive.  They are tools that automate everyday tasks and lower the barrier to entry.  Users of that tool need to be cognizant of what these predictions mean and how they influence decisions.  However, that is not the same thing as delegating control with impunity.</w:t>
      </w:r>
    </w:p>
    <w:p w14:paraId="096AF1B6" w14:textId="336FC712" w:rsidR="00B51EA2" w:rsidRPr="004B1D72" w:rsidRDefault="00B51EA2" w:rsidP="00B51EA2">
      <w:pPr>
        <w:pStyle w:val="Heading1"/>
      </w:pPr>
      <w:r>
        <w:t>Conclusions</w:t>
      </w:r>
    </w:p>
    <w:sectPr w:rsidR="00B51EA2" w:rsidRPr="004B1D72"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0898D" w14:textId="77777777" w:rsidR="00044CC1" w:rsidRDefault="00044CC1" w:rsidP="0082223F">
      <w:pPr>
        <w:spacing w:line="240" w:lineRule="auto"/>
      </w:pPr>
      <w:r>
        <w:separator/>
      </w:r>
    </w:p>
  </w:endnote>
  <w:endnote w:type="continuationSeparator" w:id="0">
    <w:p w14:paraId="30AEE3D4" w14:textId="77777777" w:rsidR="00044CC1" w:rsidRDefault="00044CC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EECAA" w14:textId="77777777" w:rsidR="00044CC1" w:rsidRDefault="00044CC1" w:rsidP="0082223F">
      <w:pPr>
        <w:spacing w:line="240" w:lineRule="auto"/>
      </w:pPr>
      <w:r>
        <w:separator/>
      </w:r>
    </w:p>
  </w:footnote>
  <w:footnote w:type="continuationSeparator" w:id="0">
    <w:p w14:paraId="546E8E8F" w14:textId="77777777" w:rsidR="00044CC1" w:rsidRDefault="00044CC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B2C11"/>
    <w:multiLevelType w:val="hybridMultilevel"/>
    <w:tmpl w:val="45BA7A84"/>
    <w:lvl w:ilvl="0" w:tplc="B364A43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4CC1"/>
    <w:rsid w:val="001045AB"/>
    <w:rsid w:val="00111A99"/>
    <w:rsid w:val="00134BF0"/>
    <w:rsid w:val="00183597"/>
    <w:rsid w:val="001B27C4"/>
    <w:rsid w:val="002507A0"/>
    <w:rsid w:val="002806B7"/>
    <w:rsid w:val="003A1704"/>
    <w:rsid w:val="003D65E6"/>
    <w:rsid w:val="003F4714"/>
    <w:rsid w:val="00401D65"/>
    <w:rsid w:val="004223E8"/>
    <w:rsid w:val="00424108"/>
    <w:rsid w:val="004A784B"/>
    <w:rsid w:val="004B1D72"/>
    <w:rsid w:val="00535E4F"/>
    <w:rsid w:val="0055285F"/>
    <w:rsid w:val="005B7079"/>
    <w:rsid w:val="005C56AA"/>
    <w:rsid w:val="006D793E"/>
    <w:rsid w:val="0073677D"/>
    <w:rsid w:val="007516D8"/>
    <w:rsid w:val="0082223F"/>
    <w:rsid w:val="00877007"/>
    <w:rsid w:val="008B5129"/>
    <w:rsid w:val="009A757D"/>
    <w:rsid w:val="00AA7908"/>
    <w:rsid w:val="00B13ADF"/>
    <w:rsid w:val="00B51EA2"/>
    <w:rsid w:val="00B83595"/>
    <w:rsid w:val="00C03433"/>
    <w:rsid w:val="00C421EA"/>
    <w:rsid w:val="00C54DC8"/>
    <w:rsid w:val="00C67BB7"/>
    <w:rsid w:val="00C73692"/>
    <w:rsid w:val="00C93BB7"/>
    <w:rsid w:val="00CB25E9"/>
    <w:rsid w:val="00D0165E"/>
    <w:rsid w:val="00D6271A"/>
    <w:rsid w:val="00D75C7B"/>
    <w:rsid w:val="00D85C7B"/>
    <w:rsid w:val="00D9588C"/>
    <w:rsid w:val="00DE2224"/>
    <w:rsid w:val="00DF5016"/>
    <w:rsid w:val="00E0291F"/>
    <w:rsid w:val="00E234E9"/>
    <w:rsid w:val="00E82898"/>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2507A0"/>
    <w:pPr>
      <w:ind w:left="720"/>
      <w:contextualSpacing/>
    </w:pPr>
  </w:style>
  <w:style w:type="table" w:styleId="TableGrid">
    <w:name w:val="Table Grid"/>
    <w:basedOn w:val="TableNormal"/>
    <w:uiPriority w:val="39"/>
    <w:rsid w:val="00535E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5C56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7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1483" y="720444"/>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1483" y="720444"/>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107140" y="298350"/>
          <a:ext cx="2337861" cy="124844"/>
        </a:xfrm>
        <a:custGeom>
          <a:avLst/>
          <a:gdLst/>
          <a:ahLst/>
          <a:cxnLst/>
          <a:rect l="0" t="0" r="0" b="0"/>
          <a:pathLst>
            <a:path>
              <a:moveTo>
                <a:pt x="0" y="0"/>
              </a:moveTo>
              <a:lnTo>
                <a:pt x="0" y="62422"/>
              </a:lnTo>
              <a:lnTo>
                <a:pt x="2337861" y="62422"/>
              </a:lnTo>
              <a:lnTo>
                <a:pt x="2337861"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42141"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006318" y="720444"/>
          <a:ext cx="719342" cy="124844"/>
        </a:xfrm>
        <a:custGeom>
          <a:avLst/>
          <a:gdLst/>
          <a:ahLst/>
          <a:cxnLst/>
          <a:rect l="0" t="0" r="0" b="0"/>
          <a:pathLst>
            <a:path>
              <a:moveTo>
                <a:pt x="0" y="0"/>
              </a:moveTo>
              <a:lnTo>
                <a:pt x="0" y="62422"/>
              </a:lnTo>
              <a:lnTo>
                <a:pt x="719342" y="62422"/>
              </a:lnTo>
              <a:lnTo>
                <a:pt x="719342"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722799"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60598" y="720444"/>
          <a:ext cx="91440" cy="124844"/>
        </a:xfrm>
        <a:custGeom>
          <a:avLst/>
          <a:gdLst/>
          <a:ahLst/>
          <a:cxnLst/>
          <a:rect l="0" t="0" r="0" b="0"/>
          <a:pathLst>
            <a:path>
              <a:moveTo>
                <a:pt x="45720" y="0"/>
              </a:moveTo>
              <a:lnTo>
                <a:pt x="4572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003457"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86976" y="720444"/>
          <a:ext cx="719342" cy="124844"/>
        </a:xfrm>
        <a:custGeom>
          <a:avLst/>
          <a:gdLst/>
          <a:ahLst/>
          <a:cxnLst/>
          <a:rect l="0" t="0" r="0" b="0"/>
          <a:pathLst>
            <a:path>
              <a:moveTo>
                <a:pt x="719342" y="0"/>
              </a:moveTo>
              <a:lnTo>
                <a:pt x="719342"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107140" y="298350"/>
          <a:ext cx="899177" cy="124844"/>
        </a:xfrm>
        <a:custGeom>
          <a:avLst/>
          <a:gdLst/>
          <a:ahLst/>
          <a:cxnLst/>
          <a:rect l="0" t="0" r="0" b="0"/>
          <a:pathLst>
            <a:path>
              <a:moveTo>
                <a:pt x="0" y="0"/>
              </a:moveTo>
              <a:lnTo>
                <a:pt x="0" y="62422"/>
              </a:lnTo>
              <a:lnTo>
                <a:pt x="899177" y="62422"/>
              </a:lnTo>
              <a:lnTo>
                <a:pt x="899177"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84115" y="1142537"/>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84115"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207963" y="720444"/>
          <a:ext cx="359671" cy="124844"/>
        </a:xfrm>
        <a:custGeom>
          <a:avLst/>
          <a:gdLst/>
          <a:ahLst/>
          <a:cxnLst/>
          <a:rect l="0" t="0" r="0" b="0"/>
          <a:pathLst>
            <a:path>
              <a:moveTo>
                <a:pt x="0" y="0"/>
              </a:moveTo>
              <a:lnTo>
                <a:pt x="0" y="62422"/>
              </a:lnTo>
              <a:lnTo>
                <a:pt x="359671" y="62422"/>
              </a:lnTo>
              <a:lnTo>
                <a:pt x="359671"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64773"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848292" y="720444"/>
          <a:ext cx="359671" cy="124844"/>
        </a:xfrm>
        <a:custGeom>
          <a:avLst/>
          <a:gdLst/>
          <a:ahLst/>
          <a:cxnLst/>
          <a:rect l="0" t="0" r="0" b="0"/>
          <a:pathLst>
            <a:path>
              <a:moveTo>
                <a:pt x="359671" y="0"/>
              </a:moveTo>
              <a:lnTo>
                <a:pt x="359671"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207963" y="298350"/>
          <a:ext cx="899177" cy="124844"/>
        </a:xfrm>
        <a:custGeom>
          <a:avLst/>
          <a:gdLst/>
          <a:ahLst/>
          <a:cxnLst/>
          <a:rect l="0" t="0" r="0" b="0"/>
          <a:pathLst>
            <a:path>
              <a:moveTo>
                <a:pt x="899177" y="0"/>
              </a:moveTo>
              <a:lnTo>
                <a:pt x="899177" y="62422"/>
              </a:lnTo>
              <a:lnTo>
                <a:pt x="0" y="62422"/>
              </a:lnTo>
              <a:lnTo>
                <a:pt x="0"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45430"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69278" y="720444"/>
          <a:ext cx="359671" cy="124844"/>
        </a:xfrm>
        <a:custGeom>
          <a:avLst/>
          <a:gdLst/>
          <a:ahLst/>
          <a:cxnLst/>
          <a:rect l="0" t="0" r="0" b="0"/>
          <a:pathLst>
            <a:path>
              <a:moveTo>
                <a:pt x="0" y="0"/>
              </a:moveTo>
              <a:lnTo>
                <a:pt x="0" y="62422"/>
              </a:lnTo>
              <a:lnTo>
                <a:pt x="359671" y="62422"/>
              </a:lnTo>
              <a:lnTo>
                <a:pt x="359671"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26088" y="1142537"/>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26088"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09607" y="720444"/>
          <a:ext cx="359671" cy="124844"/>
        </a:xfrm>
        <a:custGeom>
          <a:avLst/>
          <a:gdLst/>
          <a:ahLst/>
          <a:cxnLst/>
          <a:rect l="0" t="0" r="0" b="0"/>
          <a:pathLst>
            <a:path>
              <a:moveTo>
                <a:pt x="359671" y="0"/>
              </a:moveTo>
              <a:lnTo>
                <a:pt x="359671"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69278" y="298350"/>
          <a:ext cx="2337861" cy="124844"/>
        </a:xfrm>
        <a:custGeom>
          <a:avLst/>
          <a:gdLst/>
          <a:ahLst/>
          <a:cxnLst/>
          <a:rect l="0" t="0" r="0" b="0"/>
          <a:pathLst>
            <a:path>
              <a:moveTo>
                <a:pt x="2337861" y="0"/>
              </a:moveTo>
              <a:lnTo>
                <a:pt x="2337861" y="62422"/>
              </a:lnTo>
              <a:lnTo>
                <a:pt x="0" y="62422"/>
              </a:lnTo>
              <a:lnTo>
                <a:pt x="0"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809892" y="110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809892" y="1101"/>
        <a:ext cx="594497" cy="297248"/>
      </dsp:txXfrm>
    </dsp:sp>
    <dsp:sp modelId="{6694D955-2391-49C9-9AF5-8A7DC7C68FDB}">
      <dsp:nvSpPr>
        <dsp:cNvPr id="0" name=""/>
        <dsp:cNvSpPr/>
      </dsp:nvSpPr>
      <dsp:spPr>
        <a:xfrm>
          <a:off x="472030"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472030" y="423195"/>
        <a:ext cx="594497" cy="297248"/>
      </dsp:txXfrm>
    </dsp:sp>
    <dsp:sp modelId="{37FFE4F5-ECE9-4B65-BFBB-3A93067FD053}">
      <dsp:nvSpPr>
        <dsp:cNvPr id="0" name=""/>
        <dsp:cNvSpPr/>
      </dsp:nvSpPr>
      <dsp:spPr>
        <a:xfrm>
          <a:off x="112359"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12359" y="845288"/>
        <a:ext cx="594497" cy="297248"/>
      </dsp:txXfrm>
    </dsp:sp>
    <dsp:sp modelId="{8EF201CD-5626-4601-B5EE-C2582D3B9EC2}">
      <dsp:nvSpPr>
        <dsp:cNvPr id="0" name=""/>
        <dsp:cNvSpPr/>
      </dsp:nvSpPr>
      <dsp:spPr>
        <a:xfrm>
          <a:off x="260983"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260983" y="1267381"/>
        <a:ext cx="594497" cy="297248"/>
      </dsp:txXfrm>
    </dsp:sp>
    <dsp:sp modelId="{EBEBCBF6-F886-4526-ADC1-0C66DA355ADB}">
      <dsp:nvSpPr>
        <dsp:cNvPr id="0" name=""/>
        <dsp:cNvSpPr/>
      </dsp:nvSpPr>
      <dsp:spPr>
        <a:xfrm>
          <a:off x="260983" y="168947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260983" y="1689475"/>
        <a:ext cx="594497" cy="297248"/>
      </dsp:txXfrm>
    </dsp:sp>
    <dsp:sp modelId="{10A0EFDB-ECEB-42EB-AA19-1198CB582B69}">
      <dsp:nvSpPr>
        <dsp:cNvPr id="0" name=""/>
        <dsp:cNvSpPr/>
      </dsp:nvSpPr>
      <dsp:spPr>
        <a:xfrm>
          <a:off x="831701"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831701" y="845288"/>
        <a:ext cx="594497" cy="297248"/>
      </dsp:txXfrm>
    </dsp:sp>
    <dsp:sp modelId="{09BA1DF9-B4B7-406A-BAAB-9FF891958298}">
      <dsp:nvSpPr>
        <dsp:cNvPr id="0" name=""/>
        <dsp:cNvSpPr/>
      </dsp:nvSpPr>
      <dsp:spPr>
        <a:xfrm>
          <a:off x="980325"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980325" y="1267381"/>
        <a:ext cx="594497" cy="297248"/>
      </dsp:txXfrm>
    </dsp:sp>
    <dsp:sp modelId="{313A2E3A-2A4E-4313-B14F-548EB2F9848C}">
      <dsp:nvSpPr>
        <dsp:cNvPr id="0" name=""/>
        <dsp:cNvSpPr/>
      </dsp:nvSpPr>
      <dsp:spPr>
        <a:xfrm>
          <a:off x="1910714"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910714" y="423195"/>
        <a:ext cx="594497" cy="297248"/>
      </dsp:txXfrm>
    </dsp:sp>
    <dsp:sp modelId="{AC8F89F5-D2B7-4700-9EC8-0360BA855CC7}">
      <dsp:nvSpPr>
        <dsp:cNvPr id="0" name=""/>
        <dsp:cNvSpPr/>
      </dsp:nvSpPr>
      <dsp:spPr>
        <a:xfrm>
          <a:off x="1551043"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551043" y="845288"/>
        <a:ext cx="594497" cy="297248"/>
      </dsp:txXfrm>
    </dsp:sp>
    <dsp:sp modelId="{340D9F69-F5B3-46B1-8EE3-D6D45DCCCF56}">
      <dsp:nvSpPr>
        <dsp:cNvPr id="0" name=""/>
        <dsp:cNvSpPr/>
      </dsp:nvSpPr>
      <dsp:spPr>
        <a:xfrm>
          <a:off x="1699667"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99667" y="1267381"/>
        <a:ext cx="594497" cy="297248"/>
      </dsp:txXfrm>
    </dsp:sp>
    <dsp:sp modelId="{457D25BA-45B0-478A-9F8C-137BC597846F}">
      <dsp:nvSpPr>
        <dsp:cNvPr id="0" name=""/>
        <dsp:cNvSpPr/>
      </dsp:nvSpPr>
      <dsp:spPr>
        <a:xfrm>
          <a:off x="2270385"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70385" y="845288"/>
        <a:ext cx="594497" cy="297248"/>
      </dsp:txXfrm>
    </dsp:sp>
    <dsp:sp modelId="{F6DE0FC4-2E96-4B35-BB98-157BC1FDBF59}">
      <dsp:nvSpPr>
        <dsp:cNvPr id="0" name=""/>
        <dsp:cNvSpPr/>
      </dsp:nvSpPr>
      <dsp:spPr>
        <a:xfrm>
          <a:off x="2419009"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419009" y="1267381"/>
        <a:ext cx="594497" cy="297248"/>
      </dsp:txXfrm>
    </dsp:sp>
    <dsp:sp modelId="{C9460910-B55B-4944-8C3D-A721E20434E1}">
      <dsp:nvSpPr>
        <dsp:cNvPr id="0" name=""/>
        <dsp:cNvSpPr/>
      </dsp:nvSpPr>
      <dsp:spPr>
        <a:xfrm>
          <a:off x="2419009" y="168947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419009" y="1689475"/>
        <a:ext cx="594497" cy="297248"/>
      </dsp:txXfrm>
    </dsp:sp>
    <dsp:sp modelId="{FEC08605-94C4-479A-BC1F-CD4EEEE4423F}">
      <dsp:nvSpPr>
        <dsp:cNvPr id="0" name=""/>
        <dsp:cNvSpPr/>
      </dsp:nvSpPr>
      <dsp:spPr>
        <a:xfrm>
          <a:off x="3709069"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709069" y="423195"/>
        <a:ext cx="594497" cy="297248"/>
      </dsp:txXfrm>
    </dsp:sp>
    <dsp:sp modelId="{0D482E74-CC96-477D-AACA-C23C38C5C382}">
      <dsp:nvSpPr>
        <dsp:cNvPr id="0" name=""/>
        <dsp:cNvSpPr/>
      </dsp:nvSpPr>
      <dsp:spPr>
        <a:xfrm>
          <a:off x="2989727"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89727" y="845288"/>
        <a:ext cx="594497" cy="297248"/>
      </dsp:txXfrm>
    </dsp:sp>
    <dsp:sp modelId="{D5DEDF09-6DFB-474A-B5CE-68779FA14849}">
      <dsp:nvSpPr>
        <dsp:cNvPr id="0" name=""/>
        <dsp:cNvSpPr/>
      </dsp:nvSpPr>
      <dsp:spPr>
        <a:xfrm>
          <a:off x="3138351"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138351" y="1267381"/>
        <a:ext cx="594497" cy="297248"/>
      </dsp:txXfrm>
    </dsp:sp>
    <dsp:sp modelId="{4757DC47-CDBC-4E4E-A286-63E96CAFB803}">
      <dsp:nvSpPr>
        <dsp:cNvPr id="0" name=""/>
        <dsp:cNvSpPr/>
      </dsp:nvSpPr>
      <dsp:spPr>
        <a:xfrm>
          <a:off x="3709069"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709069" y="845288"/>
        <a:ext cx="594497" cy="297248"/>
      </dsp:txXfrm>
    </dsp:sp>
    <dsp:sp modelId="{A249B7C0-EEE7-4B17-ADE6-2EDE384D27FC}">
      <dsp:nvSpPr>
        <dsp:cNvPr id="0" name=""/>
        <dsp:cNvSpPr/>
      </dsp:nvSpPr>
      <dsp:spPr>
        <a:xfrm>
          <a:off x="3857694"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57694" y="1267381"/>
        <a:ext cx="594497" cy="297248"/>
      </dsp:txXfrm>
    </dsp:sp>
    <dsp:sp modelId="{35E61991-A817-450C-9D5B-A8FA01D3A16C}">
      <dsp:nvSpPr>
        <dsp:cNvPr id="0" name=""/>
        <dsp:cNvSpPr/>
      </dsp:nvSpPr>
      <dsp:spPr>
        <a:xfrm>
          <a:off x="4428411"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28411" y="845288"/>
        <a:ext cx="594497" cy="297248"/>
      </dsp:txXfrm>
    </dsp:sp>
    <dsp:sp modelId="{D2299305-5B37-4966-BBC2-E9057D3C1FA4}">
      <dsp:nvSpPr>
        <dsp:cNvPr id="0" name=""/>
        <dsp:cNvSpPr/>
      </dsp:nvSpPr>
      <dsp:spPr>
        <a:xfrm>
          <a:off x="4577036"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77036" y="1267381"/>
        <a:ext cx="594497" cy="297248"/>
      </dsp:txXfrm>
    </dsp:sp>
    <dsp:sp modelId="{639D2286-0A2D-4085-AF2C-18023D5F5377}">
      <dsp:nvSpPr>
        <dsp:cNvPr id="0" name=""/>
        <dsp:cNvSpPr/>
      </dsp:nvSpPr>
      <dsp:spPr>
        <a:xfrm>
          <a:off x="5147753"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47753" y="423195"/>
        <a:ext cx="594497" cy="297248"/>
      </dsp:txXfrm>
    </dsp:sp>
    <dsp:sp modelId="{6F7F768C-98FD-44C3-8E24-6562EF812ACB}">
      <dsp:nvSpPr>
        <dsp:cNvPr id="0" name=""/>
        <dsp:cNvSpPr/>
      </dsp:nvSpPr>
      <dsp:spPr>
        <a:xfrm>
          <a:off x="5296378"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296378" y="845288"/>
        <a:ext cx="594497" cy="297248"/>
      </dsp:txXfrm>
    </dsp:sp>
    <dsp:sp modelId="{F35B96F1-5063-4156-A772-325FEBA1CE11}">
      <dsp:nvSpPr>
        <dsp:cNvPr id="0" name=""/>
        <dsp:cNvSpPr/>
      </dsp:nvSpPr>
      <dsp:spPr>
        <a:xfrm>
          <a:off x="5296378"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296378" y="1267381"/>
        <a:ext cx="594497" cy="2972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6</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7</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4</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3</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8</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9</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10</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11</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12</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2</b:RefOrder>
  </b:Source>
</b:Sources>
</file>

<file path=customXml/itemProps1.xml><?xml version="1.0" encoding="utf-8"?>
<ds:datastoreItem xmlns:ds="http://schemas.openxmlformats.org/officeDocument/2006/customXml" ds:itemID="{E3345080-49C8-43A6-912F-1A707D87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12</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2020-11-22T17:35:00Z</dcterms:modified>
</cp:coreProperties>
</file>