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31FB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w:t>
      </w:r>
      <w:r>
        <w:t xml:space="preserve">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 xml:space="preserve">NCU-F’s governance model requires mechanisms and processes to enforce consistency, standardization, and choose the best-in-company implementations.  </w:t>
      </w:r>
      <w:r>
        <w:t xml:space="preserve">These controls </w:t>
      </w:r>
      <w:r>
        <w:t xml:space="preserve">must foster </w:t>
      </w:r>
      <w:r>
        <w:t>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w:t>
      </w:r>
      <w:r>
        <w:t xml:space="preserve">An STL is a project owner who </w:t>
      </w:r>
      <w:r>
        <w:t xml:space="preserve">manages the </w:t>
      </w:r>
      <w:r>
        <w:t>goal</w:t>
      </w:r>
      <w:r>
        <w:t xml:space="preserve">’s lifecycle, </w:t>
      </w:r>
      <w:r>
        <w:t>governance</w:t>
      </w:r>
      <w:r>
        <w:t>,</w:t>
      </w:r>
      <w:r>
        <w:t xml:space="preserve"> and</w:t>
      </w:r>
      <w:r>
        <w:t xml:space="preserve"> stakeholder</w:t>
      </w:r>
      <w:r>
        <w:t xml:space="preserve"> communication.</w:t>
      </w:r>
      <w:r>
        <w:t xml:space="preserve">  This owner should not work on multiple goals in parallel, as it introduces project risk.</w:t>
      </w:r>
    </w:p>
    <w:p w14:paraId="5BEAC75A" w14:textId="0A8C2EED" w:rsidR="00BE5EA9" w:rsidRDefault="006039B3" w:rsidP="00BE5EA9">
      <w:pPr>
        <w:ind w:firstLine="720"/>
      </w:pPr>
      <w:r>
        <w:t>W</w:t>
      </w:r>
      <w:r>
        <w:t>hile the IT steering committee(s) establish patterns and practices, it would be unrealistic to assume complete uniformity.</w:t>
      </w:r>
      <w:r>
        <w:t xml:space="preserve">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w:t>
      </w:r>
      <w:r>
        <w:t>Representational State Transfer</w:t>
      </w:r>
      <w:r>
        <w:t xml:space="preserve">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w:t>
            </w:r>
            <w:r>
              <w:t>,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w:t>
            </w:r>
            <w:r>
              <w:t>,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w:t>
            </w:r>
            <w:r>
              <w:t>Spain</w:t>
            </w:r>
            <w:r>
              <w:t>, Hong Kong</w:t>
            </w:r>
            <w:r>
              <w:t xml:space="preserve">,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Jersey, </w:t>
            </w:r>
            <w:r>
              <w:t>Ireland</w:t>
            </w:r>
            <w:r>
              <w:t>,</w:t>
            </w:r>
            <w:r>
              <w:t xml:space="preserve"> Australia</w:t>
            </w:r>
          </w:p>
        </w:tc>
      </w:tr>
    </w:tbl>
    <w:p w14:paraId="3F095C2E" w14:textId="21A86240" w:rsidR="003E210B" w:rsidRDefault="003E210B" w:rsidP="003E210B"/>
    <w:p w14:paraId="1DBE8DB9" w14:textId="77777777" w:rsidR="00140CAE" w:rsidRDefault="00140CAE" w:rsidP="00140CAE">
      <w:pPr>
        <w:pStyle w:val="Heading1"/>
      </w:pPr>
      <w:r>
        <w:t>Identifying Initial Polices</w:t>
      </w:r>
    </w:p>
    <w:p w14:paraId="4187E24A" w14:textId="05C995D0" w:rsidR="00A5030F" w:rsidRDefault="00A5030F" w:rsidP="00140CAE">
      <w:r>
        <w:tab/>
        <w:t>IT Governance Frameworks define operating procedures, key performance indicators, and created business value.  Organizations typically start with a standard framework, such as COBIT, ITIL, and ISO 270001, and then customize it to fit their needs</w:t>
      </w:r>
      <w:r w:rsidR="00DC03AA" w:rsidRPr="00DC03AA">
        <w:t xml:space="preserve"> </w:t>
      </w:r>
      <w:sdt>
        <w:sdtPr>
          <w:id w:val="1543094024"/>
          <w:citation/>
        </w:sdtPr>
        <w:sdtContent>
          <w:r w:rsidR="00DC03AA">
            <w:fldChar w:fldCharType="begin"/>
          </w:r>
          <w:r w:rsidR="00DC03AA">
            <w:instrText xml:space="preserve"> CITATION Lin17 \l 1033 </w:instrText>
          </w:r>
          <w:r w:rsidR="00DC03AA">
            <w:fldChar w:fldCharType="separate"/>
          </w:r>
          <w:r w:rsidR="00DC03AA">
            <w:rPr>
              <w:noProof/>
            </w:rPr>
            <w:t xml:space="preserve"> (Lindros, 2017)</w:t>
          </w:r>
          <w:r w:rsidR="00DC03AA">
            <w:fldChar w:fldCharType="end"/>
          </w:r>
        </w:sdtContent>
      </w:sdt>
      <w:r>
        <w:t>.</w:t>
      </w:r>
    </w:p>
    <w:p w14:paraId="2182A192" w14:textId="102F4261" w:rsidR="00AE43E1" w:rsidRDefault="00AE43E1" w:rsidP="00AE43E1">
      <w:pPr>
        <w:pStyle w:val="Heading2"/>
      </w:pPr>
      <w:r>
        <w:t>Datacenter consolidation</w:t>
      </w:r>
    </w:p>
    <w:p w14:paraId="1DC22888" w14:textId="3210B4D0" w:rsidR="00A5030F" w:rsidRDefault="00A5030F" w:rsidP="00A5030F">
      <w:pPr>
        <w:ind w:firstLine="720"/>
      </w:pPr>
      <w:r>
        <w:t xml:space="preserve">Since NCU-F has finite resources, it must prioritize changes and release management operations.  For instance, consolidating workloads into fewer data centers might reduce networking complexity and enable more competitive volume-licensing terms.  However, the </w:t>
      </w:r>
      <w:r>
        <w:lastRenderedPageBreak/>
        <w:t>business might instead choose to rehost the applications into the cloud.  This migration could align with a hardware refresh or similar cutover event.  While moving to the cloud offers several unique capabilities (e.g., elasticity and instantaneous provisioning), it does not directly serve the business goals.</w:t>
      </w:r>
    </w:p>
    <w:p w14:paraId="45F56308" w14:textId="33BCC1C2" w:rsidR="00AE43E1" w:rsidRDefault="00AE43E1" w:rsidP="00AE43E1">
      <w:pPr>
        <w:pStyle w:val="Heading2"/>
      </w:pPr>
      <w:r>
        <w:t>Application Integration</w:t>
      </w:r>
    </w:p>
    <w:p w14:paraId="625F3E9D" w14:textId="7FB98160" w:rsidR="00A5030F" w:rsidRDefault="00A5030F" w:rsidP="00A5030F">
      <w:pPr>
        <w:ind w:firstLine="720"/>
      </w:pPr>
      <w:r>
        <w:t>Instead, the IT steering committee(s) must focus on application integrations capabilities, such as APIs and service contracts.  Additionally, business stakeholders should establish KPIs that monitor those integrations’ usefulness.  For instance, customers with savings accounts want to invest in the stock market automatically every payday.  This scenario does not exist today, but new processes can add this behavior.  Afterward, KPIs can report how many customers use the feature.</w:t>
      </w:r>
    </w:p>
    <w:p w14:paraId="0AA53704" w14:textId="73622B5D" w:rsidR="00AE43E1" w:rsidRDefault="00AE43E1" w:rsidP="00A5030F">
      <w:pPr>
        <w:ind w:firstLine="720"/>
      </w:pPr>
      <w:r>
        <w:t>Business Development Managers (BDMs) can prioritize other natural integrations, like one-click applications for a personal loan.  Supporting that capability requires significant coordination across Service Level Agreements, protocols, and data models.  The steering committee will also need to decide between building, buying, and outsourcing those capabilities.  For example, the legacy codebase might contain too much technical debt to accommodate the changes quickly.</w:t>
      </w:r>
    </w:p>
    <w:p w14:paraId="2AD2BCB0" w14:textId="1B0C8DC7" w:rsidR="00AE43E1" w:rsidRDefault="00520EFB" w:rsidP="00AE43E1">
      <w:pPr>
        <w:pStyle w:val="Heading2"/>
      </w:pPr>
      <w:r>
        <w:t xml:space="preserve">Consolidate </w:t>
      </w:r>
      <w:r w:rsidR="00AE43E1">
        <w:t>Internal Applications</w:t>
      </w:r>
    </w:p>
    <w:p w14:paraId="636D580F" w14:textId="38DCC2BB" w:rsidR="00AE43E1" w:rsidRDefault="00AE43E1" w:rsidP="00AE43E1">
      <w:r>
        <w:tab/>
        <w:t>NCU-F can consolidate its internal CRM and ERP systems to improve reporting and data consistency.  However, those changes might raise security and compliance challenges.  Consider the risks from anyone in the company being able to view customer’s transaction data.  IT Governance teams must first define acceptable use policies and establish authentication, authorization, and auditing enforcement mechanisms.</w:t>
      </w:r>
    </w:p>
    <w:p w14:paraId="0827586D" w14:textId="6649E774" w:rsidR="00520EFB" w:rsidRDefault="00520EFB" w:rsidP="00520EFB">
      <w:pPr>
        <w:pStyle w:val="Heading1"/>
      </w:pPr>
      <w:r>
        <w:lastRenderedPageBreak/>
        <w:t>Conclusions</w:t>
      </w:r>
    </w:p>
    <w:p w14:paraId="32A523F7" w14:textId="7D0D6A32" w:rsidR="00A5030F" w:rsidRDefault="00DC03AA" w:rsidP="00DC03AA">
      <w:r>
        <w:tab/>
      </w:r>
      <w:r>
        <w:t>NCU-F wants to democratize financial serves through a comprehensive portfolio of capabilities.</w:t>
      </w:r>
      <w:r>
        <w:t xml:space="preserve">  Globally, the business has many customers that use their services every day.  However, a misalignment between the IT strategy and business goals makes it challenging for customers to explore new offerings.  This fractured experience discourages cross-selling services and degraded user experience.  The organization needs to establish IT Governance patterns and practices, like an IT steering committee and STL management model.  These mechanisms and processes enable change across matrix organizations, like NCU-F.</w:t>
      </w:r>
    </w:p>
    <w:p w14:paraId="06AFED1D" w14:textId="4770D39F" w:rsidR="00DC03AA" w:rsidRDefault="00DC03AA" w:rsidP="00DC03AA">
      <w:r>
        <w:tab/>
        <w:t>There are several potential areas to improve, such as data center consolidation.  However, the leadership team must be cognizant of prioritizing business goals over purely technical plans.  Customers do not care if an application runs in the cloud or a private data center.  They only care that it performs its function securely, reliability, and consistently.  Those requirements make focusing on the application integrations more appealing.  While the business makes the necessary changes, it will also encourage intelligence and social alignment.  Through an ever-increasing alignment, future work will come easier and regularly.</w:t>
      </w:r>
    </w:p>
    <w:p w14:paraId="4E735C18" w14:textId="3AA0DCAF" w:rsidR="00DC03AA" w:rsidRDefault="00DC03AA">
      <w:r>
        <w:br w:type="page"/>
      </w:r>
    </w:p>
    <w:sdt>
      <w:sdtPr>
        <w:id w:val="429862674"/>
        <w:docPartObj>
          <w:docPartGallery w:val="Bibliographies"/>
          <w:docPartUnique/>
        </w:docPartObj>
      </w:sdtPr>
      <w:sdtEndPr>
        <w:rPr>
          <w:b w:val="0"/>
        </w:rPr>
      </w:sdtEndPr>
      <w:sdtContent>
        <w:p w14:paraId="4EE0A3B7" w14:textId="3DF5767F" w:rsidR="00DC03AA" w:rsidRPr="00DC03AA" w:rsidRDefault="00DC03AA">
          <w:pPr>
            <w:pStyle w:val="Heading1"/>
            <w:rPr>
              <w:b w:val="0"/>
              <w:bCs/>
            </w:rPr>
          </w:pPr>
          <w:r w:rsidRPr="00DC03AA">
            <w:rPr>
              <w:b w:val="0"/>
              <w:bCs/>
            </w:rPr>
            <w:t>References</w:t>
          </w:r>
        </w:p>
        <w:sdt>
          <w:sdtPr>
            <w:id w:val="-573587230"/>
            <w:bibliography/>
          </w:sdtPr>
          <w:sdtContent>
            <w:p w14:paraId="7A2400AB" w14:textId="77777777" w:rsidR="00DC03AA" w:rsidRDefault="00DC03AA" w:rsidP="00DC03AA">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23AA15F" w14:textId="77777777" w:rsidR="00DC03AA" w:rsidRDefault="00DC03AA" w:rsidP="00DC03AA">
              <w:pPr>
                <w:pStyle w:val="Bibliography"/>
                <w:ind w:left="720" w:hanging="720"/>
                <w:rPr>
                  <w:noProof/>
                </w:rPr>
              </w:pPr>
              <w:r>
                <w:rPr>
                  <w:noProof/>
                </w:rPr>
                <w:t xml:space="preserve">Bryar, C., &amp; Carr, B. (2021). </w:t>
              </w:r>
              <w:r>
                <w:rPr>
                  <w:i/>
                  <w:iCs/>
                  <w:noProof/>
                </w:rPr>
                <w:t>Working Backwards.</w:t>
              </w:r>
              <w:r>
                <w:rPr>
                  <w:noProof/>
                </w:rPr>
                <w:t xml:space="preserve"> </w:t>
              </w:r>
            </w:p>
            <w:p w14:paraId="2E4DA017" w14:textId="77777777" w:rsidR="00DC03AA" w:rsidRDefault="00DC03AA" w:rsidP="00DC03AA">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73035F61" w14:textId="23EBF0B8" w:rsidR="00DC03AA" w:rsidRDefault="00DC03AA" w:rsidP="00DC03AA">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636F01F3" w14:textId="77777777" w:rsidR="00DC03AA" w:rsidRDefault="00DC03AA" w:rsidP="00DC03AA">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1AF58A0F" w14:textId="36BE4F50" w:rsidR="00DC03AA" w:rsidRDefault="00DC03AA" w:rsidP="00DC03AA">
              <w:r>
                <w:rPr>
                  <w:b/>
                  <w:bCs/>
                  <w:noProof/>
                </w:rPr>
                <w:fldChar w:fldCharType="end"/>
              </w:r>
            </w:p>
          </w:sdtContent>
        </w:sdt>
      </w:sdtContent>
    </w:sdt>
    <w:p w14:paraId="483F08DB" w14:textId="77777777" w:rsidR="00DC03AA" w:rsidRDefault="00DC03AA" w:rsidP="00DC03AA"/>
    <w:p w14:paraId="58445F62" w14:textId="77777777" w:rsidR="00A5030F" w:rsidRDefault="00A5030F" w:rsidP="00A5030F"/>
    <w:sectPr w:rsidR="00A5030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D7C1" w14:textId="77777777" w:rsidR="00B31FBA" w:rsidRDefault="00B31FBA" w:rsidP="0082223F">
      <w:pPr>
        <w:spacing w:line="240" w:lineRule="auto"/>
      </w:pPr>
      <w:r>
        <w:separator/>
      </w:r>
    </w:p>
  </w:endnote>
  <w:endnote w:type="continuationSeparator" w:id="0">
    <w:p w14:paraId="1A42364E" w14:textId="77777777" w:rsidR="00B31FBA" w:rsidRDefault="00B31FB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C1C4" w14:textId="77777777" w:rsidR="00B31FBA" w:rsidRDefault="00B31FBA" w:rsidP="0082223F">
      <w:pPr>
        <w:spacing w:line="240" w:lineRule="auto"/>
      </w:pPr>
      <w:r>
        <w:separator/>
      </w:r>
    </w:p>
  </w:footnote>
  <w:footnote w:type="continuationSeparator" w:id="0">
    <w:p w14:paraId="22A95345" w14:textId="77777777" w:rsidR="00B31FBA" w:rsidRDefault="00B31FB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D7C4A"/>
    <w:rsid w:val="00103C56"/>
    <w:rsid w:val="00140CAE"/>
    <w:rsid w:val="00183597"/>
    <w:rsid w:val="001B27C4"/>
    <w:rsid w:val="002516A9"/>
    <w:rsid w:val="002806B7"/>
    <w:rsid w:val="002B226C"/>
    <w:rsid w:val="002D03D6"/>
    <w:rsid w:val="002F2E59"/>
    <w:rsid w:val="003E210B"/>
    <w:rsid w:val="003F4714"/>
    <w:rsid w:val="00401D65"/>
    <w:rsid w:val="004223E8"/>
    <w:rsid w:val="00424108"/>
    <w:rsid w:val="004A784B"/>
    <w:rsid w:val="00520EF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9A757D"/>
    <w:rsid w:val="009E5759"/>
    <w:rsid w:val="00A423F8"/>
    <w:rsid w:val="00A5030F"/>
    <w:rsid w:val="00AE43E1"/>
    <w:rsid w:val="00B13ADF"/>
    <w:rsid w:val="00B216AA"/>
    <w:rsid w:val="00B31FBA"/>
    <w:rsid w:val="00B83595"/>
    <w:rsid w:val="00B83A2E"/>
    <w:rsid w:val="00BE5EA9"/>
    <w:rsid w:val="00C54DC8"/>
    <w:rsid w:val="00C73692"/>
    <w:rsid w:val="00C93BB7"/>
    <w:rsid w:val="00CB25E9"/>
    <w:rsid w:val="00CC109F"/>
    <w:rsid w:val="00CF13A8"/>
    <w:rsid w:val="00D0165E"/>
    <w:rsid w:val="00D75C7B"/>
    <w:rsid w:val="00D85C7B"/>
    <w:rsid w:val="00DC03AA"/>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 w:type="paragraph" w:styleId="Bibliography">
    <w:name w:val="Bibliography"/>
    <w:basedOn w:val="Normal"/>
    <w:next w:val="Normal"/>
    <w:uiPriority w:val="37"/>
    <w:unhideWhenUsed/>
    <w:rsid w:val="00DC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 w:id="1488786186">
      <w:bodyDiv w:val="1"/>
      <w:marLeft w:val="0"/>
      <w:marRight w:val="0"/>
      <w:marTop w:val="0"/>
      <w:marBottom w:val="0"/>
      <w:divBdr>
        <w:top w:val="none" w:sz="0" w:space="0" w:color="auto"/>
        <w:left w:val="none" w:sz="0" w:space="0" w:color="auto"/>
        <w:bottom w:val="none" w:sz="0" w:space="0" w:color="auto"/>
        <w:right w:val="none" w:sz="0" w:space="0" w:color="auto"/>
      </w:divBdr>
    </w:div>
    <w:div w:id="17438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5</b:RefOrder>
  </b:Source>
</b:Sources>
</file>

<file path=customXml/itemProps1.xml><?xml version="1.0" encoding="utf-8"?>
<ds:datastoreItem xmlns:ds="http://schemas.openxmlformats.org/officeDocument/2006/customXml" ds:itemID="{FB07AAF7-74CA-44FA-8D34-5EFC5CD0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9</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2021-09-06T00:12:00Z</dcterms:modified>
</cp:coreProperties>
</file>