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75BA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5E90DBB" w:rsidR="0082223F" w:rsidRDefault="0082223F" w:rsidP="0082223F">
      <w:pPr>
        <w:pStyle w:val="Title"/>
      </w:pPr>
      <w:r>
        <w:t xml:space="preserve">Week </w:t>
      </w:r>
      <w:r w:rsidR="00067A33">
        <w:t>5</w:t>
      </w:r>
      <w:r>
        <w:t xml:space="preserve">: </w:t>
      </w:r>
      <w:r w:rsidR="00067A33">
        <w:t>Create a Risk Management Framework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120838BB" w:rsidR="00CB25E9" w:rsidRDefault="00067A33" w:rsidP="0082223F">
      <w:pPr>
        <w:jc w:val="center"/>
      </w:pPr>
      <w:r>
        <w:t>October 3</w:t>
      </w:r>
      <w:r w:rsidR="00775A78">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DE3332" w:rsidR="0082223F" w:rsidRDefault="00067A33" w:rsidP="005B7079">
      <w:pPr>
        <w:pStyle w:val="Heading1"/>
      </w:pPr>
      <w:r>
        <w:lastRenderedPageBreak/>
        <w:t>Create a Risk Management Framework</w:t>
      </w:r>
    </w:p>
    <w:p w14:paraId="6E2E37E8" w14:textId="091802B8" w:rsidR="003E52C4" w:rsidRDefault="003E52C4" w:rsidP="003E52C4">
      <w:pPr>
        <w:ind w:firstLine="720"/>
      </w:pPr>
      <w:r>
        <w:t>Traditional businesses have a smaller attack surface from well-understood sources, such as inventory management, performance management, and petty crime.  In contrast, cyber risk is dynamic and constantly evolving</w:t>
      </w:r>
      <w:r w:rsidRPr="003E52C4">
        <w:t xml:space="preserve"> </w:t>
      </w:r>
      <w:sdt>
        <w:sdtPr>
          <w:id w:val="1708604551"/>
          <w:citation/>
        </w:sdtPr>
        <w:sdtEndPr/>
        <w:sdtContent>
          <w:r>
            <w:fldChar w:fldCharType="begin"/>
          </w:r>
          <w:r>
            <w:instrText xml:space="preserve"> CITATION Gro183 \l 1033 </w:instrText>
          </w:r>
          <w:r>
            <w:fldChar w:fldCharType="separate"/>
          </w:r>
          <w:r>
            <w:rPr>
              <w:noProof/>
            </w:rPr>
            <w:t xml:space="preserve"> (Grobler, 2018)</w:t>
          </w:r>
          <w:r>
            <w:fldChar w:fldCharType="end"/>
          </w:r>
        </w:sdtContent>
      </w:sdt>
      <w:r>
        <w:t>.  NCU-F’s Chief Risk Officer (CRO) must define policies and procedures that address cyber risk through cyber security. Cybersecurity refers to a collection of mechanisms and processes that constrain risk to business systems by ensuring they meet performance and consistency expectations, even under erroneous conditions</w:t>
      </w:r>
      <w:sdt>
        <w:sdtPr>
          <w:id w:val="-1494180555"/>
          <w:citation/>
        </w:sdtPr>
        <w:sdtEndPr/>
        <w:sdtContent>
          <w:r>
            <w:fldChar w:fldCharType="begin"/>
          </w:r>
          <w:r>
            <w:instrText xml:space="preserve">CITATION Mic18 \l 1033 </w:instrText>
          </w:r>
          <w:r>
            <w:fldChar w:fldCharType="separate"/>
          </w:r>
          <w:r>
            <w:rPr>
              <w:noProof/>
            </w:rPr>
            <w:t xml:space="preserve"> (Mickens, 2018)</w:t>
          </w:r>
          <w:r>
            <w:fldChar w:fldCharType="end"/>
          </w:r>
        </w:sdtContent>
      </w:sdt>
      <w:r>
        <w:t xml:space="preserve">.  These erroneous conditions arise from malicious and negligent scenarios, degrading confidentiality, integrity, and availability of our service offerings.  </w:t>
      </w:r>
    </w:p>
    <w:p w14:paraId="203EA3F2" w14:textId="2CE6CA2D" w:rsidR="003E52C4" w:rsidRDefault="003E52C4" w:rsidP="003E52C4">
      <w:pPr>
        <w:pStyle w:val="Heading2"/>
      </w:pPr>
      <w:r>
        <w:t>Categorize Potential Vulnerabilities</w:t>
      </w:r>
    </w:p>
    <w:p w14:paraId="2F44FF8C" w14:textId="77777777" w:rsidR="003E52C4" w:rsidRDefault="003E52C4" w:rsidP="003E52C4">
      <w:pPr>
        <w:ind w:firstLine="720"/>
      </w:pPr>
      <w:r>
        <w:t>When categorizing these risks, a taxonomy needs to consider the incentives and origin of the risk</w:t>
      </w:r>
      <w:sdt>
        <w:sdtPr>
          <w:id w:val="-38670034"/>
          <w:citation/>
        </w:sdtPr>
        <w:sdtEnd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between these scenarios.  For instance, technical support staff wants to follow the cultural norms set by their employer and minimize any friction in completing their assignments</w:t>
      </w:r>
      <w:sdt>
        <w:sdtPr>
          <w:id w:val="1137607026"/>
          <w:citation/>
        </w:sdtPr>
        <w:sdtEnd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Meanwhile, malicious actors seek to exploit espionage, sabotage, and subversion attacks</w:t>
      </w:r>
      <w:sdt>
        <w:sdtPr>
          <w:id w:val="998764371"/>
          <w:citation/>
        </w:sdtPr>
        <w:sdtEndPr/>
        <w:sdtContent>
          <w:r>
            <w:fldChar w:fldCharType="begin"/>
          </w:r>
          <w:r>
            <w:instrText xml:space="preserve"> CITATION Mat14 \l 1033 </w:instrText>
          </w:r>
          <w:r>
            <w:fldChar w:fldCharType="separate"/>
          </w:r>
          <w:r>
            <w:rPr>
              <w:noProof/>
            </w:rPr>
            <w:t xml:space="preserve"> (Matsubara, 2014)</w:t>
          </w:r>
          <w:r>
            <w:fldChar w:fldCharType="end"/>
          </w:r>
        </w:sdtContent>
      </w:sdt>
      <w:r>
        <w:t>.  While policies and training can reduce the impact of erroneous technicians, those solutions do not apply to external criminals.</w:t>
      </w:r>
    </w:p>
    <w:p w14:paraId="227C6575" w14:textId="187E62BB" w:rsidR="005E7265" w:rsidRDefault="003E52C4" w:rsidP="005E7265">
      <w:pPr>
        <w:ind w:firstLine="720"/>
      </w:pPr>
      <w:r>
        <w:t xml:space="preserve">The next level of the taxonomy includes specific situations involving various people, processes, and products.  Privacy and cyber risks to a process can come from insufficient authorization and auditing controls.  For instance, failure to maintain accurate inventory records can cause inaccurate accounting of the corporate position.  Another example might come from a </w:t>
      </w:r>
      <w:r>
        <w:lastRenderedPageBreak/>
        <w:t>weak authorization policy that allows low-level employees to reboot mission-critical systems.  In contrast, cyber-crime might leverage repudiation attacks against a process such as requesting a refund before completing the purchase.</w:t>
      </w:r>
      <w:r w:rsidR="005E7265">
        <w:t xml:space="preserve">  Security researchers can uncover additional risks by assessing the impact of each STRIDE attack category</w:t>
      </w:r>
      <w:sdt>
        <w:sdtPr>
          <w:id w:val="-1472824746"/>
          <w:citation/>
        </w:sdtPr>
        <w:sdtEndPr/>
        <w:sdtContent>
          <w:r w:rsidR="005E7265">
            <w:fldChar w:fldCharType="begin"/>
          </w:r>
          <w:r w:rsidR="005E7265">
            <w:instrText xml:space="preserve"> CITATION Koh99 \l 1033 </w:instrText>
          </w:r>
          <w:r w:rsidR="005E7265">
            <w:fldChar w:fldCharType="separate"/>
          </w:r>
          <w:r w:rsidR="005E7265">
            <w:rPr>
              <w:noProof/>
            </w:rPr>
            <w:t xml:space="preserve"> (Kohnfelder &amp; Garg, 1999)</w:t>
          </w:r>
          <w:r w:rsidR="005E7265">
            <w:fldChar w:fldCharType="end"/>
          </w:r>
        </w:sdtContent>
      </w:sdt>
      <w:r w:rsidR="005E7265">
        <w:t>(Table 1).</w:t>
      </w:r>
    </w:p>
    <w:p w14:paraId="1D05ECF6" w14:textId="29738A59" w:rsidR="005E7265" w:rsidRDefault="005E7265" w:rsidP="005E7265">
      <w:pPr>
        <w:pStyle w:val="Caption"/>
      </w:pPr>
      <w:r>
        <w:t>Table 1: Cyber risk under STRIDE</w:t>
      </w:r>
    </w:p>
    <w:tbl>
      <w:tblPr>
        <w:tblStyle w:val="ListTable4"/>
        <w:tblW w:w="0" w:type="auto"/>
        <w:tblLook w:val="04A0" w:firstRow="1" w:lastRow="0" w:firstColumn="1" w:lastColumn="0" w:noHBand="0" w:noVBand="1"/>
      </w:tblPr>
      <w:tblGrid>
        <w:gridCol w:w="3116"/>
        <w:gridCol w:w="3117"/>
        <w:gridCol w:w="3117"/>
      </w:tblGrid>
      <w:tr w:rsidR="005E7265" w14:paraId="6E3CFAFD" w14:textId="77777777" w:rsidTr="00122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4CEF61" w14:textId="77777777" w:rsidR="005E7265" w:rsidRDefault="005E7265" w:rsidP="00122441">
            <w:r>
              <w:t>Risk</w:t>
            </w:r>
          </w:p>
        </w:tc>
        <w:tc>
          <w:tcPr>
            <w:tcW w:w="3117" w:type="dxa"/>
          </w:tcPr>
          <w:p w14:paraId="378826B8" w14:textId="77777777" w:rsidR="005E7265" w:rsidRDefault="005E7265" w:rsidP="00122441">
            <w:pPr>
              <w:cnfStyle w:val="100000000000" w:firstRow="1" w:lastRow="0" w:firstColumn="0" w:lastColumn="0" w:oddVBand="0" w:evenVBand="0" w:oddHBand="0" w:evenHBand="0" w:firstRowFirstColumn="0" w:firstRowLastColumn="0" w:lastRowFirstColumn="0" w:lastRowLastColumn="0"/>
            </w:pPr>
            <w:r>
              <w:t>Cause</w:t>
            </w:r>
          </w:p>
        </w:tc>
        <w:tc>
          <w:tcPr>
            <w:tcW w:w="3117" w:type="dxa"/>
          </w:tcPr>
          <w:p w14:paraId="7D422972" w14:textId="77777777" w:rsidR="005E7265" w:rsidRDefault="005E7265" w:rsidP="00122441">
            <w:pPr>
              <w:cnfStyle w:val="100000000000" w:firstRow="1" w:lastRow="0" w:firstColumn="0" w:lastColumn="0" w:oddVBand="0" w:evenVBand="0" w:oddHBand="0" w:evenHBand="0" w:firstRowFirstColumn="0" w:firstRowLastColumn="0" w:lastRowFirstColumn="0" w:lastRowLastColumn="0"/>
            </w:pPr>
            <w:r>
              <w:t>Example</w:t>
            </w:r>
          </w:p>
        </w:tc>
      </w:tr>
      <w:tr w:rsidR="005E7265" w14:paraId="2B1D1A6D" w14:textId="77777777" w:rsidTr="0012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75B06D" w14:textId="77777777" w:rsidR="005E7265" w:rsidRDefault="005E7265" w:rsidP="00122441">
            <w:r>
              <w:t>Spoofing</w:t>
            </w:r>
          </w:p>
        </w:tc>
        <w:tc>
          <w:tcPr>
            <w:tcW w:w="3117" w:type="dxa"/>
          </w:tcPr>
          <w:p w14:paraId="21FE0A75"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Failure to authenticate a resource as genuine</w:t>
            </w:r>
          </w:p>
        </w:tc>
        <w:tc>
          <w:tcPr>
            <w:tcW w:w="3117" w:type="dxa"/>
          </w:tcPr>
          <w:p w14:paraId="29E40192"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An email asks for a bank credential</w:t>
            </w:r>
          </w:p>
        </w:tc>
      </w:tr>
      <w:tr w:rsidR="005E7265" w14:paraId="6DACEEEF" w14:textId="77777777" w:rsidTr="00122441">
        <w:tc>
          <w:tcPr>
            <w:cnfStyle w:val="001000000000" w:firstRow="0" w:lastRow="0" w:firstColumn="1" w:lastColumn="0" w:oddVBand="0" w:evenVBand="0" w:oddHBand="0" w:evenHBand="0" w:firstRowFirstColumn="0" w:firstRowLastColumn="0" w:lastRowFirstColumn="0" w:lastRowLastColumn="0"/>
            <w:tcW w:w="3116" w:type="dxa"/>
          </w:tcPr>
          <w:p w14:paraId="168BA004" w14:textId="77777777" w:rsidR="005E7265" w:rsidRDefault="005E7265" w:rsidP="00122441">
            <w:r>
              <w:t>Tampering</w:t>
            </w:r>
          </w:p>
        </w:tc>
        <w:tc>
          <w:tcPr>
            <w:tcW w:w="3117" w:type="dxa"/>
          </w:tcPr>
          <w:p w14:paraId="058679D2"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 xml:space="preserve">Failure to prevent resource manipulation </w:t>
            </w:r>
          </w:p>
        </w:tc>
        <w:tc>
          <w:tcPr>
            <w:tcW w:w="3117" w:type="dxa"/>
          </w:tcPr>
          <w:p w14:paraId="12FC21E4"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Changing the amount on a check</w:t>
            </w:r>
          </w:p>
        </w:tc>
      </w:tr>
      <w:tr w:rsidR="005E7265" w14:paraId="600C260E" w14:textId="77777777" w:rsidTr="0012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572F20" w14:textId="77777777" w:rsidR="005E7265" w:rsidRDefault="005E7265" w:rsidP="00122441">
            <w:r>
              <w:t>Repudiation</w:t>
            </w:r>
          </w:p>
        </w:tc>
        <w:tc>
          <w:tcPr>
            <w:tcW w:w="3117" w:type="dxa"/>
          </w:tcPr>
          <w:p w14:paraId="11B7B279"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Failure to audit an operation</w:t>
            </w:r>
          </w:p>
        </w:tc>
        <w:tc>
          <w:tcPr>
            <w:tcW w:w="3117" w:type="dxa"/>
          </w:tcPr>
          <w:p w14:paraId="4F46893F"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Disputing the cashier gave me change</w:t>
            </w:r>
          </w:p>
        </w:tc>
      </w:tr>
      <w:tr w:rsidR="005E7265" w14:paraId="5FFBAF82" w14:textId="77777777" w:rsidTr="00122441">
        <w:tc>
          <w:tcPr>
            <w:cnfStyle w:val="001000000000" w:firstRow="0" w:lastRow="0" w:firstColumn="1" w:lastColumn="0" w:oddVBand="0" w:evenVBand="0" w:oddHBand="0" w:evenHBand="0" w:firstRowFirstColumn="0" w:firstRowLastColumn="0" w:lastRowFirstColumn="0" w:lastRowLastColumn="0"/>
            <w:tcW w:w="3116" w:type="dxa"/>
          </w:tcPr>
          <w:p w14:paraId="4D1CBDB4" w14:textId="77777777" w:rsidR="005E7265" w:rsidRDefault="005E7265" w:rsidP="00122441">
            <w:r>
              <w:t>Information Disclosure</w:t>
            </w:r>
          </w:p>
        </w:tc>
        <w:tc>
          <w:tcPr>
            <w:tcW w:w="3117" w:type="dxa"/>
          </w:tcPr>
          <w:p w14:paraId="62A67B54"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Failure to conceal private communication</w:t>
            </w:r>
          </w:p>
        </w:tc>
        <w:tc>
          <w:tcPr>
            <w:tcW w:w="3117" w:type="dxa"/>
          </w:tcPr>
          <w:p w14:paraId="27D636A9"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Discussing trade secrets at a restaurant</w:t>
            </w:r>
          </w:p>
        </w:tc>
      </w:tr>
      <w:tr w:rsidR="005E7265" w14:paraId="5CB31827" w14:textId="77777777" w:rsidTr="0012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88FE51" w14:textId="77777777" w:rsidR="005E7265" w:rsidRDefault="005E7265" w:rsidP="00122441">
            <w:r>
              <w:t>Denial of Service</w:t>
            </w:r>
          </w:p>
        </w:tc>
        <w:tc>
          <w:tcPr>
            <w:tcW w:w="3117" w:type="dxa"/>
          </w:tcPr>
          <w:p w14:paraId="03915F71"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Failure to isolate multi-tenant traffic</w:t>
            </w:r>
          </w:p>
        </w:tc>
        <w:tc>
          <w:tcPr>
            <w:tcW w:w="3117" w:type="dxa"/>
          </w:tcPr>
          <w:p w14:paraId="7B0728BF"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Hundreds of callers overloading the front-desk</w:t>
            </w:r>
          </w:p>
        </w:tc>
      </w:tr>
      <w:tr w:rsidR="005E7265" w14:paraId="77C46429" w14:textId="77777777" w:rsidTr="00122441">
        <w:tc>
          <w:tcPr>
            <w:cnfStyle w:val="001000000000" w:firstRow="0" w:lastRow="0" w:firstColumn="1" w:lastColumn="0" w:oddVBand="0" w:evenVBand="0" w:oddHBand="0" w:evenHBand="0" w:firstRowFirstColumn="0" w:firstRowLastColumn="0" w:lastRowFirstColumn="0" w:lastRowLastColumn="0"/>
            <w:tcW w:w="3116" w:type="dxa"/>
          </w:tcPr>
          <w:p w14:paraId="5DB2783E" w14:textId="77777777" w:rsidR="005E7265" w:rsidRDefault="005E7265" w:rsidP="00122441">
            <w:r>
              <w:t>Elevation of Privileges</w:t>
            </w:r>
          </w:p>
        </w:tc>
        <w:tc>
          <w:tcPr>
            <w:tcW w:w="3117" w:type="dxa"/>
          </w:tcPr>
          <w:p w14:paraId="22BBC7D4"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Failure to enforce security policies</w:t>
            </w:r>
          </w:p>
        </w:tc>
        <w:tc>
          <w:tcPr>
            <w:tcW w:w="3117" w:type="dxa"/>
          </w:tcPr>
          <w:p w14:paraId="18EDD9AC"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 xml:space="preserve">Alice asks her </w:t>
            </w:r>
            <w:proofErr w:type="gramStart"/>
            <w:r>
              <w:t>Manager</w:t>
            </w:r>
            <w:proofErr w:type="gramEnd"/>
            <w:r>
              <w:t xml:space="preserve"> to update the timeclock</w:t>
            </w:r>
          </w:p>
        </w:tc>
      </w:tr>
    </w:tbl>
    <w:p w14:paraId="70F670D9" w14:textId="1F444C5C" w:rsidR="008F6E93" w:rsidRDefault="008F6E93" w:rsidP="003E52C4"/>
    <w:p w14:paraId="55DEB8B4" w14:textId="5AAA0967" w:rsidR="00A2663E" w:rsidRDefault="008F6E93" w:rsidP="003E52C4">
      <w:r>
        <w:tab/>
        <w:t>After identifying cyber risks, the organization must consider the threat impact and likelihood</w:t>
      </w:r>
      <w:sdt>
        <w:sdtPr>
          <w:id w:val="-1359502563"/>
          <w:citation/>
        </w:sdtPr>
        <w:sdtEnd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rsidR="00A2663E">
        <w:t>(Figure 1)</w:t>
      </w:r>
      <w:r>
        <w:t>.  If the impact is critical, the business must transfer that risk or avoid the scenario entirely.</w:t>
      </w:r>
      <w:r w:rsidR="00A379D6">
        <w:t xml:space="preserve">  Self-insurance (e.g., reserves) and self-protection (e.g., controls) are alternative strategies for less impactful events.</w:t>
      </w:r>
    </w:p>
    <w:p w14:paraId="278A9510" w14:textId="07374D25" w:rsidR="00A2663E" w:rsidRDefault="00A2663E" w:rsidP="00A2663E">
      <w:pPr>
        <w:pStyle w:val="Caption"/>
      </w:pPr>
      <w:r>
        <w:t>Figure 1: Decision Matrix</w:t>
      </w:r>
    </w:p>
    <w:p w14:paraId="058CE87B" w14:textId="797C3EB0" w:rsidR="00A2663E" w:rsidRDefault="00A2663E" w:rsidP="00A2663E">
      <w:pPr>
        <w:jc w:val="center"/>
      </w:pPr>
      <w:r>
        <w:rPr>
          <w:noProof/>
        </w:rPr>
        <w:drawing>
          <wp:inline distT="0" distB="0" distL="0" distR="0" wp14:anchorId="2E7DD189" wp14:editId="2D43C785">
            <wp:extent cx="4254269" cy="1280160"/>
            <wp:effectExtent l="0" t="0" r="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8"/>
                    <a:stretch>
                      <a:fillRect/>
                    </a:stretch>
                  </pic:blipFill>
                  <pic:spPr>
                    <a:xfrm>
                      <a:off x="0" y="0"/>
                      <a:ext cx="4254269" cy="1280160"/>
                    </a:xfrm>
                    <a:prstGeom prst="rect">
                      <a:avLst/>
                    </a:prstGeom>
                  </pic:spPr>
                </pic:pic>
              </a:graphicData>
            </a:graphic>
          </wp:inline>
        </w:drawing>
      </w:r>
    </w:p>
    <w:p w14:paraId="1A321E4C" w14:textId="02035BA0" w:rsidR="008F6E93" w:rsidRDefault="008F6E93" w:rsidP="003E52C4">
      <w:r>
        <w:t>For instance, foreign markets lack intellectual privacy protections, which might discourage releasing cutting-edge technology to those audiences</w:t>
      </w:r>
      <w:sdt>
        <w:sdtPr>
          <w:id w:val="1363708929"/>
          <w:citation/>
        </w:sdtPr>
        <w:sdtEndPr/>
        <w:sdtContent>
          <w:r>
            <w:fldChar w:fldCharType="begin"/>
          </w:r>
          <w:r>
            <w:instrText xml:space="preserve"> CITATION Kre19 \l 1033 </w:instrText>
          </w:r>
          <w:r>
            <w:fldChar w:fldCharType="separate"/>
          </w:r>
          <w:r>
            <w:rPr>
              <w:noProof/>
            </w:rPr>
            <w:t xml:space="preserve"> (Krebs, 2019)</w:t>
          </w:r>
          <w:r>
            <w:fldChar w:fldCharType="end"/>
          </w:r>
        </w:sdtContent>
      </w:sdt>
      <w:r>
        <w:t xml:space="preserve">.  In other scenarios, avoiding </w:t>
      </w:r>
      <w:r>
        <w:lastRenderedPageBreak/>
        <w:t>a hostile market or business activity is impossible, making hedging with insurance a more appropriate response.  For example, it might be prohibitively expensive to have redundant manufacturing plants, while unlikely, the business could become insolvent if the building burnt down. These situations of catastrophic failure are ideal for insurance and other risk transference solutions.  If the situation is less impactful, then the company might choose either self-insurance or self-protection.  A self-insurance strategy might be cash reserves or options contracts to acquire resources during extreme demand or short supply.</w:t>
      </w:r>
    </w:p>
    <w:p w14:paraId="2CFAC615" w14:textId="50AE8B55" w:rsidR="00A2663E" w:rsidRDefault="00330C14" w:rsidP="00CB2C5D">
      <w:pPr>
        <w:pStyle w:val="Heading1"/>
      </w:pPr>
      <w:r>
        <w:t>Applying Risk Categorizations</w:t>
      </w:r>
    </w:p>
    <w:p w14:paraId="499EC2FB" w14:textId="1D76653B" w:rsidR="00CB2C5D" w:rsidRDefault="00330C14" w:rsidP="00D71C3D">
      <w:r>
        <w:tab/>
        <w:t>NCU-F wants to create a corporate culture that promotes collaboration through standard operating procedures.  Reimagining the business comes with several potential vulnerabilities and risks across its political, operational</w:t>
      </w:r>
      <w:r w:rsidR="00D71C3D">
        <w:t>, and Information Technology and Communication (IT&amp;C)</w:t>
      </w:r>
      <w:r>
        <w:t xml:space="preserve"> models.  </w:t>
      </w:r>
    </w:p>
    <w:p w14:paraId="62163AA2" w14:textId="433F2DAD" w:rsidR="00CB2C5D" w:rsidRDefault="00CB2C5D" w:rsidP="00CB2C5D">
      <w:pPr>
        <w:pStyle w:val="Heading2"/>
      </w:pPr>
      <w:r>
        <w:t>Political Vulnerabilities</w:t>
      </w:r>
    </w:p>
    <w:p w14:paraId="532425D4" w14:textId="69C81425" w:rsidR="00330C14" w:rsidRDefault="00330C14" w:rsidP="00CB2C5D">
      <w:pPr>
        <w:ind w:firstLine="720"/>
      </w:pPr>
      <w:r>
        <w:t>When the organization introduces change, there will be internal opposition as staff becomes unclear about the future direction.  During the transition period, middle managers will shift ownership and control to their peers, potentially leading to hostility and a loss of personal identity.</w:t>
      </w:r>
      <w:r w:rsidR="00D71C3D">
        <w:t xml:space="preserve">  Those leaders could deprioritize the standardization efforts for their teams.  This behavior would cost NCU-F two to five additional years before transforming.  Within that time, competitors could make significant advancements, and essential staff will accept new roles in different companies.</w:t>
      </w:r>
    </w:p>
    <w:p w14:paraId="3BB9C887" w14:textId="63E7F44B" w:rsidR="00CB2C5D" w:rsidRDefault="00CB2C5D" w:rsidP="00CB2C5D">
      <w:pPr>
        <w:pStyle w:val="Heading2"/>
      </w:pPr>
      <w:r>
        <w:t>Operational Vulnerabilities</w:t>
      </w:r>
    </w:p>
    <w:p w14:paraId="32D19437" w14:textId="5493DD1A" w:rsidR="00D71C3D" w:rsidRDefault="00D71C3D" w:rsidP="00D71C3D">
      <w:r>
        <w:tab/>
        <w:t xml:space="preserve">Operational vulnerabilities will likely originate during this transformational period.  For instance, today, each business manages assigns staff to support a particular hardware topology.  </w:t>
      </w:r>
      <w:r>
        <w:lastRenderedPageBreak/>
        <w:t>This approach is challenging to scale and uneconomical compared to treating servers as pets versus cattle</w:t>
      </w:r>
      <w:sdt>
        <w:sdtPr>
          <w:id w:val="-1892421062"/>
          <w:citation/>
        </w:sdtPr>
        <w:sdtEndPr/>
        <w:sdtContent>
          <w:r>
            <w:fldChar w:fldCharType="begin"/>
          </w:r>
          <w:r>
            <w:instrText xml:space="preserve"> CITATION McC12 \l 1033 </w:instrText>
          </w:r>
          <w:r>
            <w:fldChar w:fldCharType="separate"/>
          </w:r>
          <w:r>
            <w:rPr>
              <w:noProof/>
            </w:rPr>
            <w:t xml:space="preserve"> (McCance, 2012)</w:t>
          </w:r>
          <w:r>
            <w:fldChar w:fldCharType="end"/>
          </w:r>
        </w:sdtContent>
      </w:sdt>
      <w:r>
        <w:t xml:space="preserve">.  While standardized resources (cattle) </w:t>
      </w:r>
      <w:proofErr w:type="gramStart"/>
      <w:r>
        <w:t>has</w:t>
      </w:r>
      <w:proofErr w:type="gramEnd"/>
      <w:r>
        <w:t xml:space="preserve"> many benefits, the migration risks losing manual edits to existing servers (pets).  Presumably, those changes took place for a reason, and removing them will introduce regression risk.  Specific regressions, such as seasonal processes, can remain broken for months before reporting an error.</w:t>
      </w:r>
      <w:r w:rsidR="007A028C">
        <w:t xml:space="preserve">  Additionally, </w:t>
      </w:r>
      <w:r w:rsidR="00C93265">
        <w:t>changes in provisioning and monitoring models inherently include team ownership.  When staff is unclear regarding area ownership, it creates delays escalating and routing issues, increasing Time to Detect / Time to Mitigate (TTD/TTM) latencies.</w:t>
      </w:r>
    </w:p>
    <w:p w14:paraId="479611F3" w14:textId="1E074290" w:rsidR="00CB2C5D" w:rsidRDefault="00CB2C5D" w:rsidP="00CB2C5D">
      <w:pPr>
        <w:pStyle w:val="Heading2"/>
      </w:pPr>
      <w:r>
        <w:t>IT Vulnerabilities</w:t>
      </w:r>
    </w:p>
    <w:p w14:paraId="59270FC6" w14:textId="17914457" w:rsidR="00FA4B22" w:rsidRDefault="00FA4B22" w:rsidP="00D71C3D">
      <w:r>
        <w:tab/>
        <w:t>Supporting collaborative communication requires extensive changes across the IT&amp;C ecosystem.  These new pathways will expand the threat model and attack surface, necessitating additional controls and procedures. When these forces come at odds, it creates friction that either carries an undue risk or costs the business time and resources. Busby, Green, and Hutchison (2017) describe this situation through equilibrium between adversaries, users, and risk managers, whose goals are to maximize risk, maintain convenience, and minimize risk.  For instance, the senior leadership can mandate complex password policies.  However, beyond a certain threshold, the staff can no longer retain the random string to memory.  They will either write it down or increase calls to the help desk.</w:t>
      </w:r>
    </w:p>
    <w:p w14:paraId="3AF76FA9" w14:textId="5ACECCF3" w:rsidR="00CB2C5D" w:rsidRDefault="00CB2C5D" w:rsidP="00CB2C5D">
      <w:pPr>
        <w:pStyle w:val="Heading2"/>
      </w:pPr>
      <w:r>
        <w:t>Provisions and Processes for Risk Assessment</w:t>
      </w:r>
    </w:p>
    <w:p w14:paraId="72317964" w14:textId="77777777" w:rsidR="00872AC4" w:rsidRDefault="00CB2C5D" w:rsidP="00CB2C5D">
      <w:r>
        <w:tab/>
      </w:r>
      <w:r w:rsidR="00A13251">
        <w:t xml:space="preserve">Enterprise environments are fluid and dynamically change every day as thousands of employees make improvements.  Additional churn seeps in through dependent third-party components and Commercial Off the Shelf (COTS) applications.  NCU-F needs to implement </w:t>
      </w:r>
      <w:r w:rsidR="00A13251">
        <w:lastRenderedPageBreak/>
        <w:t>formal procedures for identifying infrastructural risk at each layer, supported through automation (see Table 2).</w:t>
      </w:r>
    </w:p>
    <w:p w14:paraId="46692FD5" w14:textId="27227B4C" w:rsidR="00A13251" w:rsidRDefault="00A13251" w:rsidP="00872AC4">
      <w:pPr>
        <w:ind w:firstLine="720"/>
      </w:pPr>
      <w:r>
        <w:t>Tool vendors often support industry-standard vulnerability scoring systems, such as the Common Vulnerability Scoring System (CVSS)</w:t>
      </w:r>
      <w:sdt>
        <w:sdtPr>
          <w:id w:val="411664908"/>
          <w:citation/>
        </w:sdtPr>
        <w:sdtEndPr/>
        <w:sdtContent>
          <w:r>
            <w:fldChar w:fldCharType="begin"/>
          </w:r>
          <w:r>
            <w:instrText xml:space="preserve"> CITATION NIS21 \l 1033 </w:instrText>
          </w:r>
          <w:r>
            <w:fldChar w:fldCharType="separate"/>
          </w:r>
          <w:r>
            <w:rPr>
              <w:noProof/>
            </w:rPr>
            <w:t xml:space="preserve"> (NIST, 2021)</w:t>
          </w:r>
          <w:r>
            <w:fldChar w:fldCharType="end"/>
          </w:r>
        </w:sdtContent>
      </w:sdt>
      <w:r>
        <w:t>.  This scoring model considers several dimensions like exploitability, complexity, and prerequisite steps.  For example, a vulnerability that compromises the domain controller could be a grave concern</w:t>
      </w:r>
      <w:r w:rsidR="00872AC4">
        <w:t xml:space="preserve"> if</w:t>
      </w:r>
      <w:r>
        <w:t xml:space="preserve"> the attacker </w:t>
      </w:r>
      <w:r w:rsidR="00872AC4">
        <w:t>first gains</w:t>
      </w:r>
      <w:r>
        <w:t xml:space="preserve"> access to a secure data center. In that case, the probability does not warrant resources to mitigate the defect.</w:t>
      </w:r>
      <w:r w:rsidR="00495B4D">
        <w:t xml:space="preserve">  However, specific requirements could impact that decision, such as the data center resides in a foreign country.</w:t>
      </w:r>
      <w:r w:rsidR="00A379D6">
        <w:t xml:space="preserve">  Implementation teams should always gain clarity to these situations by consult with the legal, security, and compliance counterparts.</w:t>
      </w:r>
    </w:p>
    <w:p w14:paraId="7001C1C1" w14:textId="144DAEC1" w:rsidR="00A13251" w:rsidRDefault="00A13251" w:rsidP="00A13251">
      <w:pPr>
        <w:pStyle w:val="Caption"/>
      </w:pPr>
      <w:r>
        <w:t>Table 2: Example Assessment Tooling</w:t>
      </w:r>
    </w:p>
    <w:tbl>
      <w:tblPr>
        <w:tblStyle w:val="GridTable4"/>
        <w:tblW w:w="0" w:type="auto"/>
        <w:tblLook w:val="04A0" w:firstRow="1" w:lastRow="0" w:firstColumn="1" w:lastColumn="0" w:noHBand="0" w:noVBand="1"/>
      </w:tblPr>
      <w:tblGrid>
        <w:gridCol w:w="3055"/>
        <w:gridCol w:w="2520"/>
        <w:gridCol w:w="3775"/>
      </w:tblGrid>
      <w:tr w:rsidR="00A13251" w14:paraId="368E609E" w14:textId="77777777" w:rsidTr="00495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034B77D" w14:textId="1DF9464A" w:rsidR="00A13251" w:rsidRDefault="00A13251" w:rsidP="00CB2C5D">
            <w:r>
              <w:t>Infrastructure Component</w:t>
            </w:r>
          </w:p>
        </w:tc>
        <w:tc>
          <w:tcPr>
            <w:tcW w:w="2520" w:type="dxa"/>
          </w:tcPr>
          <w:p w14:paraId="11700444" w14:textId="75446118" w:rsidR="00A13251" w:rsidRDefault="00A13251" w:rsidP="00CB2C5D">
            <w:pPr>
              <w:cnfStyle w:val="100000000000" w:firstRow="1" w:lastRow="0" w:firstColumn="0" w:lastColumn="0" w:oddVBand="0" w:evenVBand="0" w:oddHBand="0" w:evenHBand="0" w:firstRowFirstColumn="0" w:firstRowLastColumn="0" w:lastRowFirstColumn="0" w:lastRowLastColumn="0"/>
            </w:pPr>
            <w:r>
              <w:t>Tooling Requirement</w:t>
            </w:r>
          </w:p>
        </w:tc>
        <w:tc>
          <w:tcPr>
            <w:tcW w:w="3775" w:type="dxa"/>
          </w:tcPr>
          <w:p w14:paraId="11604D9E" w14:textId="2FF39108" w:rsidR="00A13251" w:rsidRDefault="00A13251" w:rsidP="00CB2C5D">
            <w:pPr>
              <w:cnfStyle w:val="100000000000" w:firstRow="1" w:lastRow="0" w:firstColumn="0" w:lastColumn="0" w:oddVBand="0" w:evenVBand="0" w:oddHBand="0" w:evenHBand="0" w:firstRowFirstColumn="0" w:firstRowLastColumn="0" w:lastRowFirstColumn="0" w:lastRowLastColumn="0"/>
            </w:pPr>
            <w:r>
              <w:t>Description</w:t>
            </w:r>
          </w:p>
        </w:tc>
      </w:tr>
      <w:tr w:rsidR="00A13251" w14:paraId="24CA1BA5"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603BFFB" w14:textId="65A9B53C" w:rsidR="00A13251" w:rsidRDefault="00A13251" w:rsidP="00CB2C5D">
            <w:r>
              <w:t>Network</w:t>
            </w:r>
          </w:p>
        </w:tc>
        <w:tc>
          <w:tcPr>
            <w:tcW w:w="2520" w:type="dxa"/>
          </w:tcPr>
          <w:p w14:paraId="48E8D321" w14:textId="626FC635" w:rsidR="00A13251" w:rsidRDefault="00A13251" w:rsidP="00CB2C5D">
            <w:pPr>
              <w:cnfStyle w:val="000000100000" w:firstRow="0" w:lastRow="0" w:firstColumn="0" w:lastColumn="0" w:oddVBand="0" w:evenVBand="0" w:oddHBand="1" w:evenHBand="0" w:firstRowFirstColumn="0" w:firstRowLastColumn="0" w:lastRowFirstColumn="0" w:lastRowLastColumn="0"/>
            </w:pPr>
            <w:r>
              <w:t>IDS/IPS</w:t>
            </w:r>
          </w:p>
        </w:tc>
        <w:tc>
          <w:tcPr>
            <w:tcW w:w="3775" w:type="dxa"/>
          </w:tcPr>
          <w:p w14:paraId="26F875C0" w14:textId="56C43C03" w:rsidR="00A13251" w:rsidRDefault="00A13251" w:rsidP="00CB2C5D">
            <w:pPr>
              <w:cnfStyle w:val="000000100000" w:firstRow="0" w:lastRow="0" w:firstColumn="0" w:lastColumn="0" w:oddVBand="0" w:evenVBand="0" w:oddHBand="1" w:evenHBand="0" w:firstRowFirstColumn="0" w:firstRowLastColumn="0" w:lastRowFirstColumn="0" w:lastRowLastColumn="0"/>
            </w:pPr>
            <w:r>
              <w:t>Packet monitoring</w:t>
            </w:r>
          </w:p>
        </w:tc>
      </w:tr>
      <w:tr w:rsidR="00A13251" w14:paraId="6FB39364"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430032C6" w14:textId="42234398" w:rsidR="00A13251" w:rsidRDefault="00A13251" w:rsidP="00CB2C5D">
            <w:r>
              <w:t>Network</w:t>
            </w:r>
          </w:p>
        </w:tc>
        <w:tc>
          <w:tcPr>
            <w:tcW w:w="2520" w:type="dxa"/>
          </w:tcPr>
          <w:p w14:paraId="79A8B409" w14:textId="668AEB67" w:rsidR="00A13251" w:rsidRDefault="00A13251" w:rsidP="00CB2C5D">
            <w:pPr>
              <w:cnfStyle w:val="000000000000" w:firstRow="0" w:lastRow="0" w:firstColumn="0" w:lastColumn="0" w:oddVBand="0" w:evenVBand="0" w:oddHBand="0" w:evenHBand="0" w:firstRowFirstColumn="0" w:firstRowLastColumn="0" w:lastRowFirstColumn="0" w:lastRowLastColumn="0"/>
            </w:pPr>
            <w:r>
              <w:t>Firewalls / QoS</w:t>
            </w:r>
          </w:p>
        </w:tc>
        <w:tc>
          <w:tcPr>
            <w:tcW w:w="3775" w:type="dxa"/>
          </w:tcPr>
          <w:p w14:paraId="580FC2DE" w14:textId="0FF85622" w:rsidR="00A13251" w:rsidRDefault="00A13251" w:rsidP="00CB2C5D">
            <w:pPr>
              <w:cnfStyle w:val="000000000000" w:firstRow="0" w:lastRow="0" w:firstColumn="0" w:lastColumn="0" w:oddVBand="0" w:evenVBand="0" w:oddHBand="0" w:evenHBand="0" w:firstRowFirstColumn="0" w:firstRowLastColumn="0" w:lastRowFirstColumn="0" w:lastRowLastColumn="0"/>
            </w:pPr>
            <w:r>
              <w:t>Traffic shaping</w:t>
            </w:r>
          </w:p>
        </w:tc>
      </w:tr>
      <w:tr w:rsidR="00A13251" w14:paraId="26769546"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ADB5B5B" w14:textId="23C5CF94" w:rsidR="00A13251" w:rsidRDefault="00A13251" w:rsidP="00CB2C5D">
            <w:r>
              <w:t>Operating System</w:t>
            </w:r>
          </w:p>
        </w:tc>
        <w:tc>
          <w:tcPr>
            <w:tcW w:w="2520" w:type="dxa"/>
          </w:tcPr>
          <w:p w14:paraId="2C4CA97F" w14:textId="3C0D8A5A" w:rsidR="00A13251" w:rsidRDefault="00A13251" w:rsidP="00CB2C5D">
            <w:pPr>
              <w:cnfStyle w:val="000000100000" w:firstRow="0" w:lastRow="0" w:firstColumn="0" w:lastColumn="0" w:oddVBand="0" w:evenVBand="0" w:oddHBand="1" w:evenHBand="0" w:firstRowFirstColumn="0" w:firstRowLastColumn="0" w:lastRowFirstColumn="0" w:lastRowLastColumn="0"/>
            </w:pPr>
            <w:r>
              <w:t>Antivirus</w:t>
            </w:r>
          </w:p>
        </w:tc>
        <w:tc>
          <w:tcPr>
            <w:tcW w:w="3775" w:type="dxa"/>
          </w:tcPr>
          <w:p w14:paraId="140F3525" w14:textId="10A305D6" w:rsidR="00A13251" w:rsidRDefault="00A13251" w:rsidP="00CB2C5D">
            <w:pPr>
              <w:cnfStyle w:val="000000100000" w:firstRow="0" w:lastRow="0" w:firstColumn="0" w:lastColumn="0" w:oddVBand="0" w:evenVBand="0" w:oddHBand="1" w:evenHBand="0" w:firstRowFirstColumn="0" w:firstRowLastColumn="0" w:lastRowFirstColumn="0" w:lastRowLastColumn="0"/>
            </w:pPr>
            <w:r>
              <w:t>Malicious software removal</w:t>
            </w:r>
          </w:p>
        </w:tc>
      </w:tr>
      <w:tr w:rsidR="00A13251" w14:paraId="3B132D89"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7B778CC1" w14:textId="29106449" w:rsidR="00A13251" w:rsidRDefault="00A13251" w:rsidP="00CB2C5D">
            <w:r>
              <w:t>Operating System</w:t>
            </w:r>
          </w:p>
        </w:tc>
        <w:tc>
          <w:tcPr>
            <w:tcW w:w="2520" w:type="dxa"/>
          </w:tcPr>
          <w:p w14:paraId="345FD069" w14:textId="56535DEB" w:rsidR="00A13251" w:rsidRDefault="00A13251" w:rsidP="00CB2C5D">
            <w:pPr>
              <w:cnfStyle w:val="000000000000" w:firstRow="0" w:lastRow="0" w:firstColumn="0" w:lastColumn="0" w:oddVBand="0" w:evenVBand="0" w:oddHBand="0" w:evenHBand="0" w:firstRowFirstColumn="0" w:firstRowLastColumn="0" w:lastRowFirstColumn="0" w:lastRowLastColumn="0"/>
            </w:pPr>
            <w:r>
              <w:t>Patch Management</w:t>
            </w:r>
          </w:p>
        </w:tc>
        <w:tc>
          <w:tcPr>
            <w:tcW w:w="3775" w:type="dxa"/>
          </w:tcPr>
          <w:p w14:paraId="5ACB0F34" w14:textId="31A0C003" w:rsidR="00A13251" w:rsidRDefault="00A13251" w:rsidP="00CB2C5D">
            <w:pPr>
              <w:cnfStyle w:val="000000000000" w:firstRow="0" w:lastRow="0" w:firstColumn="0" w:lastColumn="0" w:oddVBand="0" w:evenVBand="0" w:oddHBand="0" w:evenHBand="0" w:firstRowFirstColumn="0" w:firstRowLastColumn="0" w:lastRowFirstColumn="0" w:lastRowLastColumn="0"/>
            </w:pPr>
            <w:r>
              <w:t>Keeps software updated</w:t>
            </w:r>
          </w:p>
        </w:tc>
      </w:tr>
      <w:tr w:rsidR="00A13251" w14:paraId="16975D51"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52C700C" w14:textId="39B44A7D" w:rsidR="00A13251" w:rsidRDefault="00A13251" w:rsidP="00CB2C5D">
            <w:r>
              <w:t>Operating System</w:t>
            </w:r>
          </w:p>
        </w:tc>
        <w:tc>
          <w:tcPr>
            <w:tcW w:w="2520" w:type="dxa"/>
          </w:tcPr>
          <w:p w14:paraId="54D3462A" w14:textId="54CAB54D" w:rsidR="00A13251" w:rsidRDefault="00A13251" w:rsidP="00CB2C5D">
            <w:pPr>
              <w:cnfStyle w:val="000000100000" w:firstRow="0" w:lastRow="0" w:firstColumn="0" w:lastColumn="0" w:oddVBand="0" w:evenVBand="0" w:oddHBand="1" w:evenHBand="0" w:firstRowFirstColumn="0" w:firstRowLastColumn="0" w:lastRowFirstColumn="0" w:lastRowLastColumn="0"/>
            </w:pPr>
            <w:r>
              <w:t>Systems Management</w:t>
            </w:r>
          </w:p>
        </w:tc>
        <w:tc>
          <w:tcPr>
            <w:tcW w:w="3775" w:type="dxa"/>
          </w:tcPr>
          <w:p w14:paraId="48378FE0" w14:textId="6607BE47" w:rsidR="00A13251" w:rsidRDefault="00A13251" w:rsidP="00CB2C5D">
            <w:pPr>
              <w:cnfStyle w:val="000000100000" w:firstRow="0" w:lastRow="0" w:firstColumn="0" w:lastColumn="0" w:oddVBand="0" w:evenVBand="0" w:oddHBand="1" w:evenHBand="0" w:firstRowFirstColumn="0" w:firstRowLastColumn="0" w:lastRowFirstColumn="0" w:lastRowLastColumn="0"/>
            </w:pPr>
            <w:r>
              <w:t>Enforces Group Policies</w:t>
            </w:r>
          </w:p>
        </w:tc>
      </w:tr>
      <w:tr w:rsidR="00A13251" w14:paraId="62822DF6"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62944C43" w14:textId="0972E75A" w:rsidR="00A13251" w:rsidRDefault="00A13251" w:rsidP="00CB2C5D">
            <w:r>
              <w:t>Operating System</w:t>
            </w:r>
          </w:p>
        </w:tc>
        <w:tc>
          <w:tcPr>
            <w:tcW w:w="2520" w:type="dxa"/>
          </w:tcPr>
          <w:p w14:paraId="6E3E83A0" w14:textId="50981281" w:rsidR="00A13251" w:rsidRDefault="00A13251" w:rsidP="00CB2C5D">
            <w:pPr>
              <w:cnfStyle w:val="000000000000" w:firstRow="0" w:lastRow="0" w:firstColumn="0" w:lastColumn="0" w:oddVBand="0" w:evenVBand="0" w:oddHBand="0" w:evenHBand="0" w:firstRowFirstColumn="0" w:firstRowLastColumn="0" w:lastRowFirstColumn="0" w:lastRowLastColumn="0"/>
            </w:pPr>
            <w:r>
              <w:t>Trusted Platform Modules</w:t>
            </w:r>
          </w:p>
        </w:tc>
        <w:tc>
          <w:tcPr>
            <w:tcW w:w="3775" w:type="dxa"/>
          </w:tcPr>
          <w:p w14:paraId="6F4C706E" w14:textId="5E4DCC1B" w:rsidR="00A13251" w:rsidRDefault="00A13251" w:rsidP="00CB2C5D">
            <w:pPr>
              <w:cnfStyle w:val="000000000000" w:firstRow="0" w:lastRow="0" w:firstColumn="0" w:lastColumn="0" w:oddVBand="0" w:evenVBand="0" w:oddHBand="0" w:evenHBand="0" w:firstRowFirstColumn="0" w:firstRowLastColumn="0" w:lastRowFirstColumn="0" w:lastRowLastColumn="0"/>
            </w:pPr>
            <w:r>
              <w:t>Enforces boot loader and kernel security</w:t>
            </w:r>
          </w:p>
        </w:tc>
      </w:tr>
      <w:tr w:rsidR="00A13251" w14:paraId="37EC858A"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AD86102" w14:textId="5E1F17B1" w:rsidR="00A13251" w:rsidRDefault="00A13251" w:rsidP="00CB2C5D">
            <w:r>
              <w:t>Data</w:t>
            </w:r>
          </w:p>
        </w:tc>
        <w:tc>
          <w:tcPr>
            <w:tcW w:w="2520" w:type="dxa"/>
          </w:tcPr>
          <w:p w14:paraId="1A0E69DD" w14:textId="49C61FB5" w:rsidR="00A13251" w:rsidRDefault="00A13251" w:rsidP="00CB2C5D">
            <w:pPr>
              <w:cnfStyle w:val="000000100000" w:firstRow="0" w:lastRow="0" w:firstColumn="0" w:lastColumn="0" w:oddVBand="0" w:evenVBand="0" w:oddHBand="1" w:evenHBand="0" w:firstRowFirstColumn="0" w:firstRowLastColumn="0" w:lastRowFirstColumn="0" w:lastRowLastColumn="0"/>
            </w:pPr>
            <w:r>
              <w:t>Disk Encryption</w:t>
            </w:r>
          </w:p>
        </w:tc>
        <w:tc>
          <w:tcPr>
            <w:tcW w:w="3775" w:type="dxa"/>
          </w:tcPr>
          <w:p w14:paraId="35FFF87C" w14:textId="332B398E" w:rsidR="00A13251" w:rsidRDefault="00A13251" w:rsidP="00CB2C5D">
            <w:pPr>
              <w:cnfStyle w:val="000000100000" w:firstRow="0" w:lastRow="0" w:firstColumn="0" w:lastColumn="0" w:oddVBand="0" w:evenVBand="0" w:oddHBand="1" w:evenHBand="0" w:firstRowFirstColumn="0" w:firstRowLastColumn="0" w:lastRowFirstColumn="0" w:lastRowLastColumn="0"/>
            </w:pPr>
            <w:r>
              <w:t>Maintains hardware integrity</w:t>
            </w:r>
          </w:p>
        </w:tc>
      </w:tr>
      <w:tr w:rsidR="00A13251" w14:paraId="2DFF56F4"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7EA75541" w14:textId="377C0199" w:rsidR="00A13251" w:rsidRDefault="00A13251" w:rsidP="00CB2C5D">
            <w:r>
              <w:t>Data</w:t>
            </w:r>
          </w:p>
        </w:tc>
        <w:tc>
          <w:tcPr>
            <w:tcW w:w="2520" w:type="dxa"/>
          </w:tcPr>
          <w:p w14:paraId="747EA4F5" w14:textId="1CA608F6" w:rsidR="00A13251" w:rsidRDefault="00A13251" w:rsidP="00CB2C5D">
            <w:pPr>
              <w:cnfStyle w:val="000000000000" w:firstRow="0" w:lastRow="0" w:firstColumn="0" w:lastColumn="0" w:oddVBand="0" w:evenVBand="0" w:oddHBand="0" w:evenHBand="0" w:firstRowFirstColumn="0" w:firstRowLastColumn="0" w:lastRowFirstColumn="0" w:lastRowLastColumn="0"/>
            </w:pPr>
            <w:r>
              <w:t>Public Key Infrastructure</w:t>
            </w:r>
          </w:p>
        </w:tc>
        <w:tc>
          <w:tcPr>
            <w:tcW w:w="3775" w:type="dxa"/>
          </w:tcPr>
          <w:p w14:paraId="398B3F12" w14:textId="4D47F5A0" w:rsidR="00A13251" w:rsidRDefault="00A13251" w:rsidP="00CB2C5D">
            <w:pPr>
              <w:cnfStyle w:val="000000000000" w:firstRow="0" w:lastRow="0" w:firstColumn="0" w:lastColumn="0" w:oddVBand="0" w:evenVBand="0" w:oddHBand="0" w:evenHBand="0" w:firstRowFirstColumn="0" w:firstRowLastColumn="0" w:lastRowFirstColumn="0" w:lastRowLastColumn="0"/>
            </w:pPr>
            <w:r>
              <w:t>Cryptographic capabilities for data in rest and in-transit</w:t>
            </w:r>
          </w:p>
        </w:tc>
      </w:tr>
      <w:tr w:rsidR="00A13251" w14:paraId="1D28FB7D"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5F05167" w14:textId="5B730DB8" w:rsidR="00A13251" w:rsidRDefault="00A13251" w:rsidP="00CB2C5D">
            <w:r>
              <w:t>Software</w:t>
            </w:r>
          </w:p>
        </w:tc>
        <w:tc>
          <w:tcPr>
            <w:tcW w:w="2520" w:type="dxa"/>
          </w:tcPr>
          <w:p w14:paraId="5F6FAD7D" w14:textId="09CA6008" w:rsidR="00A13251" w:rsidRDefault="00A13251" w:rsidP="00CB2C5D">
            <w:pPr>
              <w:cnfStyle w:val="000000100000" w:firstRow="0" w:lastRow="0" w:firstColumn="0" w:lastColumn="0" w:oddVBand="0" w:evenVBand="0" w:oddHBand="1" w:evenHBand="0" w:firstRowFirstColumn="0" w:firstRowLastColumn="0" w:lastRowFirstColumn="0" w:lastRowLastColumn="0"/>
            </w:pPr>
            <w:r>
              <w:t>Vulnerability Scanner</w:t>
            </w:r>
          </w:p>
        </w:tc>
        <w:tc>
          <w:tcPr>
            <w:tcW w:w="3775" w:type="dxa"/>
          </w:tcPr>
          <w:p w14:paraId="5A5F82C7" w14:textId="43952F71" w:rsidR="00A13251" w:rsidRDefault="00A13251" w:rsidP="00CB2C5D">
            <w:pPr>
              <w:cnfStyle w:val="000000100000" w:firstRow="0" w:lastRow="0" w:firstColumn="0" w:lastColumn="0" w:oddVBand="0" w:evenVBand="0" w:oddHBand="1" w:evenHBand="0" w:firstRowFirstColumn="0" w:firstRowLastColumn="0" w:lastRowFirstColumn="0" w:lastRowLastColumn="0"/>
            </w:pPr>
            <w:r>
              <w:t>Detects known issues in applications</w:t>
            </w:r>
          </w:p>
        </w:tc>
      </w:tr>
      <w:tr w:rsidR="00A13251" w14:paraId="4505287D"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6309E634" w14:textId="376A4844" w:rsidR="00A13251" w:rsidRDefault="00A13251" w:rsidP="00CB2C5D">
            <w:r>
              <w:t>Software</w:t>
            </w:r>
          </w:p>
        </w:tc>
        <w:tc>
          <w:tcPr>
            <w:tcW w:w="2520" w:type="dxa"/>
          </w:tcPr>
          <w:p w14:paraId="0DD14611" w14:textId="28C0FAE7" w:rsidR="00A13251" w:rsidRDefault="00A13251" w:rsidP="00CB2C5D">
            <w:pPr>
              <w:cnfStyle w:val="000000000000" w:firstRow="0" w:lastRow="0" w:firstColumn="0" w:lastColumn="0" w:oddVBand="0" w:evenVBand="0" w:oddHBand="0" w:evenHBand="0" w:firstRowFirstColumn="0" w:firstRowLastColumn="0" w:lastRowFirstColumn="0" w:lastRowLastColumn="0"/>
            </w:pPr>
            <w:r>
              <w:t>Change Management</w:t>
            </w:r>
          </w:p>
        </w:tc>
        <w:tc>
          <w:tcPr>
            <w:tcW w:w="3775" w:type="dxa"/>
          </w:tcPr>
          <w:p w14:paraId="3079A03E" w14:textId="416BCF9B" w:rsidR="00A13251" w:rsidRDefault="00A13251" w:rsidP="00CB2C5D">
            <w:pPr>
              <w:cnfStyle w:val="000000000000" w:firstRow="0" w:lastRow="0" w:firstColumn="0" w:lastColumn="0" w:oddVBand="0" w:evenVBand="0" w:oddHBand="0" w:evenHBand="0" w:firstRowFirstColumn="0" w:firstRowLastColumn="0" w:lastRowFirstColumn="0" w:lastRowLastColumn="0"/>
            </w:pPr>
            <w:r>
              <w:t>Tools for versioning modifications</w:t>
            </w:r>
          </w:p>
        </w:tc>
      </w:tr>
      <w:tr w:rsidR="00A13251" w14:paraId="490B1820"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120335D" w14:textId="03BA78FC" w:rsidR="00A13251" w:rsidRDefault="00A13251" w:rsidP="00CB2C5D">
            <w:r>
              <w:t>Transportation</w:t>
            </w:r>
          </w:p>
        </w:tc>
        <w:tc>
          <w:tcPr>
            <w:tcW w:w="2520" w:type="dxa"/>
          </w:tcPr>
          <w:p w14:paraId="3B5F344E" w14:textId="1E9BE9D7" w:rsidR="00A13251" w:rsidRDefault="00A13251" w:rsidP="00CB2C5D">
            <w:pPr>
              <w:cnfStyle w:val="000000100000" w:firstRow="0" w:lastRow="0" w:firstColumn="0" w:lastColumn="0" w:oddVBand="0" w:evenVBand="0" w:oddHBand="1" w:evenHBand="0" w:firstRowFirstColumn="0" w:firstRowLastColumn="0" w:lastRowFirstColumn="0" w:lastRowLastColumn="0"/>
            </w:pPr>
            <w:r>
              <w:t>Web Application Firewalls</w:t>
            </w:r>
          </w:p>
        </w:tc>
        <w:tc>
          <w:tcPr>
            <w:tcW w:w="3775" w:type="dxa"/>
          </w:tcPr>
          <w:p w14:paraId="4E6663AF" w14:textId="68156FF5" w:rsidR="00A13251" w:rsidRDefault="00A13251" w:rsidP="00CB2C5D">
            <w:pPr>
              <w:cnfStyle w:val="000000100000" w:firstRow="0" w:lastRow="0" w:firstColumn="0" w:lastColumn="0" w:oddVBand="0" w:evenVBand="0" w:oddHBand="1" w:evenHBand="0" w:firstRowFirstColumn="0" w:firstRowLastColumn="0" w:lastRowFirstColumn="0" w:lastRowLastColumn="0"/>
            </w:pPr>
            <w:r>
              <w:t>Layer-7 monitoring for SQL-</w:t>
            </w:r>
            <w:proofErr w:type="spellStart"/>
            <w:r>
              <w:t>i</w:t>
            </w:r>
            <w:proofErr w:type="spellEnd"/>
            <w:r>
              <w:t xml:space="preserve"> and XSS attacks</w:t>
            </w:r>
          </w:p>
        </w:tc>
      </w:tr>
      <w:tr w:rsidR="00A13251" w14:paraId="65E0563D"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3B52A112" w14:textId="5A137B2C" w:rsidR="00A13251" w:rsidRDefault="00A13251" w:rsidP="00CB2C5D">
            <w:r>
              <w:t>Employees</w:t>
            </w:r>
          </w:p>
        </w:tc>
        <w:tc>
          <w:tcPr>
            <w:tcW w:w="2520" w:type="dxa"/>
          </w:tcPr>
          <w:p w14:paraId="6BF9F140" w14:textId="4D2A83ED" w:rsidR="00A13251" w:rsidRDefault="00A13251" w:rsidP="00CB2C5D">
            <w:pPr>
              <w:cnfStyle w:val="000000000000" w:firstRow="0" w:lastRow="0" w:firstColumn="0" w:lastColumn="0" w:oddVBand="0" w:evenVBand="0" w:oddHBand="0" w:evenHBand="0" w:firstRowFirstColumn="0" w:firstRowLastColumn="0" w:lastRowFirstColumn="0" w:lastRowLastColumn="0"/>
            </w:pPr>
            <w:r>
              <w:t>Training</w:t>
            </w:r>
          </w:p>
        </w:tc>
        <w:tc>
          <w:tcPr>
            <w:tcW w:w="3775" w:type="dxa"/>
          </w:tcPr>
          <w:p w14:paraId="6EA9098D" w14:textId="0214AC22" w:rsidR="00A13251" w:rsidRDefault="00A13251" w:rsidP="00CB2C5D">
            <w:pPr>
              <w:cnfStyle w:val="000000000000" w:firstRow="0" w:lastRow="0" w:firstColumn="0" w:lastColumn="0" w:oddVBand="0" w:evenVBand="0" w:oddHBand="0" w:evenHBand="0" w:firstRowFirstColumn="0" w:firstRowLastColumn="0" w:lastRowFirstColumn="0" w:lastRowLastColumn="0"/>
            </w:pPr>
            <w:r>
              <w:t>Continuously raising the bar</w:t>
            </w:r>
          </w:p>
        </w:tc>
      </w:tr>
      <w:tr w:rsidR="00A13251" w14:paraId="50383067"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69BE1EA1" w14:textId="29AE0068" w:rsidR="00A13251" w:rsidRDefault="00A13251" w:rsidP="00CB2C5D">
            <w:r>
              <w:t>Employees</w:t>
            </w:r>
          </w:p>
        </w:tc>
        <w:tc>
          <w:tcPr>
            <w:tcW w:w="2520" w:type="dxa"/>
          </w:tcPr>
          <w:p w14:paraId="3DA9FD66" w14:textId="2B1AA2A5" w:rsidR="00A13251" w:rsidRDefault="00A13251" w:rsidP="00CB2C5D">
            <w:pPr>
              <w:cnfStyle w:val="000000100000" w:firstRow="0" w:lastRow="0" w:firstColumn="0" w:lastColumn="0" w:oddVBand="0" w:evenVBand="0" w:oddHBand="1" w:evenHBand="0" w:firstRowFirstColumn="0" w:firstRowLastColumn="0" w:lastRowFirstColumn="0" w:lastRowLastColumn="0"/>
            </w:pPr>
            <w:r>
              <w:t>Anti-Phishing Tools</w:t>
            </w:r>
          </w:p>
        </w:tc>
        <w:tc>
          <w:tcPr>
            <w:tcW w:w="3775" w:type="dxa"/>
          </w:tcPr>
          <w:p w14:paraId="3D6B1602" w14:textId="178C4014" w:rsidR="00A13251" w:rsidRDefault="00A13251" w:rsidP="00CB2C5D">
            <w:pPr>
              <w:cnfStyle w:val="000000100000" w:firstRow="0" w:lastRow="0" w:firstColumn="0" w:lastColumn="0" w:oddVBand="0" w:evenVBand="0" w:oddHBand="1" w:evenHBand="0" w:firstRowFirstColumn="0" w:firstRowLastColumn="0" w:lastRowFirstColumn="0" w:lastRowLastColumn="0"/>
            </w:pPr>
            <w:r>
              <w:t>Processes to filter or highlight potential email risks</w:t>
            </w:r>
          </w:p>
        </w:tc>
      </w:tr>
      <w:tr w:rsidR="00495B4D" w14:paraId="36AA8280" w14:textId="77777777" w:rsidTr="00495B4D">
        <w:tc>
          <w:tcPr>
            <w:cnfStyle w:val="001000000000" w:firstRow="0" w:lastRow="0" w:firstColumn="1" w:lastColumn="0" w:oddVBand="0" w:evenVBand="0" w:oddHBand="0" w:evenHBand="0" w:firstRowFirstColumn="0" w:firstRowLastColumn="0" w:lastRowFirstColumn="0" w:lastRowLastColumn="0"/>
            <w:tcW w:w="3055" w:type="dxa"/>
          </w:tcPr>
          <w:p w14:paraId="2A386C14" w14:textId="2D4E9AC4" w:rsidR="00495B4D" w:rsidRDefault="00495B4D" w:rsidP="00CB2C5D">
            <w:r>
              <w:t>Employees</w:t>
            </w:r>
          </w:p>
        </w:tc>
        <w:tc>
          <w:tcPr>
            <w:tcW w:w="2520" w:type="dxa"/>
          </w:tcPr>
          <w:p w14:paraId="5197019F" w14:textId="6565FF71" w:rsidR="00495B4D" w:rsidRDefault="00495B4D" w:rsidP="00CB2C5D">
            <w:pPr>
              <w:cnfStyle w:val="000000000000" w:firstRow="0" w:lastRow="0" w:firstColumn="0" w:lastColumn="0" w:oddVBand="0" w:evenVBand="0" w:oddHBand="0" w:evenHBand="0" w:firstRowFirstColumn="0" w:firstRowLastColumn="0" w:lastRowFirstColumn="0" w:lastRowLastColumn="0"/>
            </w:pPr>
            <w:r>
              <w:t>Work Health Indexes</w:t>
            </w:r>
          </w:p>
        </w:tc>
        <w:tc>
          <w:tcPr>
            <w:tcW w:w="3775" w:type="dxa"/>
          </w:tcPr>
          <w:p w14:paraId="2926201B" w14:textId="67CE435B" w:rsidR="00495B4D" w:rsidRDefault="00495B4D" w:rsidP="00CB2C5D">
            <w:pPr>
              <w:cnfStyle w:val="000000000000" w:firstRow="0" w:lastRow="0" w:firstColumn="0" w:lastColumn="0" w:oddVBand="0" w:evenVBand="0" w:oddHBand="0" w:evenHBand="0" w:firstRowFirstColumn="0" w:firstRowLastColumn="0" w:lastRowFirstColumn="0" w:lastRowLastColumn="0"/>
            </w:pPr>
            <w:r>
              <w:t>Keeping a pulse on morale can surface overworked and dissatisfied staff</w:t>
            </w:r>
          </w:p>
        </w:tc>
      </w:tr>
      <w:tr w:rsidR="00A379D6" w14:paraId="58F459CC" w14:textId="77777777" w:rsidTr="00495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428EEB6" w14:textId="1FC04FCD" w:rsidR="00A379D6" w:rsidRDefault="00A379D6" w:rsidP="00CB2C5D">
            <w:r>
              <w:t>Databases</w:t>
            </w:r>
          </w:p>
        </w:tc>
        <w:tc>
          <w:tcPr>
            <w:tcW w:w="2520" w:type="dxa"/>
          </w:tcPr>
          <w:p w14:paraId="415A9176" w14:textId="6DB91C76" w:rsidR="00A379D6" w:rsidRDefault="00A379D6" w:rsidP="00CB2C5D">
            <w:pPr>
              <w:cnfStyle w:val="000000100000" w:firstRow="0" w:lastRow="0" w:firstColumn="0" w:lastColumn="0" w:oddVBand="0" w:evenVBand="0" w:oddHBand="1" w:evenHBand="0" w:firstRowFirstColumn="0" w:firstRowLastColumn="0" w:lastRowFirstColumn="0" w:lastRowLastColumn="0"/>
            </w:pPr>
            <w:r>
              <w:t>Backup Management</w:t>
            </w:r>
          </w:p>
        </w:tc>
        <w:tc>
          <w:tcPr>
            <w:tcW w:w="3775" w:type="dxa"/>
          </w:tcPr>
          <w:p w14:paraId="4A8B316F" w14:textId="42A884B9" w:rsidR="00A379D6" w:rsidRDefault="00A379D6" w:rsidP="00CB2C5D">
            <w:pPr>
              <w:cnfStyle w:val="000000100000" w:firstRow="0" w:lastRow="0" w:firstColumn="0" w:lastColumn="0" w:oddVBand="0" w:evenVBand="0" w:oddHBand="1" w:evenHBand="0" w:firstRowFirstColumn="0" w:firstRowLastColumn="0" w:lastRowFirstColumn="0" w:lastRowLastColumn="0"/>
            </w:pPr>
            <w:r>
              <w:t>Point-in-time recovery solutions</w:t>
            </w:r>
          </w:p>
        </w:tc>
      </w:tr>
    </w:tbl>
    <w:p w14:paraId="3BA39A8C" w14:textId="77777777" w:rsidR="00A379D6" w:rsidRDefault="00A379D6" w:rsidP="0092469B"/>
    <w:p w14:paraId="1BFAE7C3" w14:textId="55F88F70" w:rsidR="00CB2C5D" w:rsidRDefault="00A379D6" w:rsidP="00A379D6">
      <w:pPr>
        <w:pStyle w:val="Heading1"/>
      </w:pPr>
      <w:r>
        <w:lastRenderedPageBreak/>
        <w:t>Mitigating Vulnerabilities</w:t>
      </w:r>
    </w:p>
    <w:p w14:paraId="0491E02A" w14:textId="0E6CC50E" w:rsidR="00A379D6" w:rsidRDefault="00A379D6" w:rsidP="00A379D6">
      <w:r>
        <w:tab/>
        <w:t>There are numerous threats to the organization’s plans to modernize its communication strategy and standardize operating procedures.  The business must create a prioritized list and establish policies, standards, and controls.</w:t>
      </w:r>
    </w:p>
    <w:p w14:paraId="7DD0558A" w14:textId="47E899D4" w:rsidR="00A379D6" w:rsidRDefault="00A379D6" w:rsidP="00A379D6">
      <w:pPr>
        <w:pStyle w:val="Heading2"/>
      </w:pPr>
      <w:r>
        <w:t>Political Mitigation</w:t>
      </w:r>
      <w:r w:rsidR="00F728B8">
        <w:t>s</w:t>
      </w:r>
    </w:p>
    <w:p w14:paraId="21DBB459" w14:textId="4694C19D" w:rsidR="00A379D6" w:rsidRDefault="00A379D6" w:rsidP="00A379D6">
      <w:r>
        <w:tab/>
        <w:t xml:space="preserve">Political confrontation (e.g., land grabs) results from misalignment between customer outcomes and internal rewards.  </w:t>
      </w:r>
      <w:proofErr w:type="spellStart"/>
      <w:r>
        <w:t>Bryanr</w:t>
      </w:r>
      <w:proofErr w:type="spellEnd"/>
      <w:r>
        <w:t xml:space="preserve"> and </w:t>
      </w:r>
      <w:proofErr w:type="spellStart"/>
      <w:r>
        <w:t>Carr</w:t>
      </w:r>
      <w:proofErr w:type="spellEnd"/>
      <w:r>
        <w:t xml:space="preserve"> (2021) describe Amazon’s framework for forcing this alignment through its compensation model.  Essentially, an employee’s base salary maxes out at $175,000.  Beyond this amount, additional rewards come from company stock that vests over two to four years.  Leaders merely accepting more ownership does not change their stock grants.  Employees can only receive more company shares through customer results that demonstrate next-level leadership.</w:t>
      </w:r>
    </w:p>
    <w:p w14:paraId="53D47E2C" w14:textId="1BF5B4ED" w:rsidR="00A379D6" w:rsidRDefault="00A379D6" w:rsidP="00A379D6">
      <w:r>
        <w:tab/>
        <w:t>While significant benefits come from ensuring that leaders focus on long-term success, changing employee contracts can be challenging.  In the inter</w:t>
      </w:r>
      <w:r w:rsidR="00FD664E">
        <w:t>i</w:t>
      </w:r>
      <w:r>
        <w:t>m</w:t>
      </w:r>
      <w:r w:rsidR="00FD664E">
        <w:t>,</w:t>
      </w:r>
      <w:r>
        <w:t xml:space="preserve"> senior leaders can define span and control thresholds, which the IT department implements.  For instance, a manager should have no more than ten direct reports.  Reporting systems can surface any violations and involve executive steering committees to make appropriate alterations.</w:t>
      </w:r>
    </w:p>
    <w:p w14:paraId="3E3A18F3" w14:textId="4F318ED0" w:rsidR="00FD7D1C" w:rsidRDefault="00FD7D1C" w:rsidP="00A379D6">
      <w:r>
        <w:tab/>
        <w:t>Additionally, the business needs forums for communicating corporate decisions and debating the impact.  Today, staff use external resources like Team Blind because their employers do promote these discussions.  However, as the business moves toward more collaboration, it will naturally follow with more contention.  Since these conversations will happen, either way, it is in NCU-F’s best interest to host a secure platform where internal secrets leak into the public internet.</w:t>
      </w:r>
    </w:p>
    <w:p w14:paraId="6748B0FF" w14:textId="416232EB" w:rsidR="00A379D6" w:rsidRDefault="00A379D6" w:rsidP="00A379D6">
      <w:pPr>
        <w:pStyle w:val="Heading2"/>
      </w:pPr>
      <w:r>
        <w:lastRenderedPageBreak/>
        <w:t>Operational Migration</w:t>
      </w:r>
      <w:r w:rsidR="00F728B8">
        <w:t>s</w:t>
      </w:r>
    </w:p>
    <w:p w14:paraId="54C009FF" w14:textId="77777777" w:rsidR="00ED19B4" w:rsidRDefault="00A379D6" w:rsidP="00A379D6">
      <w:r>
        <w:tab/>
      </w:r>
      <w:r w:rsidR="00ED19B4">
        <w:t xml:space="preserve">The most critical risks come from important details becoming lost, such as device and network configurations and issue routing.  NCU-F can mitigate these concerns through people, processes, and products. </w:t>
      </w:r>
    </w:p>
    <w:p w14:paraId="0E7DC18B" w14:textId="3C2ABA98" w:rsidR="00ED19B4" w:rsidRDefault="00ED19B4" w:rsidP="00FD664E">
      <w:pPr>
        <w:pStyle w:val="ListParagraph"/>
        <w:numPr>
          <w:ilvl w:val="0"/>
          <w:numId w:val="2"/>
        </w:numPr>
      </w:pPr>
      <w:r>
        <w:t>First, any centralized DevOps team should contain people that worked in team-specific operati</w:t>
      </w:r>
      <w:r w:rsidR="00FD664E">
        <w:t>o</w:t>
      </w:r>
      <w:r>
        <w:t>ns teams.  These existing members have experiences and diverse perspectives that can improve the DevOps organization.</w:t>
      </w:r>
    </w:p>
    <w:p w14:paraId="08760B59" w14:textId="354214D8" w:rsidR="00ED19B4" w:rsidRDefault="00ED19B4" w:rsidP="00FD664E">
      <w:pPr>
        <w:pStyle w:val="ListParagraph"/>
        <w:numPr>
          <w:ilvl w:val="0"/>
          <w:numId w:val="2"/>
        </w:numPr>
      </w:pPr>
      <w:r>
        <w:t xml:space="preserve">Second, existing processes must integrate into new systems where possible.  Previously, policies required networking teams to use </w:t>
      </w:r>
      <w:r w:rsidRPr="00FD664E">
        <w:rPr>
          <w:rFonts w:ascii="Courier New" w:hAnsi="Courier New" w:cs="Courier New"/>
          <w:sz w:val="20"/>
          <w:szCs w:val="20"/>
        </w:rPr>
        <w:t>networking-{team}@ncu.f</w:t>
      </w:r>
      <w:r>
        <w:t xml:space="preserve"> alias conventions. After converging the network support teams, these old email addresses should become forwards. Finally, automated replies should update the sender with the revised policy.  </w:t>
      </w:r>
    </w:p>
    <w:p w14:paraId="1C65008C" w14:textId="20057D84" w:rsidR="00ED19B4" w:rsidRDefault="00ED19B4" w:rsidP="00FD664E">
      <w:pPr>
        <w:pStyle w:val="ListParagraph"/>
        <w:numPr>
          <w:ilvl w:val="0"/>
          <w:numId w:val="2"/>
        </w:numPr>
      </w:pPr>
      <w:r>
        <w:t>Third, the company must aggressively move resource metadata into the central repository.  This store gives a consistent organizational view into its artifacts and other assets.</w:t>
      </w:r>
    </w:p>
    <w:p w14:paraId="220744A6" w14:textId="7107960B" w:rsidR="004216E2" w:rsidRDefault="004216E2" w:rsidP="004216E2">
      <w:pPr>
        <w:pStyle w:val="Heading2"/>
      </w:pPr>
      <w:r>
        <w:t>IT Mitigation</w:t>
      </w:r>
      <w:r w:rsidR="00F728B8">
        <w:t>s</w:t>
      </w:r>
    </w:p>
    <w:p w14:paraId="15E8A40A" w14:textId="4A61A80C" w:rsidR="00D94DA1" w:rsidRDefault="00286C59" w:rsidP="00286C59">
      <w:r>
        <w:tab/>
        <w:t xml:space="preserve">NCU-F’s must deliver customer value securely and reliably.  Meeting this requirement necessitates a balancing act between security </w:t>
      </w:r>
      <w:r w:rsidR="00FB7813">
        <w:t>and project teams.  The engineering team cannot perform their roles and responsibilities if the pendulum swings too far toward stringent controls.  In contrast, the opposite creates an environment where teams actively avoid security initiatives.  Instead, the organization must break down these communication barriers and demonstrate cross-team value through collaboration.</w:t>
      </w:r>
      <w:r w:rsidR="00D94DA1">
        <w:t xml:space="preserve">  NCU’s framework could represent these ideas as another Technical Community with staff from cross-discipline areas.</w:t>
      </w:r>
    </w:p>
    <w:p w14:paraId="170D5DC2" w14:textId="1D64A719" w:rsidR="00FB7813" w:rsidRDefault="00FB7813" w:rsidP="00D94DA1">
      <w:pPr>
        <w:ind w:firstLine="720"/>
      </w:pPr>
      <w:r>
        <w:lastRenderedPageBreak/>
        <w:t xml:space="preserve">Security cannot </w:t>
      </w:r>
      <w:r w:rsidR="00D94DA1">
        <w:t xml:space="preserve">solely </w:t>
      </w:r>
      <w:r>
        <w:t>be about criticism-- its mechanisms to reduce the blast radius during failure</w:t>
      </w:r>
      <w:r w:rsidRPr="00FB7813">
        <w:t xml:space="preserve"> </w:t>
      </w:r>
      <w:sdt>
        <w:sdtPr>
          <w:id w:val="1892917243"/>
          <w:citation/>
        </w:sdtPr>
        <w:sdtEndPr/>
        <w:sdtContent>
          <w:r>
            <w:fldChar w:fldCharType="begin"/>
          </w:r>
          <w:r>
            <w:instrText xml:space="preserve"> CITATION Dai191 \l 1033 </w:instrText>
          </w:r>
          <w:r>
            <w:fldChar w:fldCharType="separate"/>
          </w:r>
          <w:r>
            <w:rPr>
              <w:noProof/>
            </w:rPr>
            <w:t xml:space="preserve"> (Dai Zovi, 2019)</w:t>
          </w:r>
          <w:r>
            <w:fldChar w:fldCharType="end"/>
          </w:r>
        </w:sdtContent>
      </w:sdt>
      <w:r>
        <w:t>.</w:t>
      </w:r>
      <w:r w:rsidR="00D94DA1">
        <w:t xml:space="preserve">  Those controls must span all infrastructure layers, starting with a common vulnerability and security toolset (see Table 2).  Deploying these components through automation and then centrally collecting threat intelligence will move the needle.  The security teams should require specific service integrations and remain cognizant that the engineering and operations teams are their customers.  Customer guardrails must provide value and convey some measurable output.  For example, this could exist as a dashboard that reports discovered issues and remediation times.  While these visualizations are not traditional AAA (Authentication, Authorization, and Auditing) controls, it drives the discussion, </w:t>
      </w:r>
      <w:r w:rsidR="00CE44D1">
        <w:t xml:space="preserve">a </w:t>
      </w:r>
      <w:r w:rsidR="00D94DA1">
        <w:t xml:space="preserve">critical step </w:t>
      </w:r>
      <w:r w:rsidR="00CE44D1">
        <w:t>toward the organization’s transformation</w:t>
      </w:r>
      <w:r w:rsidR="00D94DA1">
        <w:t>.</w:t>
      </w:r>
    </w:p>
    <w:p w14:paraId="396B36F6" w14:textId="1347BC22" w:rsidR="00120CBF" w:rsidRDefault="00120CBF">
      <w:r>
        <w:br w:type="page"/>
      </w:r>
    </w:p>
    <w:sdt>
      <w:sdtPr>
        <w:rPr>
          <w:b w:val="0"/>
        </w:rPr>
        <w:id w:val="2049869461"/>
        <w:docPartObj>
          <w:docPartGallery w:val="Bibliographies"/>
          <w:docPartUnique/>
        </w:docPartObj>
      </w:sdtPr>
      <w:sdtEndPr/>
      <w:sdtContent>
        <w:p w14:paraId="389D6B96" w14:textId="6718CA57" w:rsidR="00120CBF" w:rsidRPr="00120CBF" w:rsidRDefault="00120CBF">
          <w:pPr>
            <w:pStyle w:val="Heading1"/>
            <w:rPr>
              <w:b w:val="0"/>
              <w:bCs/>
            </w:rPr>
          </w:pPr>
          <w:r w:rsidRPr="00120CBF">
            <w:rPr>
              <w:b w:val="0"/>
              <w:bCs/>
            </w:rPr>
            <w:t>References</w:t>
          </w:r>
        </w:p>
        <w:sdt>
          <w:sdtPr>
            <w:id w:val="-573587230"/>
            <w:bibliography/>
          </w:sdtPr>
          <w:sdtEndPr/>
          <w:sdtContent>
            <w:p w14:paraId="34286109" w14:textId="52CF55C3" w:rsidR="00120CBF" w:rsidRDefault="00120CBF" w:rsidP="00120CBF">
              <w:pPr>
                <w:pStyle w:val="Bibliography"/>
                <w:ind w:left="720" w:hanging="720"/>
                <w:rPr>
                  <w:noProof/>
                </w:rPr>
              </w:pPr>
              <w:r>
                <w:fldChar w:fldCharType="begin"/>
              </w:r>
              <w:r>
                <w:instrText xml:space="preserve"> BIBLIOGRAPHY </w:instrText>
              </w:r>
              <w:r>
                <w:fldChar w:fldCharType="separate"/>
              </w:r>
              <w:r>
                <w:rPr>
                  <w:noProof/>
                </w:rPr>
                <w:t xml:space="preserve">Baskerville, R., Rowe, F., &amp; Wolff, F. (2018). Integration of information systems and cybersecurity countermeasures: exposure to risk perspective. </w:t>
              </w:r>
              <w:r>
                <w:rPr>
                  <w:i/>
                  <w:iCs/>
                  <w:noProof/>
                </w:rPr>
                <w:t>SIGMIS Database. Volume 49</w:t>
              </w:r>
              <w:r>
                <w:rPr>
                  <w:noProof/>
                </w:rPr>
                <w:t>, 33-52. doi:https://doi.org/10.1145/3184444.3184448.</w:t>
              </w:r>
            </w:p>
            <w:p w14:paraId="0C1F6A58" w14:textId="77777777" w:rsidR="00120CBF" w:rsidRDefault="00120CBF" w:rsidP="00120CBF">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2C3F5DCE" w14:textId="77777777" w:rsidR="00120CBF" w:rsidRDefault="00120CBF" w:rsidP="00120CBF">
              <w:pPr>
                <w:pStyle w:val="Bibliography"/>
                <w:ind w:left="720" w:hanging="720"/>
                <w:rPr>
                  <w:noProof/>
                </w:rPr>
              </w:pPr>
              <w:r>
                <w:rPr>
                  <w:noProof/>
                </w:rPr>
                <w:t xml:space="preserve">Busby, J., Green, B., &amp; Hutchinson, D. (2017). Analysis of Affordance, Time, and Adaptation in the Assessment of Industrial Control System Cybersecurity Risk. </w:t>
              </w:r>
              <w:r>
                <w:rPr>
                  <w:i/>
                  <w:iCs/>
                  <w:noProof/>
                </w:rPr>
                <w:t>Risk analysis: An international journal, 37</w:t>
              </w:r>
              <w:r>
                <w:rPr>
                  <w:noProof/>
                </w:rPr>
                <w:t>(7), 1298-1314. Retrieved from https://search.ebscohost.com/login.aspx?direct=true&amp;db=s3h&amp;AN=124333378&amp;authtype=sso&amp;custid=s1229530&amp;site=eds-live&amp;scope=site</w:t>
              </w:r>
            </w:p>
            <w:p w14:paraId="15FE6548" w14:textId="77777777" w:rsidR="00120CBF" w:rsidRDefault="00120CBF" w:rsidP="00120CBF">
              <w:pPr>
                <w:pStyle w:val="Bibliography"/>
                <w:ind w:left="720" w:hanging="720"/>
                <w:rPr>
                  <w:noProof/>
                </w:rPr>
              </w:pPr>
              <w:r>
                <w:rPr>
                  <w:noProof/>
                </w:rPr>
                <w:t xml:space="preserve">Dai Zovi, D. (2019). Every Security Team is a Software Team Now. </w:t>
              </w:r>
              <w:r>
                <w:rPr>
                  <w:i/>
                  <w:iCs/>
                  <w:noProof/>
                </w:rPr>
                <w:t>Black Hat USA.</w:t>
              </w:r>
              <w:r>
                <w:rPr>
                  <w:noProof/>
                </w:rPr>
                <w:t xml:space="preserve"> Las Vegas, NV, USA: Black Hat. Retrieved May 9, 2020, from https://www.youtube.com/watch?v=8armE3Wz0jk</w:t>
              </w:r>
            </w:p>
            <w:p w14:paraId="5B802C88" w14:textId="2D5ECB51" w:rsidR="00120CBF" w:rsidRDefault="00120CBF" w:rsidP="00120CBF">
              <w:pPr>
                <w:pStyle w:val="Bibliography"/>
                <w:ind w:left="720" w:hanging="720"/>
                <w:rPr>
                  <w:noProof/>
                </w:rPr>
              </w:pPr>
              <w:r>
                <w:rPr>
                  <w:noProof/>
                </w:rPr>
                <w:t xml:space="preserve">Grobler, J. (2018). The cyber risk from a Cheif Risk Officer (CRO) perspective. </w:t>
              </w:r>
              <w:r>
                <w:rPr>
                  <w:i/>
                  <w:iCs/>
                  <w:noProof/>
                </w:rPr>
                <w:t>Journal of Risk Management in Financial Institutions, 11</w:t>
              </w:r>
              <w:r>
                <w:rPr>
                  <w:noProof/>
                </w:rPr>
                <w:t>(2), 125-31. Retrieved from https://search.ebscohost.com/login.aspx?direct=true&amp;db=bth&amp;AN=128885445&amp;authtype=sso&amp;custid=s1229530&amp;site=eds-live&amp;scope=site</w:t>
              </w:r>
            </w:p>
            <w:p w14:paraId="5F395225" w14:textId="77777777" w:rsidR="00120CBF" w:rsidRDefault="00120CBF" w:rsidP="00120CBF">
              <w:pPr>
                <w:pStyle w:val="Bibliography"/>
                <w:ind w:left="720" w:hanging="720"/>
                <w:rPr>
                  <w:noProof/>
                </w:rPr>
              </w:pPr>
              <w:r>
                <w:rPr>
                  <w:noProof/>
                </w:rPr>
                <w:t xml:space="preserve">Kohnfelder, L., &amp; Garg, P. (1999, April 1). </w:t>
              </w:r>
              <w:r>
                <w:rPr>
                  <w:i/>
                  <w:iCs/>
                  <w:noProof/>
                </w:rPr>
                <w:t>The threats to our products</w:t>
              </w:r>
              <w:r>
                <w:rPr>
                  <w:noProof/>
                </w:rPr>
                <w:t>. Retrieved from Microsoft Security Blog: https://www.microsoft.com/security/blog/2009/08/27/the-threats-to-our-products/</w:t>
              </w:r>
            </w:p>
            <w:p w14:paraId="35112F22" w14:textId="77777777" w:rsidR="00120CBF" w:rsidRDefault="00120CBF" w:rsidP="00120CBF">
              <w:pPr>
                <w:pStyle w:val="Bibliography"/>
                <w:ind w:left="720" w:hanging="720"/>
                <w:rPr>
                  <w:noProof/>
                </w:rPr>
              </w:pPr>
              <w:r>
                <w:rPr>
                  <w:noProof/>
                </w:rPr>
                <w:lastRenderedPageBreak/>
                <w:t xml:space="preserve">Kosub, T. (2015). Components and challenges of integrated cyber risk management. </w:t>
              </w:r>
              <w:r>
                <w:rPr>
                  <w:i/>
                  <w:iCs/>
                  <w:noProof/>
                </w:rPr>
                <w:t>Zeitschrift für die gesamte Versicherungswissenschaft, 104</w:t>
              </w:r>
              <w:r>
                <w:rPr>
                  <w:noProof/>
                </w:rPr>
                <w:t>(5), 615-632. doi:https://doi.org/10.1007/s12297-015-0316-8</w:t>
              </w:r>
            </w:p>
            <w:p w14:paraId="6F49EF16" w14:textId="28AAB9DE" w:rsidR="00120CBF" w:rsidRDefault="00120CBF" w:rsidP="00120CBF">
              <w:pPr>
                <w:pStyle w:val="Bibliography"/>
                <w:ind w:left="720" w:hanging="720"/>
                <w:rPr>
                  <w:noProof/>
                </w:rPr>
              </w:pPr>
              <w:r>
                <w:rPr>
                  <w:noProof/>
                </w:rPr>
                <w:t xml:space="preserve">Krebs, C. (2019, April 23). Keynote by Christopher Krebs, Director, Cybersecurity, and Infrastructure Security Agency. </w:t>
              </w:r>
              <w:r>
                <w:rPr>
                  <w:i/>
                  <w:iCs/>
                  <w:noProof/>
                </w:rPr>
                <w:t>International Conference on Consumer Electronics.</w:t>
              </w:r>
              <w:r>
                <w:rPr>
                  <w:noProof/>
                </w:rPr>
                <w:t xml:space="preserve"> Las Vegas, Nevada, USA. Retrieved from YouTube: https://www.youtube.com/watch?v=aVfcgNhHSDM</w:t>
              </w:r>
            </w:p>
            <w:p w14:paraId="026600A1" w14:textId="38A95284" w:rsidR="00120CBF" w:rsidRDefault="00120CBF" w:rsidP="00120CBF">
              <w:pPr>
                <w:pStyle w:val="Bibliography"/>
                <w:ind w:left="720" w:hanging="720"/>
                <w:rPr>
                  <w:noProof/>
                </w:rPr>
              </w:pPr>
              <w:r>
                <w:rPr>
                  <w:noProof/>
                </w:rPr>
                <w:t xml:space="preserve">Li, Z., &amp; Liao, Q. (2018, January). Economic solutions to improve the cybersecurity of governments and smart cities via vulnerability markets. </w:t>
              </w:r>
              <w:r>
                <w:rPr>
                  <w:i/>
                  <w:iCs/>
                  <w:noProof/>
                </w:rPr>
                <w:t>Government Information Quarterly, 35</w:t>
              </w:r>
              <w:r>
                <w:rPr>
                  <w:noProof/>
                </w:rPr>
                <w:t>(1), 151-160. doi:https://doi.org/10.1016/j.giq.2017.10.006</w:t>
              </w:r>
            </w:p>
            <w:p w14:paraId="1E32C7AE" w14:textId="77777777" w:rsidR="00120CBF" w:rsidRDefault="00120CBF" w:rsidP="00120CBF">
              <w:pPr>
                <w:pStyle w:val="Bibliography"/>
                <w:ind w:left="720" w:hanging="720"/>
                <w:rPr>
                  <w:noProof/>
                </w:rPr>
              </w:pPr>
              <w:r>
                <w:rPr>
                  <w:noProof/>
                </w:rPr>
                <w:t xml:space="preserve">Matsubara, M. (2014). Countering Cyber-Espionage and Sabotage. </w:t>
              </w:r>
              <w:r>
                <w:rPr>
                  <w:i/>
                  <w:iCs/>
                  <w:noProof/>
                </w:rPr>
                <w:t>RUSI Journal: Royal United Services Institute for Defence Studies, 159</w:t>
              </w:r>
              <w:r>
                <w:rPr>
                  <w:noProof/>
                </w:rPr>
                <w:t>(1), 86-93. doi:https://doi-org.proxy1.ncu.edu/10.1080/03071847.2014.895263</w:t>
              </w:r>
            </w:p>
            <w:p w14:paraId="1D23119E" w14:textId="77777777" w:rsidR="00120CBF" w:rsidRDefault="00120CBF" w:rsidP="00120CBF">
              <w:pPr>
                <w:pStyle w:val="Bibliography"/>
                <w:ind w:left="720" w:hanging="720"/>
                <w:rPr>
                  <w:noProof/>
                </w:rPr>
              </w:pPr>
              <w:r>
                <w:rPr>
                  <w:noProof/>
                </w:rPr>
                <w:t xml:space="preserve">McCance, G. (2012, November 19). </w:t>
              </w:r>
              <w:r>
                <w:rPr>
                  <w:i/>
                  <w:iCs/>
                  <w:noProof/>
                </w:rPr>
                <w:t>SDCD12: Supporting Science with Cloud Computing</w:t>
              </w:r>
              <w:r>
                <w:rPr>
                  <w:noProof/>
                </w:rPr>
                <w:t>. Retrieved from European Organization for Nuclear Research: https://www.slideshare.net/gmccance/cern-data-centre-evolution</w:t>
              </w:r>
            </w:p>
            <w:p w14:paraId="656795BD" w14:textId="77777777" w:rsidR="00120CBF" w:rsidRDefault="00120CBF" w:rsidP="00120CBF">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51E86E78" w14:textId="77777777" w:rsidR="00120CBF" w:rsidRDefault="00120CBF" w:rsidP="00120CBF">
              <w:pPr>
                <w:pStyle w:val="Bibliography"/>
                <w:ind w:left="720" w:hanging="720"/>
                <w:rPr>
                  <w:noProof/>
                </w:rPr>
              </w:pPr>
              <w:r>
                <w:rPr>
                  <w:noProof/>
                </w:rPr>
                <w:t xml:space="preserve">NIST. (2021). </w:t>
              </w:r>
              <w:r>
                <w:rPr>
                  <w:i/>
                  <w:iCs/>
                  <w:noProof/>
                </w:rPr>
                <w:t>Vulnerability Metrics</w:t>
              </w:r>
              <w:r>
                <w:rPr>
                  <w:noProof/>
                </w:rPr>
                <w:t>. Retrieved from National Vulnerability Database: https://nvd.nist.gov/vuln-metrics/cvss</w:t>
              </w:r>
            </w:p>
            <w:p w14:paraId="5CE2C044" w14:textId="77777777" w:rsidR="00120CBF" w:rsidRDefault="00120CBF" w:rsidP="00120CBF">
              <w:pPr>
                <w:pStyle w:val="Bibliography"/>
                <w:ind w:left="720" w:hanging="720"/>
                <w:rPr>
                  <w:noProof/>
                </w:rPr>
              </w:pPr>
              <w:r>
                <w:rPr>
                  <w:noProof/>
                </w:rPr>
                <w:lastRenderedPageBreak/>
                <w:t xml:space="preserve">Weston, H., Conklin, T., &amp; Drobnis, K. (2018). Assessing and resetting culture in enterprise risk management. </w:t>
              </w:r>
              <w:r>
                <w:rPr>
                  <w:i/>
                  <w:iCs/>
                  <w:noProof/>
                </w:rPr>
                <w:t>Assurances et Gestion Des Risques,, 85</w:t>
              </w:r>
              <w:r>
                <w:rPr>
                  <w:noProof/>
                </w:rPr>
                <w:t>(1), 131-166. doi:https://doi-org.proxy1.ncu.edu/10.7202/1051319ar</w:t>
              </w:r>
            </w:p>
            <w:p w14:paraId="0A35380E" w14:textId="4A9C3E8F" w:rsidR="00120CBF" w:rsidRDefault="00120CBF" w:rsidP="00120CBF">
              <w:r>
                <w:rPr>
                  <w:b/>
                  <w:bCs/>
                  <w:noProof/>
                </w:rPr>
                <w:fldChar w:fldCharType="end"/>
              </w:r>
            </w:p>
          </w:sdtContent>
        </w:sdt>
      </w:sdtContent>
    </w:sdt>
    <w:p w14:paraId="42092B89" w14:textId="77777777" w:rsidR="00120CBF" w:rsidRDefault="00120CBF" w:rsidP="00120CBF"/>
    <w:p w14:paraId="72B0A722" w14:textId="79ABEE62" w:rsidR="00D94DA1" w:rsidRDefault="00D94DA1" w:rsidP="00286C59">
      <w:r>
        <w:tab/>
      </w:r>
    </w:p>
    <w:sectPr w:rsidR="00D94DA1"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45683" w14:textId="77777777" w:rsidR="00975BAC" w:rsidRDefault="00975BAC" w:rsidP="0082223F">
      <w:pPr>
        <w:spacing w:line="240" w:lineRule="auto"/>
      </w:pPr>
      <w:r>
        <w:separator/>
      </w:r>
    </w:p>
  </w:endnote>
  <w:endnote w:type="continuationSeparator" w:id="0">
    <w:p w14:paraId="0B68A8DC" w14:textId="77777777" w:rsidR="00975BAC" w:rsidRDefault="00975BA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4FD0B" w14:textId="77777777" w:rsidR="00975BAC" w:rsidRDefault="00975BAC" w:rsidP="0082223F">
      <w:pPr>
        <w:spacing w:line="240" w:lineRule="auto"/>
      </w:pPr>
      <w:r>
        <w:separator/>
      </w:r>
    </w:p>
  </w:footnote>
  <w:footnote w:type="continuationSeparator" w:id="0">
    <w:p w14:paraId="24942AD8" w14:textId="77777777" w:rsidR="00975BAC" w:rsidRDefault="00975BA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2A78"/>
    <w:multiLevelType w:val="hybridMultilevel"/>
    <w:tmpl w:val="01EAC5F0"/>
    <w:lvl w:ilvl="0" w:tplc="758C1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EE6356"/>
    <w:multiLevelType w:val="hybridMultilevel"/>
    <w:tmpl w:val="B81EF18A"/>
    <w:lvl w:ilvl="0" w:tplc="09622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067A33"/>
    <w:rsid w:val="00103C56"/>
    <w:rsid w:val="00120CBF"/>
    <w:rsid w:val="00183597"/>
    <w:rsid w:val="001B27C4"/>
    <w:rsid w:val="002516A9"/>
    <w:rsid w:val="002806B7"/>
    <w:rsid w:val="00286C59"/>
    <w:rsid w:val="002F2E59"/>
    <w:rsid w:val="00330C14"/>
    <w:rsid w:val="003E52C4"/>
    <w:rsid w:val="003F4714"/>
    <w:rsid w:val="00401D65"/>
    <w:rsid w:val="004216E2"/>
    <w:rsid w:val="004223E8"/>
    <w:rsid w:val="00424108"/>
    <w:rsid w:val="00495B4D"/>
    <w:rsid w:val="004A784B"/>
    <w:rsid w:val="005A04C7"/>
    <w:rsid w:val="005A3797"/>
    <w:rsid w:val="005B7079"/>
    <w:rsid w:val="005C39BA"/>
    <w:rsid w:val="005E7265"/>
    <w:rsid w:val="006D4634"/>
    <w:rsid w:val="006D793E"/>
    <w:rsid w:val="0073677D"/>
    <w:rsid w:val="00775A78"/>
    <w:rsid w:val="007A028C"/>
    <w:rsid w:val="007A42DF"/>
    <w:rsid w:val="0082223F"/>
    <w:rsid w:val="00872AC4"/>
    <w:rsid w:val="00877007"/>
    <w:rsid w:val="008B5129"/>
    <w:rsid w:val="008D0E1C"/>
    <w:rsid w:val="008F6E93"/>
    <w:rsid w:val="0092469B"/>
    <w:rsid w:val="00975BAC"/>
    <w:rsid w:val="009A757D"/>
    <w:rsid w:val="00A13251"/>
    <w:rsid w:val="00A2663E"/>
    <w:rsid w:val="00A379D6"/>
    <w:rsid w:val="00A423F8"/>
    <w:rsid w:val="00A47782"/>
    <w:rsid w:val="00B13ADF"/>
    <w:rsid w:val="00B83595"/>
    <w:rsid w:val="00C54DC8"/>
    <w:rsid w:val="00C73692"/>
    <w:rsid w:val="00C93265"/>
    <w:rsid w:val="00C93BB7"/>
    <w:rsid w:val="00CB25E9"/>
    <w:rsid w:val="00CB2C5D"/>
    <w:rsid w:val="00CE44D1"/>
    <w:rsid w:val="00D0165E"/>
    <w:rsid w:val="00D10EE8"/>
    <w:rsid w:val="00D61716"/>
    <w:rsid w:val="00D71C3D"/>
    <w:rsid w:val="00D75C7B"/>
    <w:rsid w:val="00D85C7B"/>
    <w:rsid w:val="00D94DA1"/>
    <w:rsid w:val="00DE2224"/>
    <w:rsid w:val="00DF1986"/>
    <w:rsid w:val="00E234E9"/>
    <w:rsid w:val="00ED19B4"/>
    <w:rsid w:val="00ED3713"/>
    <w:rsid w:val="00F60309"/>
    <w:rsid w:val="00F728B8"/>
    <w:rsid w:val="00FA4B22"/>
    <w:rsid w:val="00FB7813"/>
    <w:rsid w:val="00FD664E"/>
    <w:rsid w:val="00FD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5E72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A132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6171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ED19B4"/>
    <w:rPr>
      <w:color w:val="0563C1" w:themeColor="hyperlink"/>
      <w:u w:val="single"/>
    </w:rPr>
  </w:style>
  <w:style w:type="character" w:styleId="UnresolvedMention">
    <w:name w:val="Unresolved Mention"/>
    <w:basedOn w:val="DefaultParagraphFont"/>
    <w:uiPriority w:val="99"/>
    <w:semiHidden/>
    <w:unhideWhenUsed/>
    <w:rsid w:val="00ED19B4"/>
    <w:rPr>
      <w:color w:val="605E5C"/>
      <w:shd w:val="clear" w:color="auto" w:fill="E1DFDD"/>
    </w:rPr>
  </w:style>
  <w:style w:type="paragraph" w:styleId="ListParagraph">
    <w:name w:val="List Paragraph"/>
    <w:basedOn w:val="Normal"/>
    <w:uiPriority w:val="34"/>
    <w:qFormat/>
    <w:rsid w:val="00ED19B4"/>
    <w:pPr>
      <w:ind w:left="720"/>
      <w:contextualSpacing/>
    </w:pPr>
  </w:style>
  <w:style w:type="paragraph" w:styleId="Bibliography">
    <w:name w:val="Bibliography"/>
    <w:basedOn w:val="Normal"/>
    <w:next w:val="Normal"/>
    <w:uiPriority w:val="37"/>
    <w:unhideWhenUsed/>
    <w:rsid w:val="00120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6466">
      <w:bodyDiv w:val="1"/>
      <w:marLeft w:val="0"/>
      <w:marRight w:val="0"/>
      <w:marTop w:val="0"/>
      <w:marBottom w:val="0"/>
      <w:divBdr>
        <w:top w:val="none" w:sz="0" w:space="0" w:color="auto"/>
        <w:left w:val="none" w:sz="0" w:space="0" w:color="auto"/>
        <w:bottom w:val="none" w:sz="0" w:space="0" w:color="auto"/>
        <w:right w:val="none" w:sz="0" w:space="0" w:color="auto"/>
      </w:divBdr>
    </w:div>
    <w:div w:id="897058803">
      <w:bodyDiv w:val="1"/>
      <w:marLeft w:val="0"/>
      <w:marRight w:val="0"/>
      <w:marTop w:val="0"/>
      <w:marBottom w:val="0"/>
      <w:divBdr>
        <w:top w:val="none" w:sz="0" w:space="0" w:color="auto"/>
        <w:left w:val="none" w:sz="0" w:space="0" w:color="auto"/>
        <w:bottom w:val="none" w:sz="0" w:space="0" w:color="auto"/>
        <w:right w:val="none" w:sz="0" w:space="0" w:color="auto"/>
      </w:divBdr>
    </w:div>
    <w:div w:id="917715263">
      <w:bodyDiv w:val="1"/>
      <w:marLeft w:val="0"/>
      <w:marRight w:val="0"/>
      <w:marTop w:val="0"/>
      <w:marBottom w:val="0"/>
      <w:divBdr>
        <w:top w:val="none" w:sz="0" w:space="0" w:color="auto"/>
        <w:left w:val="none" w:sz="0" w:space="0" w:color="auto"/>
        <w:bottom w:val="none" w:sz="0" w:space="0" w:color="auto"/>
        <w:right w:val="none" w:sz="0" w:space="0" w:color="auto"/>
      </w:divBdr>
    </w:div>
    <w:div w:id="1023750680">
      <w:bodyDiv w:val="1"/>
      <w:marLeft w:val="0"/>
      <w:marRight w:val="0"/>
      <w:marTop w:val="0"/>
      <w:marBottom w:val="0"/>
      <w:divBdr>
        <w:top w:val="none" w:sz="0" w:space="0" w:color="auto"/>
        <w:left w:val="none" w:sz="0" w:space="0" w:color="auto"/>
        <w:bottom w:val="none" w:sz="0" w:space="0" w:color="auto"/>
        <w:right w:val="none" w:sz="0" w:space="0" w:color="auto"/>
      </w:divBdr>
    </w:div>
    <w:div w:id="1278827173">
      <w:bodyDiv w:val="1"/>
      <w:marLeft w:val="0"/>
      <w:marRight w:val="0"/>
      <w:marTop w:val="0"/>
      <w:marBottom w:val="0"/>
      <w:divBdr>
        <w:top w:val="none" w:sz="0" w:space="0" w:color="auto"/>
        <w:left w:val="none" w:sz="0" w:space="0" w:color="auto"/>
        <w:bottom w:val="none" w:sz="0" w:space="0" w:color="auto"/>
        <w:right w:val="none" w:sz="0" w:space="0" w:color="auto"/>
      </w:divBdr>
    </w:div>
    <w:div w:id="1399596712">
      <w:bodyDiv w:val="1"/>
      <w:marLeft w:val="0"/>
      <w:marRight w:val="0"/>
      <w:marTop w:val="0"/>
      <w:marBottom w:val="0"/>
      <w:divBdr>
        <w:top w:val="none" w:sz="0" w:space="0" w:color="auto"/>
        <w:left w:val="none" w:sz="0" w:space="0" w:color="auto"/>
        <w:bottom w:val="none" w:sz="0" w:space="0" w:color="auto"/>
        <w:right w:val="none" w:sz="0" w:space="0" w:color="auto"/>
      </w:divBdr>
    </w:div>
    <w:div w:id="1407147575">
      <w:bodyDiv w:val="1"/>
      <w:marLeft w:val="0"/>
      <w:marRight w:val="0"/>
      <w:marTop w:val="0"/>
      <w:marBottom w:val="0"/>
      <w:divBdr>
        <w:top w:val="none" w:sz="0" w:space="0" w:color="auto"/>
        <w:left w:val="none" w:sz="0" w:space="0" w:color="auto"/>
        <w:bottom w:val="none" w:sz="0" w:space="0" w:color="auto"/>
        <w:right w:val="none" w:sz="0" w:space="0" w:color="auto"/>
      </w:divBdr>
    </w:div>
    <w:div w:id="179182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2</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3</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4</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5</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12</b:RefOrder>
  </b:Source>
  <b:Source>
    <b:Tag>Gro183</b:Tag>
    <b:SourceType>JournalArticle</b:SourceType>
    <b:Guid>{CC627F2F-8290-408B-83EB-0A02D75A2788}</b:Guid>
    <b:Author>
      <b:Author>
        <b:NameList>
          <b:Person>
            <b:Last>Grobler</b:Last>
            <b:First>J</b:First>
          </b:Person>
        </b:NameList>
      </b:Author>
    </b:Author>
    <b:Title>Cyrber risk from a Cheif Risk Officer (CRO) perspective</b:Title>
    <b:JournalName>Journal of Risk Management in Financial Institutions</b:JournalName>
    <b:Year>2018</b:Year>
    <b:Pages>125-31</b:Pages>
    <b:Volume>11</b:Volume>
    <b:Issue>2</b:Issue>
    <b:URL>https://search.ebscohost.com/login.aspx?direct=true&amp;db=bth&amp;AN=128885445&amp;authtype=sso&amp;custid=s1229530&amp;site=eds-live&amp;scope=site</b:URL>
    <b:RefOrder>1</b:RefOrder>
  </b:Source>
  <b:Source>
    <b:Tag>Koh99</b:Tag>
    <b:SourceType>InternetSite</b:SourceType>
    <b:Guid>{F76CE91F-6F8A-4380-B390-421DB023FEEA}</b:Guid>
    <b:Author>
      <b:Author>
        <b:NameList>
          <b:Person>
            <b:Last>Kohnfelder</b:Last>
            <b:First>L</b:First>
          </b:Person>
          <b:Person>
            <b:Last>Garg</b:Last>
            <b:First>P</b:First>
          </b:Person>
        </b:NameList>
      </b:Author>
    </b:Author>
    <b:Title>The threats to our products</b:Title>
    <b:InternetSiteTitle>Microsoft Security Blog</b:InternetSiteTitle>
    <b:Year>1999</b:Year>
    <b:Month>April</b:Month>
    <b:Day>1</b:Day>
    <b:URL>https://www.microsoft.com/security/blog/2009/08/27/the-threats-to-our-products/</b:URL>
    <b:RefOrder>6</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7</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8</b:RefOrder>
  </b:Source>
  <b:Source>
    <b:Tag>McC12</b:Tag>
    <b:SourceType>InternetSite</b:SourceType>
    <b:Guid>{B0739165-BC61-42FA-B886-9A68A4A1DC91}</b:Guid>
    <b:Title>SDCD12: Supporting Science with Cloud Computing</b:Title>
    <b:Year>2012</b:Year>
    <b:Author>
      <b:Author>
        <b:NameList>
          <b:Person>
            <b:Last>McCance</b:Last>
            <b:First>G</b:First>
          </b:Person>
        </b:NameList>
      </b:Author>
    </b:Author>
    <b:InternetSiteTitle>European Organization for Nuclear Research</b:InternetSiteTitle>
    <b:Month>November</b:Month>
    <b:Day>19</b:Day>
    <b:URL>https://www.slideshare.net/gmccance/cern-data-centre-evolution</b:URL>
    <b:RefOrder>9</b:RefOrder>
  </b:Source>
  <b:Source>
    <b:Tag>Bus172</b:Tag>
    <b:SourceType>JournalArticle</b:SourceType>
    <b:Guid>{74523765-2EBF-48B0-907C-4CB55C239117}</b:Guid>
    <b:Title>Analysis of Affordance, Time, and Adaptation in the Assessment of Industrial Control System Cybersecurity Risk</b:Title>
    <b:Year>2017</b:Year>
    <b:URL>https://search.ebscohost.com/login.aspx?direct=true&amp;db=s3h&amp;AN=124333378&amp;authtype=sso&amp;custid=s1229530&amp;site=eds-live&amp;scope=site</b:URL>
    <b:Author>
      <b:Author>
        <b:NameList>
          <b:Person>
            <b:Last>Busby</b:Last>
            <b:First>J</b:First>
          </b:Person>
          <b:Person>
            <b:Last>Green</b:Last>
            <b:First>B</b:First>
          </b:Person>
          <b:Person>
            <b:Last>Hutchinson</b:Last>
            <b:First>D</b:First>
          </b:Person>
        </b:NameList>
      </b:Author>
    </b:Author>
    <b:JournalName>Risk analysis: An international journal</b:JournalName>
    <b:Pages>1298-1314</b:Pages>
    <b:Volume>37</b:Volume>
    <b:Issue>7</b:Issue>
    <b:RefOrder>13</b:RefOrder>
  </b:Source>
  <b:Source>
    <b:Tag>NIS21</b:Tag>
    <b:SourceType>InternetSite</b:SourceType>
    <b:Guid>{42607B18-D31E-4AC7-98F6-0A4721A34A0E}</b:Guid>
    <b:Title>Vulnerability Metrics</b:Title>
    <b:Year>2021</b:Year>
    <b:Author>
      <b:Author>
        <b:Corporate>NIST</b:Corporate>
      </b:Author>
    </b:Author>
    <b:InternetSiteTitle>National Vulnerability Database</b:InternetSiteTitle>
    <b:URL>https://nvd.nist.gov/vuln-metrics/cvss</b:URL>
    <b:RefOrder>10</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14</b:RefOrder>
  </b:Source>
  <b:Source>
    <b:Tag>Dai191</b:Tag>
    <b:SourceType>ConferenceProceedings</b:SourceType>
    <b:Guid>{6BB9EB9D-CFEF-4D04-9B39-CA8D2C0DAB58}</b:Guid>
    <b:Title>Every Security Team is a Software Team Now</b:Title>
    <b:Year>2019</b:Year>
    <b:Author>
      <b:Author>
        <b:NameList>
          <b:Person>
            <b:Last>Dai Zovi</b:Last>
            <b:First>D</b:First>
          </b:Person>
        </b:NameList>
      </b:Author>
    </b:Author>
    <b:City>Las Vegas, NV, USA</b:City>
    <b:Publisher>Black Hat</b:Publisher>
    <b:Medium>Video</b:Medium>
    <b:YearAccessed>2020</b:YearAccessed>
    <b:MonthAccessed>May</b:MonthAccessed>
    <b:DayAccessed>9</b:DayAccessed>
    <b:URL>https://www.youtube.com/watch?v=8armE3Wz0jk</b:URL>
    <b:ConferenceName>Black Hat USA</b:ConferenceName>
    <b:RefOrder>11</b:RefOrder>
  </b:Source>
</b:Sources>
</file>

<file path=customXml/itemProps1.xml><?xml version="1.0" encoding="utf-8"?>
<ds:datastoreItem xmlns:ds="http://schemas.openxmlformats.org/officeDocument/2006/customXml" ds:itemID="{7211E844-1352-4278-B183-D13CFBB11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12</Pages>
  <Words>2509</Words>
  <Characters>14302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51</cp:revision>
  <dcterms:created xsi:type="dcterms:W3CDTF">2019-05-19T17:38:00Z</dcterms:created>
  <dcterms:modified xsi:type="dcterms:W3CDTF">2021-10-24T21:04:00Z</dcterms:modified>
</cp:coreProperties>
</file>