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0646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5AAA0967"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r w:rsidR="00A379D6">
        <w:t xml:space="preserve">  Self-insurance (e.g., reserves) and self-protection (e.g., controls) are alternative strategies for less impactful events.</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D43C785">
            <wp:extent cx="4254269" cy="128016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a:stretch>
                      <a:fillRect/>
                    </a:stretch>
                  </pic:blipFill>
                  <pic:spPr>
                    <a:xfrm>
                      <a:off x="0" y="0"/>
                      <a:ext cx="4254269" cy="1280160"/>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w:t>
      </w:r>
      <w:r>
        <w:lastRenderedPageBreak/>
        <w:t xml:space="preserve">a hostile market or business activity is impossible, making hedging with insurance a more appropriate response.  For example, it might be prohibitively expensive to have redundant 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CB2C5D">
      <w:pPr>
        <w:pStyle w:val="Heading1"/>
      </w:pPr>
      <w:r>
        <w:t>Applying Risk Categorizations</w:t>
      </w:r>
    </w:p>
    <w:p w14:paraId="499EC2FB" w14:textId="1D76653B" w:rsidR="00CB2C5D"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xml:space="preserve">, and </w:t>
      </w:r>
      <w:r w:rsidR="00D71C3D">
        <w:t>Information Technology and Communication (IT&amp;C)</w:t>
      </w:r>
      <w:r>
        <w:t xml:space="preserve"> models.  </w:t>
      </w:r>
    </w:p>
    <w:p w14:paraId="62163AA2" w14:textId="433F2DAD" w:rsidR="00CB2C5D" w:rsidRDefault="00CB2C5D" w:rsidP="00CB2C5D">
      <w:pPr>
        <w:pStyle w:val="Heading2"/>
      </w:pPr>
      <w:r>
        <w:t>Political Vulnerabilities</w:t>
      </w:r>
    </w:p>
    <w:p w14:paraId="532425D4" w14:textId="69C81425" w:rsidR="00330C14" w:rsidRDefault="00330C14" w:rsidP="00CB2C5D">
      <w:pPr>
        <w:ind w:firstLine="720"/>
      </w:pPr>
      <w:r>
        <w:t>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BB9C887" w14:textId="63E7F44B" w:rsidR="00CB2C5D" w:rsidRDefault="00CB2C5D" w:rsidP="00CB2C5D">
      <w:pPr>
        <w:pStyle w:val="Heading2"/>
      </w:pPr>
      <w:r>
        <w:t>Operational Vulnerabilities</w:t>
      </w:r>
    </w:p>
    <w:p w14:paraId="32D19437" w14:textId="5493DD1A" w:rsidR="00D71C3D" w:rsidRDefault="00D71C3D" w:rsidP="00D71C3D">
      <w:r>
        <w:tab/>
        <w:t xml:space="preserve">Operational vulnerabilities will likely originate during this transformational period.  For instance, today, each business manages assigns staff to support a particular hardware topology.  </w:t>
      </w:r>
      <w:r>
        <w:lastRenderedPageBreak/>
        <w:t>This approach is challenging to scale and uneconomical compared to treating servers as pets versus cattle</w:t>
      </w:r>
      <w:sdt>
        <w:sdtPr>
          <w:id w:val="-1892421062"/>
          <w:citation/>
        </w:sdt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t>changes in provisioning and monitoring models inherently include team ownership.  When staff is unclear regarding area ownership, it creates delays escalating and routing issues, increasing Time to Detect / Time to Mitigate (TTD/TTM) latencies.</w:t>
      </w:r>
    </w:p>
    <w:p w14:paraId="479611F3" w14:textId="1E074290" w:rsidR="00CB2C5D" w:rsidRDefault="00CB2C5D" w:rsidP="00CB2C5D">
      <w:pPr>
        <w:pStyle w:val="Heading2"/>
      </w:pPr>
      <w:r>
        <w:t>IT Vulnerabilities</w:t>
      </w:r>
    </w:p>
    <w:p w14:paraId="59270FC6" w14:textId="17914457" w:rsidR="00FA4B22" w:rsidRDefault="00FA4B22" w:rsidP="00D71C3D">
      <w:r>
        <w:tab/>
        <w:t>Supporting collaborative communication requires extensive changes across the IT&amp;C ecosystem.  These new pathways will expand the threat model and attack surface, necessitating additional controls and procedures. When these forces come at odds, it creates friction that either carries an undue risk or costs the business time and resources. Busby, Green, and Hutchison (2017) describe this situation through equilibrium between adversaries, users, and risk managers, whose goals are to maximize risk, maintain convenience, and minimize risk.  For instance, the senior leadership can mandate complex password policies.  However, beyond a certain threshold, the staff can no longer retain the random string to memory.  They will either write it down or increase calls to the help desk.</w:t>
      </w:r>
    </w:p>
    <w:p w14:paraId="3AF76FA9" w14:textId="5ACECCF3" w:rsidR="00CB2C5D" w:rsidRDefault="00CB2C5D" w:rsidP="00CB2C5D">
      <w:pPr>
        <w:pStyle w:val="Heading2"/>
      </w:pPr>
      <w:r>
        <w:t>Provisions and Processes for Risk Assessment</w:t>
      </w:r>
    </w:p>
    <w:p w14:paraId="72317964" w14:textId="77777777" w:rsidR="00872AC4" w:rsidRDefault="00CB2C5D" w:rsidP="00CB2C5D">
      <w:r>
        <w:tab/>
      </w:r>
      <w:r w:rsidR="00A13251">
        <w:t xml:space="preserve">Enterprise environments are fluid and dynamically change every day as thousands of employees make improvements.  Additional churn seeps in through </w:t>
      </w:r>
      <w:r w:rsidR="00A13251">
        <w:t>dependent third-party components and Commercial Off the Shelf (COTS) applications.</w:t>
      </w:r>
      <w:r w:rsidR="00A13251">
        <w:t xml:space="preserve">  NCU-F needs to implement </w:t>
      </w:r>
      <w:r w:rsidR="00A13251">
        <w:lastRenderedPageBreak/>
        <w:t>formal procedures for identifying infrastructural risk at each layer, supported through automation (see Table 2).</w:t>
      </w:r>
    </w:p>
    <w:p w14:paraId="46692FD5" w14:textId="27227B4C" w:rsidR="00A13251" w:rsidRDefault="00A13251" w:rsidP="00872AC4">
      <w:pPr>
        <w:ind w:firstLine="720"/>
      </w:pPr>
      <w:r>
        <w:t>Tool vendors often support industry-standard vulnerability scoring systems, such as the Common Vulnerability Scoring System (CVSS)</w:t>
      </w:r>
      <w:sdt>
        <w:sdtPr>
          <w:id w:val="411664908"/>
          <w:citation/>
        </w:sdtPr>
        <w:sdtContent>
          <w:r>
            <w:fldChar w:fldCharType="begin"/>
          </w:r>
          <w:r>
            <w:instrText xml:space="preserve"> CITATION NIS21 \l 1033 </w:instrText>
          </w:r>
          <w:r>
            <w:fldChar w:fldCharType="separate"/>
          </w:r>
          <w:r>
            <w:rPr>
              <w:noProof/>
            </w:rPr>
            <w:t xml:space="preserve"> (NIST, 2021)</w:t>
          </w:r>
          <w:r>
            <w:fldChar w:fldCharType="end"/>
          </w:r>
        </w:sdtContent>
      </w:sdt>
      <w:r>
        <w:t>.  This scoring model considers several dimensions like exploitability, complexity, and prerequisite steps.  For example, a vulnerability that compromises the domain controller could be a grave concern</w:t>
      </w:r>
      <w:r w:rsidR="00872AC4">
        <w:t xml:space="preserve"> if</w:t>
      </w:r>
      <w:r>
        <w:t xml:space="preserve"> the attacker </w:t>
      </w:r>
      <w:r w:rsidR="00872AC4">
        <w:t>first gains</w:t>
      </w:r>
      <w:r>
        <w:t xml:space="preserve"> access to a secure data center. In that case, the probability does not warrant resources to mitigate the defect.</w:t>
      </w:r>
      <w:r w:rsidR="00495B4D">
        <w:t xml:space="preserve">  However, specific requirements could impact that decision, such as the data center resides in a foreign country.</w:t>
      </w:r>
      <w:r w:rsidR="00A379D6">
        <w:t xml:space="preserve">  Implementation teams should always gain clarity to these situations by consult with the legal, security, and compliance counterparts.</w:t>
      </w:r>
    </w:p>
    <w:p w14:paraId="7001C1C1" w14:textId="144DAEC1" w:rsidR="00A13251" w:rsidRDefault="00A13251" w:rsidP="00A13251">
      <w:pPr>
        <w:pStyle w:val="Caption"/>
      </w:pPr>
      <w:r>
        <w:t>Table 2: Example Assessment Tooling</w:t>
      </w:r>
    </w:p>
    <w:tbl>
      <w:tblPr>
        <w:tblStyle w:val="GridTable4"/>
        <w:tblW w:w="0" w:type="auto"/>
        <w:tblLook w:val="04A0" w:firstRow="1" w:lastRow="0" w:firstColumn="1" w:lastColumn="0" w:noHBand="0" w:noVBand="1"/>
      </w:tblPr>
      <w:tblGrid>
        <w:gridCol w:w="3055"/>
        <w:gridCol w:w="2520"/>
        <w:gridCol w:w="3775"/>
      </w:tblGrid>
      <w:tr w:rsidR="00A13251" w14:paraId="368E609E" w14:textId="77777777" w:rsidTr="0049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034B77D" w14:textId="1DF9464A" w:rsidR="00A13251" w:rsidRDefault="00A13251" w:rsidP="00CB2C5D">
            <w:r>
              <w:t>Infrastructure Component</w:t>
            </w:r>
          </w:p>
        </w:tc>
        <w:tc>
          <w:tcPr>
            <w:tcW w:w="2520" w:type="dxa"/>
          </w:tcPr>
          <w:p w14:paraId="11700444" w14:textId="75446118" w:rsidR="00A13251" w:rsidRDefault="00A13251" w:rsidP="00CB2C5D">
            <w:pPr>
              <w:cnfStyle w:val="100000000000" w:firstRow="1" w:lastRow="0" w:firstColumn="0" w:lastColumn="0" w:oddVBand="0" w:evenVBand="0" w:oddHBand="0" w:evenHBand="0" w:firstRowFirstColumn="0" w:firstRowLastColumn="0" w:lastRowFirstColumn="0" w:lastRowLastColumn="0"/>
            </w:pPr>
            <w:r>
              <w:t>Tooling Requirement</w:t>
            </w:r>
          </w:p>
        </w:tc>
        <w:tc>
          <w:tcPr>
            <w:tcW w:w="3775" w:type="dxa"/>
          </w:tcPr>
          <w:p w14:paraId="11604D9E" w14:textId="2FF39108" w:rsidR="00A13251" w:rsidRDefault="00A13251" w:rsidP="00CB2C5D">
            <w:pPr>
              <w:cnfStyle w:val="100000000000" w:firstRow="1" w:lastRow="0" w:firstColumn="0" w:lastColumn="0" w:oddVBand="0" w:evenVBand="0" w:oddHBand="0" w:evenHBand="0" w:firstRowFirstColumn="0" w:firstRowLastColumn="0" w:lastRowFirstColumn="0" w:lastRowLastColumn="0"/>
            </w:pPr>
            <w:r>
              <w:t>Description</w:t>
            </w:r>
          </w:p>
        </w:tc>
      </w:tr>
      <w:tr w:rsidR="00A13251" w14:paraId="24CA1BA5"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03BFFB" w14:textId="65A9B53C" w:rsidR="00A13251" w:rsidRDefault="00A13251" w:rsidP="00CB2C5D">
            <w:r>
              <w:t>Network</w:t>
            </w:r>
          </w:p>
        </w:tc>
        <w:tc>
          <w:tcPr>
            <w:tcW w:w="2520" w:type="dxa"/>
          </w:tcPr>
          <w:p w14:paraId="48E8D321" w14:textId="626FC635" w:rsidR="00A13251" w:rsidRDefault="00A13251" w:rsidP="00CB2C5D">
            <w:pPr>
              <w:cnfStyle w:val="000000100000" w:firstRow="0" w:lastRow="0" w:firstColumn="0" w:lastColumn="0" w:oddVBand="0" w:evenVBand="0" w:oddHBand="1" w:evenHBand="0" w:firstRowFirstColumn="0" w:firstRowLastColumn="0" w:lastRowFirstColumn="0" w:lastRowLastColumn="0"/>
            </w:pPr>
            <w:r>
              <w:t>IDS/IPS</w:t>
            </w:r>
          </w:p>
        </w:tc>
        <w:tc>
          <w:tcPr>
            <w:tcW w:w="3775" w:type="dxa"/>
          </w:tcPr>
          <w:p w14:paraId="26F875C0" w14:textId="56C43C03" w:rsidR="00A13251" w:rsidRDefault="00A13251" w:rsidP="00CB2C5D">
            <w:pPr>
              <w:cnfStyle w:val="000000100000" w:firstRow="0" w:lastRow="0" w:firstColumn="0" w:lastColumn="0" w:oddVBand="0" w:evenVBand="0" w:oddHBand="1" w:evenHBand="0" w:firstRowFirstColumn="0" w:firstRowLastColumn="0" w:lastRowFirstColumn="0" w:lastRowLastColumn="0"/>
            </w:pPr>
            <w:r>
              <w:t>Packet monitoring</w:t>
            </w:r>
          </w:p>
        </w:tc>
      </w:tr>
      <w:tr w:rsidR="00A13251" w14:paraId="6FB3936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430032C6" w14:textId="42234398" w:rsidR="00A13251" w:rsidRDefault="00A13251" w:rsidP="00CB2C5D">
            <w:r>
              <w:t>Network</w:t>
            </w:r>
          </w:p>
        </w:tc>
        <w:tc>
          <w:tcPr>
            <w:tcW w:w="2520" w:type="dxa"/>
          </w:tcPr>
          <w:p w14:paraId="79A8B409" w14:textId="668AEB67" w:rsidR="00A13251" w:rsidRDefault="00A13251" w:rsidP="00CB2C5D">
            <w:pPr>
              <w:cnfStyle w:val="000000000000" w:firstRow="0" w:lastRow="0" w:firstColumn="0" w:lastColumn="0" w:oddVBand="0" w:evenVBand="0" w:oddHBand="0" w:evenHBand="0" w:firstRowFirstColumn="0" w:firstRowLastColumn="0" w:lastRowFirstColumn="0" w:lastRowLastColumn="0"/>
            </w:pPr>
            <w:r>
              <w:t>Firewalls / QoS</w:t>
            </w:r>
          </w:p>
        </w:tc>
        <w:tc>
          <w:tcPr>
            <w:tcW w:w="3775" w:type="dxa"/>
          </w:tcPr>
          <w:p w14:paraId="580FC2DE" w14:textId="0FF85622" w:rsidR="00A13251" w:rsidRDefault="00A13251" w:rsidP="00CB2C5D">
            <w:pPr>
              <w:cnfStyle w:val="000000000000" w:firstRow="0" w:lastRow="0" w:firstColumn="0" w:lastColumn="0" w:oddVBand="0" w:evenVBand="0" w:oddHBand="0" w:evenHBand="0" w:firstRowFirstColumn="0" w:firstRowLastColumn="0" w:lastRowFirstColumn="0" w:lastRowLastColumn="0"/>
            </w:pPr>
            <w:r>
              <w:t>Traffic shaping</w:t>
            </w:r>
          </w:p>
        </w:tc>
      </w:tr>
      <w:tr w:rsidR="00A13251" w14:paraId="26769546"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DB5B5B" w14:textId="23C5CF94" w:rsidR="00A13251" w:rsidRDefault="00A13251" w:rsidP="00CB2C5D">
            <w:r>
              <w:t>Operating System</w:t>
            </w:r>
          </w:p>
        </w:tc>
        <w:tc>
          <w:tcPr>
            <w:tcW w:w="2520" w:type="dxa"/>
          </w:tcPr>
          <w:p w14:paraId="2C4CA97F" w14:textId="3C0D8A5A" w:rsidR="00A13251" w:rsidRDefault="00A13251" w:rsidP="00CB2C5D">
            <w:pPr>
              <w:cnfStyle w:val="000000100000" w:firstRow="0" w:lastRow="0" w:firstColumn="0" w:lastColumn="0" w:oddVBand="0" w:evenVBand="0" w:oddHBand="1" w:evenHBand="0" w:firstRowFirstColumn="0" w:firstRowLastColumn="0" w:lastRowFirstColumn="0" w:lastRowLastColumn="0"/>
            </w:pPr>
            <w:r>
              <w:t>Antivirus</w:t>
            </w:r>
          </w:p>
        </w:tc>
        <w:tc>
          <w:tcPr>
            <w:tcW w:w="3775" w:type="dxa"/>
          </w:tcPr>
          <w:p w14:paraId="140F3525" w14:textId="10A305D6" w:rsidR="00A13251" w:rsidRDefault="00A13251" w:rsidP="00CB2C5D">
            <w:pPr>
              <w:cnfStyle w:val="000000100000" w:firstRow="0" w:lastRow="0" w:firstColumn="0" w:lastColumn="0" w:oddVBand="0" w:evenVBand="0" w:oddHBand="1" w:evenHBand="0" w:firstRowFirstColumn="0" w:firstRowLastColumn="0" w:lastRowFirstColumn="0" w:lastRowLastColumn="0"/>
            </w:pPr>
            <w:r>
              <w:t>Malicious software removal</w:t>
            </w:r>
          </w:p>
        </w:tc>
      </w:tr>
      <w:tr w:rsidR="00A13251" w14:paraId="3B132D89"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B778CC1" w14:textId="29106449" w:rsidR="00A13251" w:rsidRDefault="00A13251" w:rsidP="00CB2C5D">
            <w:r>
              <w:t>Operating System</w:t>
            </w:r>
          </w:p>
        </w:tc>
        <w:tc>
          <w:tcPr>
            <w:tcW w:w="2520" w:type="dxa"/>
          </w:tcPr>
          <w:p w14:paraId="345FD069" w14:textId="56535DEB" w:rsidR="00A13251" w:rsidRDefault="00A13251" w:rsidP="00CB2C5D">
            <w:pPr>
              <w:cnfStyle w:val="000000000000" w:firstRow="0" w:lastRow="0" w:firstColumn="0" w:lastColumn="0" w:oddVBand="0" w:evenVBand="0" w:oddHBand="0" w:evenHBand="0" w:firstRowFirstColumn="0" w:firstRowLastColumn="0" w:lastRowFirstColumn="0" w:lastRowLastColumn="0"/>
            </w:pPr>
            <w:r>
              <w:t>Patch Management</w:t>
            </w:r>
          </w:p>
        </w:tc>
        <w:tc>
          <w:tcPr>
            <w:tcW w:w="3775" w:type="dxa"/>
          </w:tcPr>
          <w:p w14:paraId="5ACB0F34" w14:textId="31A0C003" w:rsidR="00A13251" w:rsidRDefault="00A13251" w:rsidP="00CB2C5D">
            <w:pPr>
              <w:cnfStyle w:val="000000000000" w:firstRow="0" w:lastRow="0" w:firstColumn="0" w:lastColumn="0" w:oddVBand="0" w:evenVBand="0" w:oddHBand="0" w:evenHBand="0" w:firstRowFirstColumn="0" w:firstRowLastColumn="0" w:lastRowFirstColumn="0" w:lastRowLastColumn="0"/>
            </w:pPr>
            <w:r>
              <w:t>Keeps software updated</w:t>
            </w:r>
          </w:p>
        </w:tc>
      </w:tr>
      <w:tr w:rsidR="00A13251" w14:paraId="16975D51"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2C700C" w14:textId="39B44A7D" w:rsidR="00A13251" w:rsidRDefault="00A13251" w:rsidP="00CB2C5D">
            <w:r>
              <w:t>Operating System</w:t>
            </w:r>
          </w:p>
        </w:tc>
        <w:tc>
          <w:tcPr>
            <w:tcW w:w="2520" w:type="dxa"/>
          </w:tcPr>
          <w:p w14:paraId="54D3462A" w14:textId="54CAB54D" w:rsidR="00A13251" w:rsidRDefault="00A13251" w:rsidP="00CB2C5D">
            <w:pPr>
              <w:cnfStyle w:val="000000100000" w:firstRow="0" w:lastRow="0" w:firstColumn="0" w:lastColumn="0" w:oddVBand="0" w:evenVBand="0" w:oddHBand="1" w:evenHBand="0" w:firstRowFirstColumn="0" w:firstRowLastColumn="0" w:lastRowFirstColumn="0" w:lastRowLastColumn="0"/>
            </w:pPr>
            <w:r>
              <w:t>Systems Management</w:t>
            </w:r>
          </w:p>
        </w:tc>
        <w:tc>
          <w:tcPr>
            <w:tcW w:w="3775" w:type="dxa"/>
          </w:tcPr>
          <w:p w14:paraId="48378FE0" w14:textId="6607BE47" w:rsidR="00A13251" w:rsidRDefault="00A13251" w:rsidP="00CB2C5D">
            <w:pPr>
              <w:cnfStyle w:val="000000100000" w:firstRow="0" w:lastRow="0" w:firstColumn="0" w:lastColumn="0" w:oddVBand="0" w:evenVBand="0" w:oddHBand="1" w:evenHBand="0" w:firstRowFirstColumn="0" w:firstRowLastColumn="0" w:lastRowFirstColumn="0" w:lastRowLastColumn="0"/>
            </w:pPr>
            <w:r>
              <w:t>Enforces Group Policies</w:t>
            </w:r>
          </w:p>
        </w:tc>
      </w:tr>
      <w:tr w:rsidR="00A13251" w14:paraId="62822DF6"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2944C43" w14:textId="0972E75A" w:rsidR="00A13251" w:rsidRDefault="00A13251" w:rsidP="00CB2C5D">
            <w:r>
              <w:t>Operating System</w:t>
            </w:r>
          </w:p>
        </w:tc>
        <w:tc>
          <w:tcPr>
            <w:tcW w:w="2520" w:type="dxa"/>
          </w:tcPr>
          <w:p w14:paraId="6E3E83A0" w14:textId="50981281" w:rsidR="00A13251" w:rsidRDefault="00A13251" w:rsidP="00CB2C5D">
            <w:pPr>
              <w:cnfStyle w:val="000000000000" w:firstRow="0" w:lastRow="0" w:firstColumn="0" w:lastColumn="0" w:oddVBand="0" w:evenVBand="0" w:oddHBand="0" w:evenHBand="0" w:firstRowFirstColumn="0" w:firstRowLastColumn="0" w:lastRowFirstColumn="0" w:lastRowLastColumn="0"/>
            </w:pPr>
            <w:r>
              <w:t>Trusted Platform Modules</w:t>
            </w:r>
          </w:p>
        </w:tc>
        <w:tc>
          <w:tcPr>
            <w:tcW w:w="3775" w:type="dxa"/>
          </w:tcPr>
          <w:p w14:paraId="6F4C706E" w14:textId="5E4DCC1B" w:rsidR="00A13251" w:rsidRDefault="00A13251" w:rsidP="00CB2C5D">
            <w:pPr>
              <w:cnfStyle w:val="000000000000" w:firstRow="0" w:lastRow="0" w:firstColumn="0" w:lastColumn="0" w:oddVBand="0" w:evenVBand="0" w:oddHBand="0" w:evenHBand="0" w:firstRowFirstColumn="0" w:firstRowLastColumn="0" w:lastRowFirstColumn="0" w:lastRowLastColumn="0"/>
            </w:pPr>
            <w:r>
              <w:t>Enforces boot loader and kernel security</w:t>
            </w:r>
          </w:p>
        </w:tc>
      </w:tr>
      <w:tr w:rsidR="00A13251" w14:paraId="37EC858A"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AD86102" w14:textId="5E1F17B1" w:rsidR="00A13251" w:rsidRDefault="00A13251" w:rsidP="00CB2C5D">
            <w:r>
              <w:t>Data</w:t>
            </w:r>
          </w:p>
        </w:tc>
        <w:tc>
          <w:tcPr>
            <w:tcW w:w="2520" w:type="dxa"/>
          </w:tcPr>
          <w:p w14:paraId="1A0E69DD" w14:textId="49C61FB5" w:rsidR="00A13251" w:rsidRDefault="00A13251" w:rsidP="00CB2C5D">
            <w:pPr>
              <w:cnfStyle w:val="000000100000" w:firstRow="0" w:lastRow="0" w:firstColumn="0" w:lastColumn="0" w:oddVBand="0" w:evenVBand="0" w:oddHBand="1" w:evenHBand="0" w:firstRowFirstColumn="0" w:firstRowLastColumn="0" w:lastRowFirstColumn="0" w:lastRowLastColumn="0"/>
            </w:pPr>
            <w:r>
              <w:t>Disk Encryption</w:t>
            </w:r>
          </w:p>
        </w:tc>
        <w:tc>
          <w:tcPr>
            <w:tcW w:w="3775" w:type="dxa"/>
          </w:tcPr>
          <w:p w14:paraId="35FFF87C" w14:textId="332B398E" w:rsidR="00A13251" w:rsidRDefault="00A13251" w:rsidP="00CB2C5D">
            <w:pPr>
              <w:cnfStyle w:val="000000100000" w:firstRow="0" w:lastRow="0" w:firstColumn="0" w:lastColumn="0" w:oddVBand="0" w:evenVBand="0" w:oddHBand="1" w:evenHBand="0" w:firstRowFirstColumn="0" w:firstRowLastColumn="0" w:lastRowFirstColumn="0" w:lastRowLastColumn="0"/>
            </w:pPr>
            <w:r>
              <w:t>Maintains hardware integrity</w:t>
            </w:r>
          </w:p>
        </w:tc>
      </w:tr>
      <w:tr w:rsidR="00A13251" w14:paraId="2DFF56F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EA75541" w14:textId="377C0199" w:rsidR="00A13251" w:rsidRDefault="00A13251" w:rsidP="00CB2C5D">
            <w:r>
              <w:t>Data</w:t>
            </w:r>
          </w:p>
        </w:tc>
        <w:tc>
          <w:tcPr>
            <w:tcW w:w="2520" w:type="dxa"/>
          </w:tcPr>
          <w:p w14:paraId="747EA4F5" w14:textId="1CA608F6" w:rsidR="00A13251" w:rsidRDefault="00A13251" w:rsidP="00CB2C5D">
            <w:pPr>
              <w:cnfStyle w:val="000000000000" w:firstRow="0" w:lastRow="0" w:firstColumn="0" w:lastColumn="0" w:oddVBand="0" w:evenVBand="0" w:oddHBand="0" w:evenHBand="0" w:firstRowFirstColumn="0" w:firstRowLastColumn="0" w:lastRowFirstColumn="0" w:lastRowLastColumn="0"/>
            </w:pPr>
            <w:r>
              <w:t>Public Key Infrastructure</w:t>
            </w:r>
          </w:p>
        </w:tc>
        <w:tc>
          <w:tcPr>
            <w:tcW w:w="3775" w:type="dxa"/>
          </w:tcPr>
          <w:p w14:paraId="398B3F12" w14:textId="4D47F5A0" w:rsidR="00A13251" w:rsidRDefault="00A13251" w:rsidP="00CB2C5D">
            <w:pPr>
              <w:cnfStyle w:val="000000000000" w:firstRow="0" w:lastRow="0" w:firstColumn="0" w:lastColumn="0" w:oddVBand="0" w:evenVBand="0" w:oddHBand="0" w:evenHBand="0" w:firstRowFirstColumn="0" w:firstRowLastColumn="0" w:lastRowFirstColumn="0" w:lastRowLastColumn="0"/>
            </w:pPr>
            <w:r>
              <w:t>Cryptographic capabilities for data in rest and in-transit</w:t>
            </w:r>
          </w:p>
        </w:tc>
      </w:tr>
      <w:tr w:rsidR="00A13251" w14:paraId="1D28FB7D"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5F05167" w14:textId="5B730DB8" w:rsidR="00A13251" w:rsidRDefault="00A13251" w:rsidP="00CB2C5D">
            <w:r>
              <w:t>Software</w:t>
            </w:r>
          </w:p>
        </w:tc>
        <w:tc>
          <w:tcPr>
            <w:tcW w:w="2520" w:type="dxa"/>
          </w:tcPr>
          <w:p w14:paraId="5F6FAD7D" w14:textId="09CA6008" w:rsidR="00A13251" w:rsidRDefault="00A13251" w:rsidP="00CB2C5D">
            <w:pPr>
              <w:cnfStyle w:val="000000100000" w:firstRow="0" w:lastRow="0" w:firstColumn="0" w:lastColumn="0" w:oddVBand="0" w:evenVBand="0" w:oddHBand="1" w:evenHBand="0" w:firstRowFirstColumn="0" w:firstRowLastColumn="0" w:lastRowFirstColumn="0" w:lastRowLastColumn="0"/>
            </w:pPr>
            <w:r>
              <w:t>Vulnerability Scanner</w:t>
            </w:r>
          </w:p>
        </w:tc>
        <w:tc>
          <w:tcPr>
            <w:tcW w:w="3775" w:type="dxa"/>
          </w:tcPr>
          <w:p w14:paraId="5A5F82C7" w14:textId="43952F71" w:rsidR="00A13251" w:rsidRDefault="00A13251" w:rsidP="00CB2C5D">
            <w:pPr>
              <w:cnfStyle w:val="000000100000" w:firstRow="0" w:lastRow="0" w:firstColumn="0" w:lastColumn="0" w:oddVBand="0" w:evenVBand="0" w:oddHBand="1" w:evenHBand="0" w:firstRowFirstColumn="0" w:firstRowLastColumn="0" w:lastRowFirstColumn="0" w:lastRowLastColumn="0"/>
            </w:pPr>
            <w:r>
              <w:t>Detects known issues in applications</w:t>
            </w:r>
          </w:p>
        </w:tc>
      </w:tr>
      <w:tr w:rsidR="00A13251" w14:paraId="4505287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309E634" w14:textId="376A4844" w:rsidR="00A13251" w:rsidRDefault="00A13251" w:rsidP="00CB2C5D">
            <w:r>
              <w:t>Software</w:t>
            </w:r>
          </w:p>
        </w:tc>
        <w:tc>
          <w:tcPr>
            <w:tcW w:w="2520" w:type="dxa"/>
          </w:tcPr>
          <w:p w14:paraId="0DD14611" w14:textId="28C0FAE7" w:rsidR="00A13251" w:rsidRDefault="00A13251" w:rsidP="00CB2C5D">
            <w:pPr>
              <w:cnfStyle w:val="000000000000" w:firstRow="0" w:lastRow="0" w:firstColumn="0" w:lastColumn="0" w:oddVBand="0" w:evenVBand="0" w:oddHBand="0" w:evenHBand="0" w:firstRowFirstColumn="0" w:firstRowLastColumn="0" w:lastRowFirstColumn="0" w:lastRowLastColumn="0"/>
            </w:pPr>
            <w:r>
              <w:t>Change Management</w:t>
            </w:r>
          </w:p>
        </w:tc>
        <w:tc>
          <w:tcPr>
            <w:tcW w:w="3775" w:type="dxa"/>
          </w:tcPr>
          <w:p w14:paraId="3079A03E" w14:textId="416BCF9B" w:rsidR="00A13251" w:rsidRDefault="00A13251" w:rsidP="00CB2C5D">
            <w:pPr>
              <w:cnfStyle w:val="000000000000" w:firstRow="0" w:lastRow="0" w:firstColumn="0" w:lastColumn="0" w:oddVBand="0" w:evenVBand="0" w:oddHBand="0" w:evenHBand="0" w:firstRowFirstColumn="0" w:firstRowLastColumn="0" w:lastRowFirstColumn="0" w:lastRowLastColumn="0"/>
            </w:pPr>
            <w:r>
              <w:t>Tools for versioning modifications</w:t>
            </w:r>
          </w:p>
        </w:tc>
      </w:tr>
      <w:tr w:rsidR="00A13251" w14:paraId="490B1820"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120335D" w14:textId="03BA78FC" w:rsidR="00A13251" w:rsidRDefault="00A13251" w:rsidP="00CB2C5D">
            <w:r>
              <w:t>Transportation</w:t>
            </w:r>
          </w:p>
        </w:tc>
        <w:tc>
          <w:tcPr>
            <w:tcW w:w="2520" w:type="dxa"/>
          </w:tcPr>
          <w:p w14:paraId="3B5F344E" w14:textId="1E9BE9D7" w:rsidR="00A13251" w:rsidRDefault="00A13251" w:rsidP="00CB2C5D">
            <w:pPr>
              <w:cnfStyle w:val="000000100000" w:firstRow="0" w:lastRow="0" w:firstColumn="0" w:lastColumn="0" w:oddVBand="0" w:evenVBand="0" w:oddHBand="1" w:evenHBand="0" w:firstRowFirstColumn="0" w:firstRowLastColumn="0" w:lastRowFirstColumn="0" w:lastRowLastColumn="0"/>
            </w:pPr>
            <w:r>
              <w:t>Web Application Firewalls</w:t>
            </w:r>
          </w:p>
        </w:tc>
        <w:tc>
          <w:tcPr>
            <w:tcW w:w="3775" w:type="dxa"/>
          </w:tcPr>
          <w:p w14:paraId="4E6663AF" w14:textId="68156FF5" w:rsidR="00A13251" w:rsidRDefault="00A13251" w:rsidP="00CB2C5D">
            <w:pPr>
              <w:cnfStyle w:val="000000100000" w:firstRow="0" w:lastRow="0" w:firstColumn="0" w:lastColumn="0" w:oddVBand="0" w:evenVBand="0" w:oddHBand="1" w:evenHBand="0" w:firstRowFirstColumn="0" w:firstRowLastColumn="0" w:lastRowFirstColumn="0" w:lastRowLastColumn="0"/>
            </w:pPr>
            <w:r>
              <w:t>Layer-7 monitoring for SQL-</w:t>
            </w:r>
            <w:proofErr w:type="spellStart"/>
            <w:r>
              <w:t>i</w:t>
            </w:r>
            <w:proofErr w:type="spellEnd"/>
            <w:r>
              <w:t xml:space="preserve"> and XSS attacks</w:t>
            </w:r>
          </w:p>
        </w:tc>
      </w:tr>
      <w:tr w:rsidR="00A13251" w14:paraId="65E0563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3B52A112" w14:textId="5A137B2C" w:rsidR="00A13251" w:rsidRDefault="00A13251" w:rsidP="00CB2C5D">
            <w:r>
              <w:t>Employees</w:t>
            </w:r>
          </w:p>
        </w:tc>
        <w:tc>
          <w:tcPr>
            <w:tcW w:w="2520" w:type="dxa"/>
          </w:tcPr>
          <w:p w14:paraId="6BF9F140" w14:textId="4D2A83ED" w:rsidR="00A13251" w:rsidRDefault="00A13251" w:rsidP="00CB2C5D">
            <w:pPr>
              <w:cnfStyle w:val="000000000000" w:firstRow="0" w:lastRow="0" w:firstColumn="0" w:lastColumn="0" w:oddVBand="0" w:evenVBand="0" w:oddHBand="0" w:evenHBand="0" w:firstRowFirstColumn="0" w:firstRowLastColumn="0" w:lastRowFirstColumn="0" w:lastRowLastColumn="0"/>
            </w:pPr>
            <w:r>
              <w:t>Training</w:t>
            </w:r>
          </w:p>
        </w:tc>
        <w:tc>
          <w:tcPr>
            <w:tcW w:w="3775" w:type="dxa"/>
          </w:tcPr>
          <w:p w14:paraId="6EA9098D" w14:textId="0214AC22" w:rsidR="00A13251" w:rsidRDefault="00A13251" w:rsidP="00CB2C5D">
            <w:pPr>
              <w:cnfStyle w:val="000000000000" w:firstRow="0" w:lastRow="0" w:firstColumn="0" w:lastColumn="0" w:oddVBand="0" w:evenVBand="0" w:oddHBand="0" w:evenHBand="0" w:firstRowFirstColumn="0" w:firstRowLastColumn="0" w:lastRowFirstColumn="0" w:lastRowLastColumn="0"/>
            </w:pPr>
            <w:r>
              <w:t>Continuously raising the bar</w:t>
            </w:r>
          </w:p>
        </w:tc>
      </w:tr>
      <w:tr w:rsidR="00A13251" w14:paraId="50383067"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9BE1EA1" w14:textId="29AE0068" w:rsidR="00A13251" w:rsidRDefault="00A13251" w:rsidP="00CB2C5D">
            <w:r>
              <w:t>Employees</w:t>
            </w:r>
          </w:p>
        </w:tc>
        <w:tc>
          <w:tcPr>
            <w:tcW w:w="2520" w:type="dxa"/>
          </w:tcPr>
          <w:p w14:paraId="3DA9FD66" w14:textId="2B1AA2A5" w:rsidR="00A13251" w:rsidRDefault="00A13251" w:rsidP="00CB2C5D">
            <w:pPr>
              <w:cnfStyle w:val="000000100000" w:firstRow="0" w:lastRow="0" w:firstColumn="0" w:lastColumn="0" w:oddVBand="0" w:evenVBand="0" w:oddHBand="1" w:evenHBand="0" w:firstRowFirstColumn="0" w:firstRowLastColumn="0" w:lastRowFirstColumn="0" w:lastRowLastColumn="0"/>
            </w:pPr>
            <w:r>
              <w:t>Anti-Phishing Tools</w:t>
            </w:r>
          </w:p>
        </w:tc>
        <w:tc>
          <w:tcPr>
            <w:tcW w:w="3775" w:type="dxa"/>
          </w:tcPr>
          <w:p w14:paraId="3D6B1602" w14:textId="178C4014" w:rsidR="00A13251" w:rsidRDefault="00A13251" w:rsidP="00CB2C5D">
            <w:pPr>
              <w:cnfStyle w:val="000000100000" w:firstRow="0" w:lastRow="0" w:firstColumn="0" w:lastColumn="0" w:oddVBand="0" w:evenVBand="0" w:oddHBand="1" w:evenHBand="0" w:firstRowFirstColumn="0" w:firstRowLastColumn="0" w:lastRowFirstColumn="0" w:lastRowLastColumn="0"/>
            </w:pPr>
            <w:r>
              <w:t>Processes to filter or highlight potential email risks</w:t>
            </w:r>
          </w:p>
        </w:tc>
      </w:tr>
      <w:tr w:rsidR="00495B4D" w14:paraId="36AA8280"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2A386C14" w14:textId="2D4E9AC4" w:rsidR="00495B4D" w:rsidRDefault="00495B4D" w:rsidP="00CB2C5D">
            <w:r>
              <w:t>Employees</w:t>
            </w:r>
          </w:p>
        </w:tc>
        <w:tc>
          <w:tcPr>
            <w:tcW w:w="2520" w:type="dxa"/>
          </w:tcPr>
          <w:p w14:paraId="5197019F" w14:textId="6565FF71" w:rsidR="00495B4D" w:rsidRDefault="00495B4D" w:rsidP="00CB2C5D">
            <w:pPr>
              <w:cnfStyle w:val="000000000000" w:firstRow="0" w:lastRow="0" w:firstColumn="0" w:lastColumn="0" w:oddVBand="0" w:evenVBand="0" w:oddHBand="0" w:evenHBand="0" w:firstRowFirstColumn="0" w:firstRowLastColumn="0" w:lastRowFirstColumn="0" w:lastRowLastColumn="0"/>
            </w:pPr>
            <w:r>
              <w:t>Work Health Indexes</w:t>
            </w:r>
          </w:p>
        </w:tc>
        <w:tc>
          <w:tcPr>
            <w:tcW w:w="3775" w:type="dxa"/>
          </w:tcPr>
          <w:p w14:paraId="2926201B" w14:textId="67CE435B" w:rsidR="00495B4D" w:rsidRDefault="00495B4D" w:rsidP="00CB2C5D">
            <w:pPr>
              <w:cnfStyle w:val="000000000000" w:firstRow="0" w:lastRow="0" w:firstColumn="0" w:lastColumn="0" w:oddVBand="0" w:evenVBand="0" w:oddHBand="0" w:evenHBand="0" w:firstRowFirstColumn="0" w:firstRowLastColumn="0" w:lastRowFirstColumn="0" w:lastRowLastColumn="0"/>
            </w:pPr>
            <w:r>
              <w:t>Keeping a pulse on morale can surface overworked and dissatisfied staff</w:t>
            </w:r>
          </w:p>
        </w:tc>
      </w:tr>
      <w:tr w:rsidR="00A379D6" w14:paraId="58F459CC"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428EEB6" w14:textId="1FC04FCD" w:rsidR="00A379D6" w:rsidRDefault="00A379D6" w:rsidP="00CB2C5D">
            <w:r>
              <w:t>Databases</w:t>
            </w:r>
          </w:p>
        </w:tc>
        <w:tc>
          <w:tcPr>
            <w:tcW w:w="2520" w:type="dxa"/>
          </w:tcPr>
          <w:p w14:paraId="415A9176" w14:textId="6DB91C76" w:rsidR="00A379D6" w:rsidRDefault="00A379D6" w:rsidP="00CB2C5D">
            <w:pPr>
              <w:cnfStyle w:val="000000100000" w:firstRow="0" w:lastRow="0" w:firstColumn="0" w:lastColumn="0" w:oddVBand="0" w:evenVBand="0" w:oddHBand="1" w:evenHBand="0" w:firstRowFirstColumn="0" w:firstRowLastColumn="0" w:lastRowFirstColumn="0" w:lastRowLastColumn="0"/>
            </w:pPr>
            <w:r>
              <w:t>Backup Management</w:t>
            </w:r>
          </w:p>
        </w:tc>
        <w:tc>
          <w:tcPr>
            <w:tcW w:w="3775" w:type="dxa"/>
          </w:tcPr>
          <w:p w14:paraId="4A8B316F" w14:textId="42A884B9" w:rsidR="00A379D6" w:rsidRDefault="00A379D6" w:rsidP="00CB2C5D">
            <w:pPr>
              <w:cnfStyle w:val="000000100000" w:firstRow="0" w:lastRow="0" w:firstColumn="0" w:lastColumn="0" w:oddVBand="0" w:evenVBand="0" w:oddHBand="1" w:evenHBand="0" w:firstRowFirstColumn="0" w:firstRowLastColumn="0" w:lastRowFirstColumn="0" w:lastRowLastColumn="0"/>
            </w:pPr>
            <w:r>
              <w:t>Point-in-time recovery solutions</w:t>
            </w:r>
          </w:p>
        </w:tc>
      </w:tr>
    </w:tbl>
    <w:p w14:paraId="3BA39A8C" w14:textId="77777777" w:rsidR="00A379D6" w:rsidRDefault="00A379D6" w:rsidP="00A379D6">
      <w:pPr>
        <w:pStyle w:val="Heading1"/>
        <w:jc w:val="left"/>
      </w:pPr>
    </w:p>
    <w:p w14:paraId="1BFAE7C3" w14:textId="55F88F70" w:rsidR="00CB2C5D" w:rsidRDefault="00A379D6" w:rsidP="00A379D6">
      <w:pPr>
        <w:pStyle w:val="Heading1"/>
      </w:pPr>
      <w:r>
        <w:lastRenderedPageBreak/>
        <w:t>Mitigating Vulnerabilities</w:t>
      </w:r>
    </w:p>
    <w:p w14:paraId="0491E02A" w14:textId="0E6CC50E" w:rsidR="00A379D6" w:rsidRDefault="00A379D6" w:rsidP="00A379D6">
      <w:r>
        <w:tab/>
        <w:t>There are numerous threats to the organization’s plans to modernize its communication strategy and standardize operating procedures.  The business must create a prioritized list and establish policies, standards, and controls.</w:t>
      </w:r>
    </w:p>
    <w:p w14:paraId="7DD0558A" w14:textId="47E899D4" w:rsidR="00A379D6" w:rsidRDefault="00A379D6" w:rsidP="00A379D6">
      <w:pPr>
        <w:pStyle w:val="Heading2"/>
      </w:pPr>
      <w:r>
        <w:t>Political Mitigation</w:t>
      </w:r>
      <w:r w:rsidR="00F728B8">
        <w:t>s</w:t>
      </w:r>
    </w:p>
    <w:p w14:paraId="21DBB459" w14:textId="4694C19D" w:rsidR="00A379D6" w:rsidRDefault="00A379D6" w:rsidP="00A379D6">
      <w:r>
        <w:tab/>
        <w:t xml:space="preserve">Political confrontation (e.g., land grabs) results from misalignment between customer outcomes and internal rewards.  </w:t>
      </w:r>
      <w:proofErr w:type="spellStart"/>
      <w:r>
        <w:t>Bryanr</w:t>
      </w:r>
      <w:proofErr w:type="spellEnd"/>
      <w:r>
        <w:t xml:space="preserve"> and </w:t>
      </w:r>
      <w:proofErr w:type="spellStart"/>
      <w:r>
        <w:t>Carr</w:t>
      </w:r>
      <w:proofErr w:type="spellEnd"/>
      <w:r>
        <w:t xml:space="preserve"> (2021) describe Amazon’s framework for forcing this alignment through its compensation model.  Essentially, an employee’s base salary maxes out at $175,000.  Beyond this amount, additional rewards come from company stock that vests over two to four years.  Leaders merely accepting more ownership does not change their stock grants.  Employees can only receive more company shares through customer results that demonstrate next-level leadership.</w:t>
      </w:r>
    </w:p>
    <w:p w14:paraId="53D47E2C" w14:textId="5FF7BDD2" w:rsidR="00A379D6" w:rsidRDefault="00A379D6" w:rsidP="00A379D6">
      <w:r>
        <w:tab/>
        <w:t xml:space="preserve">While significant benefits come from ensuring that leaders focus on long-term success, changing employee contracts can be challenging.  In the </w:t>
      </w:r>
      <w:proofErr w:type="spellStart"/>
      <w:r>
        <w:t>interm</w:t>
      </w:r>
      <w:proofErr w:type="spellEnd"/>
      <w:r>
        <w:t xml:space="preserve"> senior leaders can define span and control thresholds, which the IT department implements.  For instance, a manager should have no more than ten direct reports.  Reporting systems can surface any violations and involve executive steering committees to make appropriate alterations.</w:t>
      </w:r>
    </w:p>
    <w:p w14:paraId="3E3A18F3" w14:textId="4F318ED0" w:rsidR="00FD7D1C" w:rsidRDefault="00FD7D1C" w:rsidP="00A379D6">
      <w:r>
        <w:tab/>
        <w:t>Additionally, the business needs forums for communicating corporate decisions and debating the impact.  Today, staff use external resources like Team Blind because their employers do promote these discussions.  However, as the business moves toward more collaboration, it will naturally follow with more contention.  Since these conversations will happen, either way, it is in NCU-F’s best interest to host a secure platform where internal secrets leak into the public internet.</w:t>
      </w:r>
    </w:p>
    <w:p w14:paraId="6748B0FF" w14:textId="416232EB" w:rsidR="00A379D6" w:rsidRDefault="00A379D6" w:rsidP="00A379D6">
      <w:pPr>
        <w:pStyle w:val="Heading2"/>
      </w:pPr>
      <w:r>
        <w:lastRenderedPageBreak/>
        <w:t>Operational Migration</w:t>
      </w:r>
      <w:r w:rsidR="00F728B8">
        <w:t>s</w:t>
      </w:r>
    </w:p>
    <w:p w14:paraId="54C009FF" w14:textId="77777777" w:rsidR="00ED19B4" w:rsidRDefault="00A379D6" w:rsidP="00A379D6">
      <w:r>
        <w:tab/>
      </w:r>
      <w:r w:rsidR="00ED19B4">
        <w:t xml:space="preserve">The most critical risks come from important details becoming lost, such as device and network configurations and issue routing.  NCU-F can mitigate these concerns through people, processes, and products. </w:t>
      </w:r>
    </w:p>
    <w:p w14:paraId="0E7DC18B" w14:textId="667DE249" w:rsidR="00ED19B4" w:rsidRDefault="00ED19B4" w:rsidP="007A42DF">
      <w:pPr>
        <w:ind w:firstLine="720"/>
      </w:pPr>
      <w:r>
        <w:t xml:space="preserve">First, any centralized DevOps team should contain people that worked in team-specific </w:t>
      </w:r>
      <w:proofErr w:type="spellStart"/>
      <w:r>
        <w:t>operatins</w:t>
      </w:r>
      <w:proofErr w:type="spellEnd"/>
      <w:r>
        <w:t xml:space="preserve"> teams.  These existing members have experiences and diverse perspectives that can improve the DevOps organization.</w:t>
      </w:r>
    </w:p>
    <w:p w14:paraId="08760B59" w14:textId="5C36D0D6" w:rsidR="00ED19B4" w:rsidRDefault="00ED19B4" w:rsidP="007A42DF">
      <w:pPr>
        <w:ind w:firstLine="720"/>
      </w:pPr>
      <w:r>
        <w:t xml:space="preserve">Second, existing processes must integrate into new systems where possible.  Previously, policies required networking teams to use </w:t>
      </w:r>
      <w:r w:rsidRPr="007A42DF">
        <w:rPr>
          <w:rFonts w:ascii="Courier New" w:hAnsi="Courier New" w:cs="Courier New"/>
          <w:sz w:val="20"/>
          <w:szCs w:val="20"/>
        </w:rPr>
        <w:t>networking-{team}@ncu.f</w:t>
      </w:r>
      <w:r>
        <w:t xml:space="preserve"> alias conventions. After converging the network support teams, these old email addresses should become forwards. Finally, automated replies should update the sender with the revised policy.  </w:t>
      </w:r>
    </w:p>
    <w:p w14:paraId="1C65008C" w14:textId="15456383" w:rsidR="00ED19B4" w:rsidRDefault="00ED19B4" w:rsidP="007A42DF">
      <w:pPr>
        <w:ind w:firstLine="720"/>
      </w:pPr>
      <w:r>
        <w:t>Third, the company must aggressively move resource metadata into the central repository.  This store gives a consistent organizational view into its artifacts and other assets.</w:t>
      </w:r>
    </w:p>
    <w:p w14:paraId="220744A6" w14:textId="6F483BE2" w:rsidR="004216E2" w:rsidRPr="00A379D6" w:rsidRDefault="004216E2" w:rsidP="004216E2">
      <w:pPr>
        <w:pStyle w:val="Heading2"/>
      </w:pPr>
      <w:r>
        <w:t>IT Mitigation</w:t>
      </w:r>
      <w:r w:rsidR="00F728B8">
        <w:t>s</w:t>
      </w:r>
    </w:p>
    <w:sectPr w:rsidR="004216E2" w:rsidRPr="00A379D6"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3B3D" w14:textId="77777777" w:rsidR="0030646F" w:rsidRDefault="0030646F" w:rsidP="0082223F">
      <w:pPr>
        <w:spacing w:line="240" w:lineRule="auto"/>
      </w:pPr>
      <w:r>
        <w:separator/>
      </w:r>
    </w:p>
  </w:endnote>
  <w:endnote w:type="continuationSeparator" w:id="0">
    <w:p w14:paraId="2040B21E" w14:textId="77777777" w:rsidR="0030646F" w:rsidRDefault="0030646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2962" w14:textId="77777777" w:rsidR="0030646F" w:rsidRDefault="0030646F" w:rsidP="0082223F">
      <w:pPr>
        <w:spacing w:line="240" w:lineRule="auto"/>
      </w:pPr>
      <w:r>
        <w:separator/>
      </w:r>
    </w:p>
  </w:footnote>
  <w:footnote w:type="continuationSeparator" w:id="0">
    <w:p w14:paraId="721242AD" w14:textId="77777777" w:rsidR="0030646F" w:rsidRDefault="0030646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A78"/>
    <w:multiLevelType w:val="hybridMultilevel"/>
    <w:tmpl w:val="01EAC5F0"/>
    <w:lvl w:ilvl="0" w:tplc="758C1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83597"/>
    <w:rsid w:val="001B27C4"/>
    <w:rsid w:val="002516A9"/>
    <w:rsid w:val="002806B7"/>
    <w:rsid w:val="002F2E59"/>
    <w:rsid w:val="0030646F"/>
    <w:rsid w:val="00330C14"/>
    <w:rsid w:val="003E52C4"/>
    <w:rsid w:val="003F4714"/>
    <w:rsid w:val="00401D65"/>
    <w:rsid w:val="004216E2"/>
    <w:rsid w:val="004223E8"/>
    <w:rsid w:val="00424108"/>
    <w:rsid w:val="00495B4D"/>
    <w:rsid w:val="004A784B"/>
    <w:rsid w:val="005A04C7"/>
    <w:rsid w:val="005B7079"/>
    <w:rsid w:val="005C39BA"/>
    <w:rsid w:val="005E7265"/>
    <w:rsid w:val="006D4634"/>
    <w:rsid w:val="006D793E"/>
    <w:rsid w:val="0073677D"/>
    <w:rsid w:val="00775A78"/>
    <w:rsid w:val="007A028C"/>
    <w:rsid w:val="007A42DF"/>
    <w:rsid w:val="0082223F"/>
    <w:rsid w:val="00872AC4"/>
    <w:rsid w:val="00877007"/>
    <w:rsid w:val="008B5129"/>
    <w:rsid w:val="008D0E1C"/>
    <w:rsid w:val="008F6E93"/>
    <w:rsid w:val="009A757D"/>
    <w:rsid w:val="00A13251"/>
    <w:rsid w:val="00A2663E"/>
    <w:rsid w:val="00A379D6"/>
    <w:rsid w:val="00A423F8"/>
    <w:rsid w:val="00A47782"/>
    <w:rsid w:val="00B13ADF"/>
    <w:rsid w:val="00B83595"/>
    <w:rsid w:val="00C54DC8"/>
    <w:rsid w:val="00C73692"/>
    <w:rsid w:val="00C93265"/>
    <w:rsid w:val="00C93BB7"/>
    <w:rsid w:val="00CB25E9"/>
    <w:rsid w:val="00CB2C5D"/>
    <w:rsid w:val="00D0165E"/>
    <w:rsid w:val="00D10EE8"/>
    <w:rsid w:val="00D61716"/>
    <w:rsid w:val="00D71C3D"/>
    <w:rsid w:val="00D75C7B"/>
    <w:rsid w:val="00D85C7B"/>
    <w:rsid w:val="00DE2224"/>
    <w:rsid w:val="00DF1986"/>
    <w:rsid w:val="00E234E9"/>
    <w:rsid w:val="00ED19B4"/>
    <w:rsid w:val="00ED3713"/>
    <w:rsid w:val="00F60309"/>
    <w:rsid w:val="00F728B8"/>
    <w:rsid w:val="00FA4B22"/>
    <w:rsid w:val="00FD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A132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171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D19B4"/>
    <w:rPr>
      <w:color w:val="0563C1" w:themeColor="hyperlink"/>
      <w:u w:val="single"/>
    </w:rPr>
  </w:style>
  <w:style w:type="character" w:styleId="UnresolvedMention">
    <w:name w:val="Unresolved Mention"/>
    <w:basedOn w:val="DefaultParagraphFont"/>
    <w:uiPriority w:val="99"/>
    <w:semiHidden/>
    <w:unhideWhenUsed/>
    <w:rsid w:val="00ED19B4"/>
    <w:rPr>
      <w:color w:val="605E5C"/>
      <w:shd w:val="clear" w:color="auto" w:fill="E1DFDD"/>
    </w:rPr>
  </w:style>
  <w:style w:type="paragraph" w:styleId="ListParagraph">
    <w:name w:val="List Paragraph"/>
    <w:basedOn w:val="Normal"/>
    <w:uiPriority w:val="34"/>
    <w:qFormat/>
    <w:rsid w:val="00ED1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58803">
      <w:bodyDiv w:val="1"/>
      <w:marLeft w:val="0"/>
      <w:marRight w:val="0"/>
      <w:marTop w:val="0"/>
      <w:marBottom w:val="0"/>
      <w:divBdr>
        <w:top w:val="none" w:sz="0" w:space="0" w:color="auto"/>
        <w:left w:val="none" w:sz="0" w:space="0" w:color="auto"/>
        <w:bottom w:val="none" w:sz="0" w:space="0" w:color="auto"/>
        <w:right w:val="none" w:sz="0" w:space="0" w:color="auto"/>
      </w:divBdr>
    </w:div>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399596712">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12</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
    <b:Tag>Bus172</b:Tag>
    <b:SourceType>JournalArticle</b:SourceType>
    <b:Guid>{74523765-2EBF-48B0-907C-4CB55C239117}</b:Guid>
    <b:Title>Analysis of Affordance, Time, and Adaptation in the Assessment of Industrial Control System Cybersecurity Risk</b:Title>
    <b:Year>2017</b:Year>
    <b:URL>https://search.ebscohost.com/login.aspx?direct=true&amp;db=s3h&amp;AN=124333378&amp;authtype=sso&amp;custid=s1229530&amp;site=eds-live&amp;scope=site</b:URL>
    <b:Author>
      <b:Author>
        <b:NameList>
          <b:Person>
            <b:Last>Busby</b:Last>
            <b:First>J</b:First>
          </b:Person>
          <b:Person>
            <b:Last>Green</b:Last>
            <b:First>B</b:First>
          </b:Person>
          <b:Person>
            <b:Last>Hutchinson</b:Last>
            <b:First>D</b:First>
          </b:Person>
        </b:NameList>
      </b:Author>
    </b:Author>
    <b:JournalName>Risk analysis: An international journal</b:JournalName>
    <b:Pages>1298-1314</b:Pages>
    <b:Volume>37</b:Volume>
    <b:Issue>7</b:Issue>
    <b:RefOrder>13</b:RefOrder>
  </b:Source>
  <b:Source>
    <b:Tag>NIS21</b:Tag>
    <b:SourceType>InternetSite</b:SourceType>
    <b:Guid>{42607B18-D31E-4AC7-98F6-0A4721A34A0E}</b:Guid>
    <b:Title>Vulnerability Metrics</b:Title>
    <b:Year>2021</b:Year>
    <b:Author>
      <b:Author>
        <b:Corporate>NIST</b:Corporate>
      </b:Author>
    </b:Author>
    <b:InternetSiteTitle>National Vulnerability Database</b:InternetSiteTitle>
    <b:URL>https://nvd.nist.gov/vuln-metrics/cvss</b:URL>
    <b:RefOrder>10</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11</b:RefOrder>
  </b:Source>
</b:Sources>
</file>

<file path=customXml/itemProps1.xml><?xml version="1.0" encoding="utf-8"?>
<ds:datastoreItem xmlns:ds="http://schemas.openxmlformats.org/officeDocument/2006/customXml" ds:itemID="{BEF476E6-3580-4B2C-A58C-F7230DFD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8</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2021-10-03T18:10:00Z</dcterms:modified>
</cp:coreProperties>
</file>