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DE1E7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5E90DBB" w:rsidR="0082223F" w:rsidRDefault="0082223F" w:rsidP="0082223F">
      <w:pPr>
        <w:pStyle w:val="Title"/>
      </w:pPr>
      <w:r>
        <w:t xml:space="preserve">Week </w:t>
      </w:r>
      <w:r w:rsidR="00067A33">
        <w:t>5</w:t>
      </w:r>
      <w:r>
        <w:t xml:space="preserve">: </w:t>
      </w:r>
      <w:r w:rsidR="00067A33">
        <w:t>Create a Risk Management Framework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1C6DD20" w:rsidR="0082223F" w:rsidRDefault="0082223F" w:rsidP="0082223F">
      <w:pPr>
        <w:jc w:val="center"/>
      </w:pPr>
      <w:r>
        <w:t>TIM-</w:t>
      </w:r>
      <w:r w:rsidR="00775A78">
        <w:t>8190</w:t>
      </w:r>
      <w:r>
        <w:t>:</w:t>
      </w:r>
      <w:r w:rsidR="00775A78">
        <w:t xml:space="preserve"> Computer Science Policy and Strategy</w:t>
      </w:r>
    </w:p>
    <w:p w14:paraId="13BFFB78" w14:textId="120838BB" w:rsidR="00CB25E9" w:rsidRDefault="00067A33" w:rsidP="0082223F">
      <w:pPr>
        <w:jc w:val="center"/>
      </w:pPr>
      <w:r>
        <w:t>October 3</w:t>
      </w:r>
      <w:r w:rsidR="00775A78"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56DE3332" w:rsidR="0082223F" w:rsidRDefault="00067A33" w:rsidP="005B7079">
      <w:pPr>
        <w:pStyle w:val="Heading1"/>
      </w:pPr>
      <w:r>
        <w:lastRenderedPageBreak/>
        <w:t>Create a Risk Management Framework</w:t>
      </w:r>
    </w:p>
    <w:p w14:paraId="6E2E37E8" w14:textId="091802B8" w:rsidR="003E52C4" w:rsidRDefault="003E52C4" w:rsidP="003E52C4">
      <w:pPr>
        <w:ind w:firstLine="720"/>
      </w:pPr>
      <w:r>
        <w:t>Traditional businesses have a smaller attack surface from well-understood sources, such as inventory management, performance management, and petty crime.  In contrast, cyber risk is dynamic and constantly evolving</w:t>
      </w:r>
      <w:r w:rsidRPr="003E52C4">
        <w:t xml:space="preserve"> </w:t>
      </w:r>
      <w:sdt>
        <w:sdtPr>
          <w:id w:val="1708604551"/>
          <w:citation/>
        </w:sdtPr>
        <w:sdtContent>
          <w:r>
            <w:fldChar w:fldCharType="begin"/>
          </w:r>
          <w:r>
            <w:instrText xml:space="preserve"> CITATION Gro183 \l 1033 </w:instrText>
          </w:r>
          <w:r>
            <w:fldChar w:fldCharType="separate"/>
          </w:r>
          <w:r>
            <w:rPr>
              <w:noProof/>
            </w:rPr>
            <w:t xml:space="preserve"> (Grobler, 2018)</w:t>
          </w:r>
          <w:r>
            <w:fldChar w:fldCharType="end"/>
          </w:r>
        </w:sdtContent>
      </w:sdt>
      <w:r>
        <w:t xml:space="preserve">.  NCU-F’s Chief Risk Officer (CRO) must define policies and procedures that address cyber risk through cyber security. </w:t>
      </w:r>
      <w:r>
        <w:t>Cybersecurity refers to a collection of mechanisms and processes that constrain risk to business systems by ensuring they meet performance and consistency expectations, even under erroneous conditions</w:t>
      </w:r>
      <w:sdt>
        <w:sdtPr>
          <w:id w:val="-1494180555"/>
          <w:citation/>
        </w:sdtPr>
        <w:sdtContent>
          <w:r>
            <w:fldChar w:fldCharType="begin"/>
          </w:r>
          <w:r>
            <w:instrText xml:space="preserve">CITATION Mic18 \l 1033 </w:instrText>
          </w:r>
          <w:r>
            <w:fldChar w:fldCharType="separate"/>
          </w:r>
          <w:r>
            <w:rPr>
              <w:noProof/>
            </w:rPr>
            <w:t xml:space="preserve"> (Mickens, 2018)</w:t>
          </w:r>
          <w:r>
            <w:fldChar w:fldCharType="end"/>
          </w:r>
        </w:sdtContent>
      </w:sdt>
      <w:r>
        <w:t xml:space="preserve">.  These erroneous conditions arise </w:t>
      </w:r>
      <w:r>
        <w:t>from</w:t>
      </w:r>
      <w:r>
        <w:t xml:space="preserve"> malicious and negligent scenarios, degrading </w:t>
      </w:r>
      <w:r>
        <w:t>confidentiality, integrity, and availability of our service offerings</w:t>
      </w:r>
      <w:r>
        <w:t>.</w:t>
      </w:r>
      <w:r>
        <w:t xml:space="preserve">  </w:t>
      </w:r>
    </w:p>
    <w:p w14:paraId="203EA3F2" w14:textId="2CE6CA2D" w:rsidR="003E52C4" w:rsidRDefault="003E52C4" w:rsidP="003E52C4">
      <w:pPr>
        <w:pStyle w:val="Heading2"/>
      </w:pPr>
      <w:r>
        <w:t>Categorize Potential Vulnerabilities</w:t>
      </w:r>
    </w:p>
    <w:p w14:paraId="2F44FF8C" w14:textId="77777777" w:rsidR="003E52C4" w:rsidRDefault="003E52C4" w:rsidP="003E52C4">
      <w:pPr>
        <w:ind w:firstLine="720"/>
      </w:pPr>
      <w:r>
        <w:t>When categorizing these risks, a taxonomy needs to consider the incentives and origin of the risk</w:t>
      </w:r>
      <w:sdt>
        <w:sdtPr>
          <w:id w:val="-38670034"/>
          <w:citation/>
        </w:sdtPr>
        <w:sdtContent>
          <w:r>
            <w:fldChar w:fldCharType="begin"/>
          </w:r>
          <w:r>
            <w:instrText xml:space="preserve"> CITATION LiZ18 \l 1033 </w:instrText>
          </w:r>
          <w:r>
            <w:fldChar w:fldCharType="separate"/>
          </w:r>
          <w:r>
            <w:rPr>
              <w:noProof/>
            </w:rPr>
            <w:t xml:space="preserve"> (Li &amp; Liao, 2018)</w:t>
          </w:r>
          <w:r>
            <w:fldChar w:fldCharType="end"/>
          </w:r>
        </w:sdtContent>
      </w:sdt>
      <w:r>
        <w:t xml:space="preserve">.  Incentives of malicious and negligent behavior are drastically different and require unique approaches.  </w:t>
      </w:r>
      <w:proofErr w:type="spellStart"/>
      <w:r>
        <w:t>Kosub</w:t>
      </w:r>
      <w:proofErr w:type="spellEnd"/>
      <w:r>
        <w:t xml:space="preserve"> (2015) proposes the terms cyber-risk (negligence) and cyber-crime (maliciousness) to distinguish between these scenarios.  For instance, technical support staff wants to follow the cultural norms set by their employer and minimize any friction in completing their assignments</w:t>
      </w:r>
      <w:sdt>
        <w:sdtPr>
          <w:id w:val="1137607026"/>
          <w:citation/>
        </w:sdtPr>
        <w:sdtContent>
          <w:r>
            <w:fldChar w:fldCharType="begin"/>
          </w:r>
          <w:r>
            <w:instrText xml:space="preserve"> CITATION Wes18 \l 1033 </w:instrText>
          </w:r>
          <w:r>
            <w:fldChar w:fldCharType="separate"/>
          </w:r>
          <w:r>
            <w:rPr>
              <w:noProof/>
            </w:rPr>
            <w:t xml:space="preserve"> (Weston, Conklin, &amp; Drobnis, 2018)</w:t>
          </w:r>
          <w:r>
            <w:fldChar w:fldCharType="end"/>
          </w:r>
        </w:sdtContent>
      </w:sdt>
      <w:r>
        <w:t>.  Meanwhile, malicious actors seek to exploit espionage, sabotage, and subversion attacks</w:t>
      </w:r>
      <w:sdt>
        <w:sdtPr>
          <w:id w:val="998764371"/>
          <w:citation/>
        </w:sdtPr>
        <w:sdtContent>
          <w:r>
            <w:fldChar w:fldCharType="begin"/>
          </w:r>
          <w:r>
            <w:instrText xml:space="preserve"> CITATION Mat14 \l 1033 </w:instrText>
          </w:r>
          <w:r>
            <w:fldChar w:fldCharType="separate"/>
          </w:r>
          <w:r>
            <w:rPr>
              <w:noProof/>
            </w:rPr>
            <w:t xml:space="preserve"> (Matsubara, 2014)</w:t>
          </w:r>
          <w:r>
            <w:fldChar w:fldCharType="end"/>
          </w:r>
        </w:sdtContent>
      </w:sdt>
      <w:r>
        <w:t>.  While policies and training can reduce the impact of erroneous technicians, those solutions do not apply to external criminals.</w:t>
      </w:r>
    </w:p>
    <w:p w14:paraId="050C7C33" w14:textId="38B9044D" w:rsidR="003E52C4" w:rsidRDefault="003E52C4" w:rsidP="003E52C4">
      <w:pPr>
        <w:ind w:firstLine="720"/>
      </w:pPr>
      <w:r>
        <w:t xml:space="preserve">The next level of the taxonomy includes specific situations involving various people, processes, and products.  Privacy and cyber risks to a process can come from insufficient authorization and auditing controls.  For instance, failure to maintain accurate inventory records can cause inaccurate accounting of the corporate position.  Another example might come from a </w:t>
      </w:r>
      <w:r>
        <w:lastRenderedPageBreak/>
        <w:t xml:space="preserve">weak authorization policy that allows low-level employees to reboot mission-critical systems.  In contrast, cyber-crime might leverage repudiation attacks against a process </w:t>
      </w:r>
      <w:r>
        <w:t>such as</w:t>
      </w:r>
      <w:r>
        <w:t xml:space="preserve"> requesting a refund before completing the purchase.</w:t>
      </w:r>
    </w:p>
    <w:p w14:paraId="468D98E3" w14:textId="77777777" w:rsidR="003E52C4" w:rsidRPr="003E52C4" w:rsidRDefault="003E52C4" w:rsidP="003E52C4"/>
    <w:sectPr w:rsidR="003E52C4" w:rsidRPr="003E52C4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7C12" w14:textId="77777777" w:rsidR="00DE1E71" w:rsidRDefault="00DE1E71" w:rsidP="0082223F">
      <w:pPr>
        <w:spacing w:line="240" w:lineRule="auto"/>
      </w:pPr>
      <w:r>
        <w:separator/>
      </w:r>
    </w:p>
  </w:endnote>
  <w:endnote w:type="continuationSeparator" w:id="0">
    <w:p w14:paraId="0EDAD664" w14:textId="77777777" w:rsidR="00DE1E71" w:rsidRDefault="00DE1E7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D472" w14:textId="77777777" w:rsidR="00DE1E71" w:rsidRDefault="00DE1E71" w:rsidP="0082223F">
      <w:pPr>
        <w:spacing w:line="240" w:lineRule="auto"/>
      </w:pPr>
      <w:r>
        <w:separator/>
      </w:r>
    </w:p>
  </w:footnote>
  <w:footnote w:type="continuationSeparator" w:id="0">
    <w:p w14:paraId="07526960" w14:textId="77777777" w:rsidR="00DE1E71" w:rsidRDefault="00DE1E7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617D5E55" w:rsidR="00877007" w:rsidRDefault="00877007" w:rsidP="00877007">
    <w:pPr>
      <w:pStyle w:val="Header"/>
    </w:pPr>
    <w:r w:rsidRPr="00877007">
      <w:t>TIM-</w:t>
    </w:r>
    <w:r w:rsidR="00775A78">
      <w:t>8190</w:t>
    </w:r>
    <w:r w:rsidRPr="00877007">
      <w:t xml:space="preserve">: </w:t>
    </w:r>
    <w:r w:rsidR="00775A78">
      <w:t>Computer Science Policy and Strategy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4FAFl6uYAtAAAA"/>
  </w:docVars>
  <w:rsids>
    <w:rsidRoot w:val="0082223F"/>
    <w:rsid w:val="00036708"/>
    <w:rsid w:val="00036F58"/>
    <w:rsid w:val="00067A33"/>
    <w:rsid w:val="00103C56"/>
    <w:rsid w:val="00183597"/>
    <w:rsid w:val="001B27C4"/>
    <w:rsid w:val="002516A9"/>
    <w:rsid w:val="002806B7"/>
    <w:rsid w:val="002F2E59"/>
    <w:rsid w:val="003E52C4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775A78"/>
    <w:rsid w:val="0082223F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1E71"/>
    <w:rsid w:val="00DE2224"/>
    <w:rsid w:val="00DF1986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Mic18</b:Tag>
    <b:SourceType>InternetSite</b:SourceType>
    <b:Guid>{168F139D-74D4-4C99-879A-8E3210FF2B9A}</b:Guid>
    <b:Title>Why Do Keynote Speakers Keep Suggesting That Improving Security Is Possible?</b:Title>
    <b:Year>2018</b:Year>
    <b:Author>
      <b:Author>
        <b:NameList>
          <b:Person>
            <b:Last>Mickens</b:Last>
          </b:Person>
        </b:NameList>
      </b:Author>
    </b:Author>
    <b:ConferenceName>Usenix Security</b:ConferenceName>
    <b:InternetSiteTitle>YouTube</b:InternetSiteTitle>
    <b:Month>August</b:Month>
    <b:Day>16</b:Day>
    <b:URL>https://www.youtube.com/watch?v=ajGX7odA87k</b:URL>
    <b:RefOrder>1</b:RefOrder>
  </b:Source>
  <b:Source>
    <b:Tag>LiZ18</b:Tag>
    <b:SourceType>JournalArticle</b:SourceType>
    <b:Guid>{3D8CB100-E797-43EB-8750-02A03D8D4152}</b:Guid>
    <b:Title>Economic solutions to improve cybersecurity of governments and smart cities via vulnerability markets</b:Title>
    <b:Pages>151-160</b:Pages>
    <b:Year>2018</b:Year>
    <b:Volume>35</b:Volume>
    <b:YearAccessed>2020</b:YearAccessed>
    <b:MonthAccessed>May</b:MonthAccessed>
    <b:DayAccessed>16</b:DayAccessed>
    <b:DOI>https://doi.org/10.1016/j.giq.2017.10.006</b:DOI>
    <b:Author>
      <b:Author>
        <b:NameList>
          <b:Person>
            <b:Last>Li</b:Last>
            <b:First>Z.,</b:First>
          </b:Person>
          <b:Person>
            <b:Last>Liao</b:Last>
            <b:First>Q.</b:First>
          </b:Person>
        </b:NameList>
      </b:Author>
    </b:Author>
    <b:JournalName>Government Information Quarterly</b:JournalName>
    <b:Month>January</b:Month>
    <b:Issue>1</b:Issue>
    <b:RefOrder>3</b:RefOrder>
  </b:Source>
  <b:Source>
    <b:Tag>Wes18</b:Tag>
    <b:SourceType>JournalArticle</b:SourceType>
    <b:Guid>{9AFBCCA8-77C2-43A1-BCDF-8C212D3ADE59}</b:Guid>
    <b:Title>Assessing and resetting culture in enterprise risk management</b:Title>
    <b:JournalName>Assurances et Gestion Des Risques,</b:JournalName>
    <b:Year>2018</b:Year>
    <b:Pages>131-166</b:Pages>
    <b:Author>
      <b:Author>
        <b:NameList>
          <b:Person>
            <b:Last>Weston</b:Last>
            <b:First>H</b:First>
          </b:Person>
          <b:Person>
            <b:Last>Conklin</b:Last>
            <b:First>T</b:First>
          </b:Person>
          <b:Person>
            <b:Last>Drobnis</b:Last>
            <b:First>K</b:First>
          </b:Person>
        </b:NameList>
      </b:Author>
    </b:Author>
    <b:Volume>85</b:Volume>
    <b:Issue>1</b:Issue>
    <b:DOI>https://doi-org.proxy1.ncu.edu/10.7202/1051319ar</b:DOI>
    <b:RefOrder>4</b:RefOrder>
  </b:Source>
  <b:Source>
    <b:Tag>Mat14</b:Tag>
    <b:SourceType>JournalArticle</b:SourceType>
    <b:Guid>{0326D5A1-00FF-4FCA-8E8A-ECB753EEB0E9}</b:Guid>
    <b:Author>
      <b:Author>
        <b:NameList>
          <b:Person>
            <b:Last>Matsubara</b:Last>
            <b:First>M</b:First>
          </b:Person>
        </b:NameList>
      </b:Author>
    </b:Author>
    <b:Title>Countering Cyber-Espionage and Sabotage</b:Title>
    <b:JournalName>RUSI Journal: Royal United Services Institute for Defence Studies</b:JournalName>
    <b:Year>2014</b:Year>
    <b:Pages>86-93</b:Pages>
    <b:Volume>159</b:Volume>
    <b:Issue>1</b:Issue>
    <b:DOI>https://doi-org.proxy1.ncu.edu/10.1080/03071847.2014.895263</b:DOI>
    <b:RefOrder>5</b:RefOrder>
  </b:Source>
  <b:Source>
    <b:Tag>Kos15</b:Tag>
    <b:SourceType>JournalArticle</b:SourceType>
    <b:Guid>{AA27490A-CF5A-4AA8-8251-C305E5135E90}</b:Guid>
    <b:Title>Components and challenges of integrated cyber risk management</b:Title>
    <b:JournalName>Zeitschrift für die gesamte Versicherungswissenschaft</b:JournalName>
    <b:Year>2015</b:Year>
    <b:Pages>615-632</b:Pages>
    <b:Author>
      <b:Author>
        <b:NameList>
          <b:Person>
            <b:Last>Kosub</b:Last>
            <b:First>T</b:First>
          </b:Person>
        </b:NameList>
      </b:Author>
    </b:Author>
    <b:Volume>104</b:Volume>
    <b:Issue>5</b:Issue>
    <b:DOI>https://doi.org/10.1007/s12297-015-0316-8</b:DOI>
    <b:RefOrder>6</b:RefOrder>
  </b:Source>
  <b:Source>
    <b:Tag>Gro183</b:Tag>
    <b:SourceType>JournalArticle</b:SourceType>
    <b:Guid>{CC627F2F-8290-408B-83EB-0A02D75A2788}</b:Guid>
    <b:Author>
      <b:Author>
        <b:NameList>
          <b:Person>
            <b:Last>Grobler</b:Last>
            <b:First>J</b:First>
          </b:Person>
        </b:NameList>
      </b:Author>
    </b:Author>
    <b:Title>Cyrber risk from a Cheif Risk Officer (CRO) perspective</b:Title>
    <b:JournalName>Journal of Risk Management in Financial Institutions</b:JournalName>
    <b:Year>2018</b:Year>
    <b:Pages>125-31</b:Pages>
    <b:Volume>11</b:Volume>
    <b:Issue>2</b:Issue>
    <b:URL>https://search.ebscohost.com/login.aspx?direct=true&amp;db=bth&amp;AN=128885445&amp;authtype=sso&amp;custid=s1229530&amp;site=eds-live&amp;scope=site</b:URL>
    <b:RefOrder>2</b:RefOrder>
  </b:Source>
</b:Sources>
</file>

<file path=customXml/itemProps1.xml><?xml version="1.0" encoding="utf-8"?>
<ds:datastoreItem xmlns:ds="http://schemas.openxmlformats.org/officeDocument/2006/customXml" ds:itemID="{4AF6F5F8-51C6-4CB5-A153-53AD18A0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2021-10-03T14:11:00Z</dcterms:modified>
</cp:coreProperties>
</file>