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B722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5F8ABFEE"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w:t>
      </w:r>
      <w:r w:rsidR="00B635C0">
        <w:t>organization</w:t>
      </w:r>
      <w:r>
        <w:t xml:space="preserve"> to </w:t>
      </w:r>
      <w:r w:rsidR="00B635C0">
        <w:t>reach new markets and deliver customer value quickly</w:t>
      </w:r>
      <w:r>
        <w:t>, it also le</w:t>
      </w:r>
      <w:r w:rsidR="00B635C0">
        <w:t>ads</w:t>
      </w:r>
      <w:r>
        <w:t xml:space="preserve">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End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End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0EBE4E22"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w:t>
      </w:r>
      <w:r w:rsidR="00B635C0">
        <w:t>ed</w:t>
      </w:r>
      <w:r>
        <w:t xml:space="preserve"> Leader (STL)</w:t>
      </w:r>
      <w:r w:rsidRPr="007441A0">
        <w:t xml:space="preserve"> </w:t>
      </w:r>
      <w:sdt>
        <w:sdtPr>
          <w:id w:val="2145462152"/>
          <w:citation/>
        </w:sdtPr>
        <w:sdtEnd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6677A442"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r w:rsidR="00B635C0">
        <w:t xml:space="preserve">  However, it is not a goal that those services implement a specific library or language construct.  Steering committees must focus on high-level guidance and architectural guard rails, not implementation nuance.  </w:t>
      </w:r>
    </w:p>
    <w:p w14:paraId="46D5D7DE" w14:textId="77777777" w:rsidR="00E54EE1" w:rsidRDefault="00E54EE1" w:rsidP="00E54EE1">
      <w:pPr>
        <w:pStyle w:val="Heading2"/>
      </w:pPr>
      <w:r>
        <w:t>Auditing IT Investments</w:t>
      </w:r>
    </w:p>
    <w:p w14:paraId="14C72D21" w14:textId="665EEB37" w:rsidR="00E54EE1" w:rsidRDefault="00E54EE1" w:rsidP="00E54EE1">
      <w:r>
        <w:tab/>
        <w:t>Another expectation of the IT steering committee is to audit investments into IT resources</w:t>
      </w:r>
      <w:sdt>
        <w:sdtPr>
          <w:id w:val="2119182236"/>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t>
      </w:r>
      <w:r>
        <w:lastRenderedPageBreak/>
        <w:t xml:space="preserve">widgets to address challenges and introduce new capabilities.  </w:t>
      </w:r>
      <w:r w:rsidR="00B635C0">
        <w:t>Though</w:t>
      </w:r>
      <w:r>
        <w:t xml:space="preserve">, these widgets can fall to the wayside as new paradigms appear.  For instance, most enterprise data centers have an Apache Hadoop cluster because the platform provides high-available and elasticity.  Managing </w:t>
      </w:r>
      <w:r w:rsidR="00B635C0">
        <w:t xml:space="preserve">those </w:t>
      </w:r>
      <w:r>
        <w:t>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13E824A8"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a recent </w:t>
      </w:r>
      <w:r w:rsidR="00B635C0">
        <w:t>outage</w:t>
      </w:r>
      <w:r>
        <w:t xml:space="preserve"> with</w:t>
      </w:r>
      <w:r w:rsidR="00B635C0">
        <w:t>in</w:t>
      </w:r>
      <w:r>
        <w:t xml:space="preserve"> Identity Services highlights its criticality, making it a candidate for targeted investments.  These changes could include policies that reduce Domain controller utilization through data caching requirements.</w:t>
      </w:r>
    </w:p>
    <w:p w14:paraId="5C2ACC4D" w14:textId="785C80FD"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 xml:space="preserve">greater consistency.  </w:t>
      </w:r>
      <w:r w:rsidR="00B635C0">
        <w:t>Still</w:t>
      </w:r>
      <w:r>
        <w:t>,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7C98B70F" w:rsidR="00024580" w:rsidRDefault="00024580" w:rsidP="00024580">
      <w:r>
        <w:tab/>
        <w:t xml:space="preserve">Furthermore, formalizing organizational procedures such as disaster recovery and incident management will pay dividends later.  For instance, the initial release of the trading platform stores customer data across eight different storage technologies.  This approach </w:t>
      </w:r>
      <w:r>
        <w:lastRenderedPageBreak/>
        <w:t xml:space="preserve">decouples the implementation between microsystems and promotes engineering efficiency.  </w:t>
      </w:r>
      <w:r w:rsidR="00B635C0">
        <w:t>Nevertheless</w:t>
      </w:r>
      <w:r>
        <w:t>,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2B8FB2BA" w:rsidR="00024580" w:rsidRDefault="00024580" w:rsidP="00024580">
      <w:pPr>
        <w:ind w:firstLine="720"/>
      </w:pPr>
      <w:r>
        <w:t xml:space="preserve">The task force is responsible for establishing the Technical Communities, overseeing initial staffing, and reviewing abstract community decisions (see Table 1). </w:t>
      </w:r>
      <w:r w:rsidR="00B635C0">
        <w:t xml:space="preserve"> </w:t>
      </w:r>
      <w:r>
        <w:t>Each community consists of subject matter experts that own a cross-cutting concern (e.g., networking or security).</w:t>
      </w:r>
    </w:p>
    <w:p w14:paraId="6870F941" w14:textId="7FBE822A" w:rsidR="00024580" w:rsidRDefault="00024580" w:rsidP="00024580">
      <w:pPr>
        <w:pStyle w:val="Caption"/>
      </w:pPr>
      <w:r>
        <w:t xml:space="preserve">Table 1: Projected </w:t>
      </w:r>
      <w:r w:rsidR="00DA79EC">
        <w:t xml:space="preserve">Individual </w:t>
      </w:r>
      <w:r>
        <w:t>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41E9CD04" w:rsidR="00024580" w:rsidRDefault="00024580" w:rsidP="009036C7">
            <w:r>
              <w:t>Assess Community State (</w:t>
            </w:r>
            <w:r w:rsidR="00BE0A89">
              <w:t>F</w:t>
            </w:r>
            <w:r>
              <w:t>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5C50A71E" w:rsidR="00024580" w:rsidRDefault="00024580" w:rsidP="009036C7">
            <w:r>
              <w:t>Implement Changes (</w:t>
            </w:r>
            <w:r w:rsidR="00BE0A89">
              <w:t>St</w:t>
            </w:r>
            <w:r>
              <w: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End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 xml:space="preserve">position their technology before the products and services, it prevents resources from delivering on the </w:t>
      </w:r>
      <w:r w:rsidR="000F7484">
        <w:lastRenderedPageBreak/>
        <w:t>corporate mission and delighting c</w:t>
      </w:r>
      <w:r>
        <w:t>ustomers</w:t>
      </w:r>
      <w:sdt>
        <w:sdtPr>
          <w:id w:val="-908694214"/>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656EABA2"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before the group transition</w:t>
      </w:r>
      <w:r w:rsidR="00B635C0">
        <w:t>s</w:t>
      </w:r>
      <w:r>
        <w:t xml:space="preserve">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End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EndPr/>
        <w:sdtContent>
          <w:r>
            <w:fldChar w:fldCharType="begin"/>
          </w:r>
          <w:r>
            <w:instrText xml:space="preserve"> CITATION Bon17 \l 1033 </w:instrText>
          </w:r>
          <w:r>
            <w:fldChar w:fldCharType="separate"/>
          </w:r>
          <w:r>
            <w:rPr>
              <w:noProof/>
            </w:rPr>
            <w:t xml:space="preserve"> (Bonnal &amp; Rauser, 2017)</w:t>
          </w:r>
          <w:r>
            <w:fldChar w:fldCharType="end"/>
          </w:r>
        </w:sdtContent>
      </w:sdt>
      <w:r>
        <w:t xml:space="preserve">.  When documents explicitly declare universal agreements across the </w:t>
      </w:r>
      <w:r>
        <w:lastRenderedPageBreak/>
        <w:t>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t>Naming Standards</w:t>
      </w:r>
    </w:p>
    <w:p w14:paraId="3398349A" w14:textId="5677C783"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w:t>
      </w:r>
      <w:r w:rsidR="009F0071">
        <w:t>ing</w:t>
      </w:r>
      <w:r>
        <w:t xml:space="preserve">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053AB7E6" w:rsidR="00E54EE1" w:rsidRDefault="00E54EE1" w:rsidP="00E54EE1">
      <w:pPr>
        <w:ind w:firstLine="720"/>
      </w:pPr>
      <w:r>
        <w:t xml:space="preserve">Nevertheless, renaming every object is prohibitively expensive.  The </w:t>
      </w:r>
      <w:r w:rsidR="009F0071">
        <w:t>enterprise</w:t>
      </w:r>
      <w:r>
        <w:t xml:space="preserve">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 xml:space="preserve">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t>
      </w:r>
      <w:r>
        <w:lastRenderedPageBreak/>
        <w:t>willing to accept the technical debt.  This decision pushes the organization toward standardizing the metadata associated with the various resources</w:t>
      </w:r>
      <w:sdt>
        <w:sdtPr>
          <w:id w:val="-1236312149"/>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That metadata can reside 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328E99D0" w14:textId="77777777" w:rsidR="009F0071" w:rsidRDefault="009F0071">
      <w:pPr>
        <w:rPr>
          <w:b/>
        </w:rPr>
      </w:pPr>
      <w:r>
        <w:br w:type="page"/>
      </w:r>
    </w:p>
    <w:p w14:paraId="71C6F0A5" w14:textId="3CE4DA11" w:rsidR="00E54EE1" w:rsidRDefault="00E54EE1" w:rsidP="00E54EE1">
      <w:pPr>
        <w:pStyle w:val="Heading1"/>
      </w:pPr>
      <w:r>
        <w:lastRenderedPageBreak/>
        <w:t>Stakeholder Responsibility</w:t>
      </w:r>
    </w:p>
    <w:p w14:paraId="6A3DB7D2" w14:textId="78735B36"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w:t>
      </w:r>
      <w:r w:rsidR="009F0071">
        <w:t>core</w:t>
      </w:r>
      <w:r>
        <w:t xml:space="preserve"> divisions, executive sponsors, and legal representatives.</w:t>
      </w:r>
      <w:r w:rsidR="000F7484">
        <w:t xml:space="preserve">  The stakeholders are responsible for ensuring standardization is continuously maturing across the organization.  This expectation requires formal processes for managing polic</w:t>
      </w:r>
      <w:r w:rsidR="009F0071">
        <w:t>y</w:t>
      </w:r>
      <w:r w:rsidR="000F7484">
        <w:t xml:space="preserve"> lifecycle</w:t>
      </w:r>
      <w:r w:rsidR="009F0071">
        <w:t>s</w:t>
      </w:r>
      <w:r w:rsidR="000F7484">
        <w:t>.</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End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lastRenderedPageBreak/>
        <w:t>Fourth, declare the foundational tenants of this new policy</w:t>
      </w:r>
      <w:sdt>
        <w:sdtPr>
          <w:id w:val="862716709"/>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1F6A2281" w:rsidR="00E54EE1" w:rsidRDefault="00E54EE1" w:rsidP="006F0E08">
      <w:r>
        <w:tab/>
        <w:t xml:space="preserve">Employees that want to create a new policy must identify an appropriate community to vet their </w:t>
      </w:r>
      <w:r w:rsidR="000F7484">
        <w:t>proposal</w:t>
      </w:r>
      <w:r>
        <w:t>.  The community will assign one or two reviewers to iterate the proposal until it adheres to internal standard</w:t>
      </w:r>
      <w:r w:rsidR="00821C0B">
        <w:t>s.</w:t>
      </w:r>
      <w:r>
        <w:t xml:space="preserve">  After the reviewers approve the document, the authors </w:t>
      </w:r>
      <w:r w:rsidR="006F0E08">
        <w:t>request that their policy be</w:t>
      </w:r>
      <w:r>
        <w:t xml:space="preserve"> globally visible within Policy Central</w:t>
      </w:r>
      <w:r w:rsidR="006F0E08">
        <w:t xml:space="preserve">, a proprietary document management system.  This system utilizes a NoSQL graph database representing the relationship between various documents, </w:t>
      </w:r>
      <w:proofErr w:type="gramStart"/>
      <w:r w:rsidR="006F0E08">
        <w:t>similar to</w:t>
      </w:r>
      <w:proofErr w:type="gramEnd"/>
      <w:r w:rsidR="006F0E08">
        <w:t xml:space="preserve"> a university citation library.  Policy documents initialize to a draft state that is only visible to their working team.  This design prevents external teams from </w:t>
      </w:r>
      <w:r w:rsidR="006F0E08">
        <w:lastRenderedPageBreak/>
        <w:t xml:space="preserve">accidentally referencing incomplete or unauthorized plans.  </w:t>
      </w:r>
      <w:r>
        <w:t>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4E74678" w:rsidR="00E54EE1" w:rsidRDefault="00E54EE1" w:rsidP="000F7484">
      <w:pPr>
        <w:ind w:firstLine="720"/>
      </w:pPr>
      <w:r>
        <w:t xml:space="preserve">NCU-F is a large-scale enterprise with ten thousand employees working across several global financial services.  The </w:t>
      </w:r>
      <w:r w:rsidR="001D3958">
        <w:t>firm</w:t>
      </w:r>
      <w:r>
        <w:t xml:space="preserve">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lastRenderedPageBreak/>
        <w:t>Support Model</w:t>
      </w:r>
    </w:p>
    <w:p w14:paraId="6490935A" w14:textId="013611DC"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w:t>
      </w:r>
      <w:r w:rsidR="008B2988">
        <w:t>ing</w:t>
      </w:r>
      <w:r>
        <w:t xml:space="preserve"> of the support role-family.  Under this model, support tickets flow up and solutions down.  The </w:t>
      </w:r>
      <w:r w:rsidR="001D3958">
        <w:t>enterprise</w:t>
      </w:r>
      <w:r>
        <w:t xml:space="preserve"> receives a strong economic incentive to address issues at the bottom of the structure, as the higher levels require specialized resources.  Since the customer must first traverse through multiple generalists, each layer has a compounding cost effect.</w:t>
      </w:r>
    </w:p>
    <w:p w14:paraId="1F21B166" w14:textId="77777777" w:rsidR="000F7484" w:rsidRDefault="000F7484" w:rsidP="000F7484">
      <w:pPr>
        <w:pStyle w:val="Caption"/>
      </w:pPr>
      <w:r>
        <w:t>Figure 1: Tiered-Support Network</w:t>
      </w:r>
    </w:p>
    <w:p w14:paraId="7913CBF6" w14:textId="4896CA35" w:rsidR="000F7484" w:rsidRDefault="000F7484" w:rsidP="00783A61">
      <w:pPr>
        <w:jc w:val="center"/>
      </w:pPr>
      <w:r>
        <w:rPr>
          <w:noProof/>
        </w:rPr>
        <w:drawing>
          <wp:inline distT="0" distB="0" distL="0" distR="0" wp14:anchorId="7CA68EA2" wp14:editId="7F978E39">
            <wp:extent cx="2329900" cy="270067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989" cy="2793504"/>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652DA6CD" w:rsidR="00E54EE1" w:rsidRDefault="001D3958" w:rsidP="00E54EE1">
      <w:pPr>
        <w:ind w:firstLine="720"/>
      </w:pPr>
      <w:r>
        <w:t>An example</w:t>
      </w:r>
      <w:r w:rsidR="00E54EE1">
        <w:t xml:space="preserve">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w:t>
      </w:r>
      <w:r w:rsidR="00E54EE1">
        <w:lastRenderedPageBreak/>
        <w:t>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t>Engineering Pyramid</w:t>
      </w:r>
    </w:p>
    <w:p w14:paraId="5892BA1C" w14:textId="4C63E0E3" w:rsidR="00E54EE1" w:rsidRDefault="001D3958" w:rsidP="00E54EE1">
      <w:pPr>
        <w:ind w:firstLine="720"/>
      </w:pPr>
      <w:r>
        <w:t>Consider this specific customer wants to ingest market data from the Trading Platform.  In this case, the Trading PM will ask the Engineering Manager for a solution.  Unless the manager can resolve the matter, it must escalate to a service engineer.  The support PM must then contact the area owner PM on the relevant engineering team.</w:t>
      </w:r>
      <w:r w:rsidR="00E54EE1">
        <w:t xml:space="preserve"> Th</w:t>
      </w:r>
      <w:r>
        <w:t>at</w:t>
      </w:r>
      <w:r w:rsidR="00E54EE1">
        <w:t xml:space="preserve"> engineer must </w:t>
      </w:r>
      <w:r>
        <w:t xml:space="preserve">then </w:t>
      </w:r>
      <w:r w:rsidR="00E54EE1">
        <w:t xml:space="preserve">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0B8C70F8" w:rsidR="00E54EE1" w:rsidRDefault="00E54EE1" w:rsidP="00E54EE1">
      <w:pPr>
        <w:ind w:firstLine="720"/>
      </w:pPr>
      <w:r>
        <w:t xml:space="preserve">Suppose the engineering team cannot mitigate the issue.  In that case, the process begins anew with the external vendor or partner.  Those third-party providers have similar economic constraints, which forces them into these stacked pyramid </w:t>
      </w:r>
      <w:r w:rsidR="001D3958">
        <w:t>constructs</w:t>
      </w:r>
      <w:r>
        <w:t xml:space="preserve">.  This consistency includes knowledge databases, support channels, and customer access to the service team.  </w:t>
      </w:r>
      <w:r w:rsidR="001D3958">
        <w:t>Though</w:t>
      </w:r>
      <w:r>
        <w:t xml:space="preserve">,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w:t>
      </w:r>
      <w:r w:rsidR="001D3958">
        <w:t xml:space="preserve">and recommend </w:t>
      </w:r>
      <w:r>
        <w:t>future investments into the problem.</w:t>
      </w:r>
    </w:p>
    <w:p w14:paraId="594733D5" w14:textId="406F82EA" w:rsidR="00E54EE1" w:rsidRDefault="00E54EE1" w:rsidP="00E54EE1">
      <w:pPr>
        <w:pStyle w:val="Heading1"/>
      </w:pPr>
      <w:r>
        <w:lastRenderedPageBreak/>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  </w:t>
      </w:r>
    </w:p>
    <w:p w14:paraId="52D0373C" w14:textId="25D3241D" w:rsidR="000F7484" w:rsidRDefault="000F7484" w:rsidP="000F7484">
      <w:pPr>
        <w:ind w:firstLine="720"/>
      </w:pPr>
      <w:r>
        <w:t xml:space="preserve">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t>
      </w:r>
      <w:r w:rsidR="001D3958">
        <w:t xml:space="preserve">promotes cross-organizational collaboration and </w:t>
      </w:r>
      <w:r>
        <w:t>remove</w:t>
      </w:r>
      <w:r w:rsidR="001D3958">
        <w:t>s</w:t>
      </w:r>
      <w:r>
        <w:t xml:space="preserve"> roadblocks.</w:t>
      </w:r>
    </w:p>
    <w:p w14:paraId="18E3E479" w14:textId="77777777" w:rsidR="000F7484" w:rsidRDefault="000F7484" w:rsidP="000F7484">
      <w:pPr>
        <w:pStyle w:val="Heading2"/>
      </w:pPr>
      <w:r>
        <w:t>Performance Measurements</w:t>
      </w:r>
    </w:p>
    <w:p w14:paraId="79C0AA1B" w14:textId="021B2768" w:rsidR="000F7484" w:rsidRDefault="000F7484" w:rsidP="000F7484">
      <w:r>
        <w:tab/>
        <w:t xml:space="preserve">Program managers are responsible for reporting progress regarding their team’s ability to collaborate effectively.  For instance, how often did the Credit team assist the Savings team? NCU-F recommends that each team automate collecting </w:t>
      </w:r>
      <w:r w:rsidRPr="001D3958">
        <w:rPr>
          <w:i/>
          <w:iCs/>
        </w:rPr>
        <w:t>quantitative</w:t>
      </w:r>
      <w:r>
        <w:t xml:space="preserve"> metrics either daily or weekly.  These statistics generally originate from Issue Tracking and Management (ITM) systems (e.g., Jira or ServiceNow).  Additionally, team leaders publish monthly </w:t>
      </w:r>
      <w:r w:rsidRPr="001D3958">
        <w:rPr>
          <w:i/>
          <w:iCs/>
        </w:rPr>
        <w:t>qualitative</w:t>
      </w:r>
      <w:r>
        <w:t xml:space="preserve"> information encompassing highlights, low-lights, blockers, and upcoming initiatives.  The data and stories should collectively tell an accurate accounting of status and business challenges.  If </w:t>
      </w:r>
      <w:r>
        <w:lastRenderedPageBreak/>
        <w:t>the performance data suggests that two teams are not communicating, or worse, on conflicting paths, the senior leadership can intervene.</w:t>
      </w:r>
    </w:p>
    <w:p w14:paraId="6F4AB7D4" w14:textId="5CEE6A06" w:rsidR="000F7484" w:rsidRDefault="000F7484" w:rsidP="000F7484">
      <w:r>
        <w:tab/>
        <w:t>Measuring collaboration rates is essential, as it confirms the health of input variables, though customers only care about output results</w:t>
      </w:r>
      <w:sdt>
        <w:sdtPr>
          <w:id w:val="1955437621"/>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EndPr/>
        <w:sdtContent>
          <w:r>
            <w:fldChar w:fldCharType="begin"/>
          </w:r>
          <w:r>
            <w:instrText xml:space="preserve"> CITATION Mar16 \l 1033 </w:instrText>
          </w:r>
          <w:r>
            <w:fldChar w:fldCharType="separate"/>
          </w:r>
          <w:r>
            <w:rPr>
              <w:noProof/>
            </w:rPr>
            <w:t xml:space="preserve"> (Martinelli &amp; Dragan, 2016)</w:t>
          </w:r>
          <w:r>
            <w:fldChar w:fldCharType="end"/>
          </w:r>
        </w:sdtContent>
      </w:sdt>
      <w:r>
        <w:t xml:space="preserve">.  When a correlation between inputs and outputs does not occur, it signals </w:t>
      </w:r>
      <w:r w:rsidR="001D3958">
        <w:t>problems</w:t>
      </w:r>
      <w:r>
        <w:t xml:space="preserve"> with</w:t>
      </w:r>
      <w:r w:rsidR="001D3958">
        <w:t>in</w:t>
      </w:r>
      <w:r>
        <w:t xml:space="preserve"> the control framework.  This situation presents an opportunity for senior leadership to dive deep and examine any process issues.</w:t>
      </w:r>
    </w:p>
    <w:p w14:paraId="7D75C655" w14:textId="60C52B04" w:rsidR="00BF7B59" w:rsidRDefault="00BF7B59">
      <w:r>
        <w:br w:type="page"/>
      </w:r>
    </w:p>
    <w:sdt>
      <w:sdtPr>
        <w:rPr>
          <w:b w:val="0"/>
        </w:rPr>
        <w:id w:val="-5214720"/>
        <w:docPartObj>
          <w:docPartGallery w:val="Bibliographies"/>
          <w:docPartUnique/>
        </w:docPartObj>
      </w:sdtPr>
      <w:sdtEndPr/>
      <w:sdtContent>
        <w:p w14:paraId="46CAF736" w14:textId="5CE77E86" w:rsidR="00C46223" w:rsidRPr="00BF7B59" w:rsidRDefault="00C46223" w:rsidP="00BF7B59">
          <w:pPr>
            <w:pStyle w:val="Heading1"/>
            <w:rPr>
              <w:b w:val="0"/>
              <w:bCs/>
            </w:rPr>
          </w:pPr>
          <w:r w:rsidRPr="00BF7B59">
            <w:rPr>
              <w:b w:val="0"/>
              <w:bCs/>
            </w:rPr>
            <w:t>References</w:t>
          </w:r>
        </w:p>
        <w:sdt>
          <w:sdtPr>
            <w:id w:val="-573587230"/>
            <w:bibliography/>
          </w:sdtPr>
          <w:sdtEnd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BD36" w14:textId="77777777" w:rsidR="000B722C" w:rsidRDefault="000B722C" w:rsidP="0082223F">
      <w:pPr>
        <w:spacing w:line="240" w:lineRule="auto"/>
      </w:pPr>
      <w:r>
        <w:separator/>
      </w:r>
    </w:p>
  </w:endnote>
  <w:endnote w:type="continuationSeparator" w:id="0">
    <w:p w14:paraId="485079D0" w14:textId="77777777" w:rsidR="000B722C" w:rsidRDefault="000B722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386E" w14:textId="77777777" w:rsidR="000B722C" w:rsidRDefault="000B722C" w:rsidP="0082223F">
      <w:pPr>
        <w:spacing w:line="240" w:lineRule="auto"/>
      </w:pPr>
      <w:r>
        <w:separator/>
      </w:r>
    </w:p>
  </w:footnote>
  <w:footnote w:type="continuationSeparator" w:id="0">
    <w:p w14:paraId="53D83ED2" w14:textId="77777777" w:rsidR="000B722C" w:rsidRDefault="000B722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24580"/>
    <w:rsid w:val="00036708"/>
    <w:rsid w:val="00036F58"/>
    <w:rsid w:val="00066CF7"/>
    <w:rsid w:val="000B722C"/>
    <w:rsid w:val="000F7484"/>
    <w:rsid w:val="00103C56"/>
    <w:rsid w:val="00183597"/>
    <w:rsid w:val="001B27C4"/>
    <w:rsid w:val="001D3958"/>
    <w:rsid w:val="001F24BF"/>
    <w:rsid w:val="002516A9"/>
    <w:rsid w:val="002806B7"/>
    <w:rsid w:val="002F2E59"/>
    <w:rsid w:val="003F4714"/>
    <w:rsid w:val="00401D65"/>
    <w:rsid w:val="004223E8"/>
    <w:rsid w:val="00424108"/>
    <w:rsid w:val="004A784B"/>
    <w:rsid w:val="00545FFC"/>
    <w:rsid w:val="005A04C7"/>
    <w:rsid w:val="005B7079"/>
    <w:rsid w:val="005C39BA"/>
    <w:rsid w:val="006D793E"/>
    <w:rsid w:val="006F0E08"/>
    <w:rsid w:val="0073677D"/>
    <w:rsid w:val="00775A78"/>
    <w:rsid w:val="00783A61"/>
    <w:rsid w:val="007D6775"/>
    <w:rsid w:val="00821C0B"/>
    <w:rsid w:val="0082223F"/>
    <w:rsid w:val="00877007"/>
    <w:rsid w:val="008B2988"/>
    <w:rsid w:val="008B5129"/>
    <w:rsid w:val="008D0E1C"/>
    <w:rsid w:val="009A62E3"/>
    <w:rsid w:val="009A757D"/>
    <w:rsid w:val="009F0071"/>
    <w:rsid w:val="00A423F8"/>
    <w:rsid w:val="00A6092B"/>
    <w:rsid w:val="00B13ADF"/>
    <w:rsid w:val="00B635C0"/>
    <w:rsid w:val="00B83595"/>
    <w:rsid w:val="00B92378"/>
    <w:rsid w:val="00BE0A89"/>
    <w:rsid w:val="00BF7B59"/>
    <w:rsid w:val="00C46223"/>
    <w:rsid w:val="00C54DC8"/>
    <w:rsid w:val="00C73692"/>
    <w:rsid w:val="00C93BB7"/>
    <w:rsid w:val="00CB25E9"/>
    <w:rsid w:val="00D0165E"/>
    <w:rsid w:val="00D75C7B"/>
    <w:rsid w:val="00D85C7B"/>
    <w:rsid w:val="00DA79EC"/>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18</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2021-10-24T20:10:00Z</dcterms:modified>
</cp:coreProperties>
</file>