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F06A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C46242" w:rsidR="0082223F" w:rsidRDefault="0082223F" w:rsidP="0082223F">
      <w:pPr>
        <w:pStyle w:val="Title"/>
      </w:pPr>
      <w:r>
        <w:t xml:space="preserve">Week </w:t>
      </w:r>
      <w:r w:rsidR="00E54EE1">
        <w:t>7</w:t>
      </w:r>
      <w:r>
        <w:t xml:space="preserve">: </w:t>
      </w:r>
      <w:r w:rsidR="00E54EE1">
        <w:t>Design an IT Policy Implementation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019429D5" w:rsidR="00CB25E9" w:rsidRDefault="00E54EE1" w:rsidP="0082223F">
      <w:pPr>
        <w:jc w:val="center"/>
      </w:pPr>
      <w:r>
        <w:t>October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9DBE5A7" w:rsidR="0082223F" w:rsidRDefault="00E54EE1" w:rsidP="005B7079">
      <w:pPr>
        <w:pStyle w:val="Heading1"/>
      </w:pPr>
      <w:r>
        <w:lastRenderedPageBreak/>
        <w:t>Design an IT Policy Implementation Plan</w:t>
      </w:r>
    </w:p>
    <w:p w14:paraId="0A84CA85" w14:textId="3B8DFE88" w:rsidR="00E54EE1" w:rsidRDefault="00E54EE1" w:rsidP="00E54EE1">
      <w:pPr>
        <w:pStyle w:val="Heading2"/>
      </w:pPr>
      <w:r>
        <w:t>Executive Summary</w:t>
      </w:r>
    </w:p>
    <w:p w14:paraId="32A3EC86" w14:textId="5F8ABFEE" w:rsidR="00E54EE1" w:rsidRDefault="00E54EE1" w:rsidP="00E54EE1">
      <w:pPr>
        <w:ind w:firstLine="720"/>
      </w:pPr>
      <w:r>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w:t>
      </w:r>
      <w:r w:rsidR="00B635C0">
        <w:t>organization</w:t>
      </w:r>
      <w:r>
        <w:t xml:space="preserve"> to </w:t>
      </w:r>
      <w:r w:rsidR="00B635C0">
        <w:t>reach new markets and deliver customer value quickly</w:t>
      </w:r>
      <w:r>
        <w:t>, it also le</w:t>
      </w:r>
      <w:r w:rsidR="00B635C0">
        <w:t>ads</w:t>
      </w:r>
      <w:r>
        <w:t xml:space="preserve">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5D1AA41C" w14:textId="77777777" w:rsidR="00E54EE1" w:rsidRDefault="00E54EE1" w:rsidP="00E54EE1">
      <w:pPr>
        <w:pStyle w:val="Heading1"/>
      </w:pPr>
      <w:r>
        <w:t>Strategic Goals and Alignment</w:t>
      </w:r>
    </w:p>
    <w:p w14:paraId="6216BEBB" w14:textId="77777777" w:rsidR="00E54EE1" w:rsidRDefault="00E54EE1" w:rsidP="00E54EE1">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1D9FEFBE" w14:textId="77777777" w:rsidR="00E54EE1" w:rsidRDefault="00E54EE1" w:rsidP="00E54EE1">
      <w:r>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When team members understand the </w:t>
      </w:r>
      <w:r>
        <w:lastRenderedPageBreak/>
        <w:t>desired end-state, they can more efficiently plan and prioritize work.  It also removes design choices that would not align with business goals.</w:t>
      </w:r>
    </w:p>
    <w:p w14:paraId="1BBCFD67" w14:textId="77777777" w:rsidR="00E54EE1" w:rsidRDefault="00E54EE1" w:rsidP="00E54EE1">
      <w:pPr>
        <w:pStyle w:val="Heading2"/>
      </w:pPr>
      <w:r>
        <w:t>Establishing an IT Steering Committee</w:t>
      </w:r>
    </w:p>
    <w:p w14:paraId="3C5226CB" w14:textId="0EBE4E22" w:rsidR="00E54EE1" w:rsidRDefault="00E54EE1" w:rsidP="00E54EE1">
      <w:r w:rsidRPr="007441A0">
        <w:t xml:space="preserve"> </w:t>
      </w:r>
      <w:r>
        <w:tab/>
        <w:t xml:space="preserve">The senior leadership team must </w:t>
      </w:r>
      <w:r w:rsidR="000F7484">
        <w:t>establish</w:t>
      </w:r>
      <w:r>
        <w:t xml:space="preserv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w:t>
      </w:r>
      <w:r w:rsidR="00B635C0">
        <w:t>ed</w:t>
      </w:r>
      <w:r>
        <w:t xml:space="preserve">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An STL is a project owner who manages the goal’s lifecycle, </w:t>
      </w:r>
      <w:r w:rsidR="00C46223">
        <w:t>G</w:t>
      </w:r>
      <w:r>
        <w:t>overnance, and stakeholder communication.  This owner should not work on multiple goals in parallel, as it introduces project risk.</w:t>
      </w:r>
    </w:p>
    <w:p w14:paraId="36A71370" w14:textId="6677A442" w:rsidR="00E54EE1" w:rsidRDefault="00E54EE1" w:rsidP="00E54EE1">
      <w:pPr>
        <w:ind w:firstLine="720"/>
      </w:pPr>
      <w:r>
        <w:t>While the IT steering committee(s) establish patterns and practices, it would be unrealistic to assume complete uniformity.  For example, the savings and checking business unit runs on Windows and .NET versus the personal loan features are written in Perl.  Requiring that one group rewrites their implementation would be both challenging and a poor investment.  Instead, the committee must focus on interoperability and code portability through industry standard patterns.  For instance, each product should have an Application Programming Interface</w:t>
      </w:r>
      <w:r w:rsidR="00024580">
        <w:t xml:space="preserve"> (API</w:t>
      </w:r>
      <w:r>
        <w:t>) that supports RESTful methods (Representational State Transfer protocol).</w:t>
      </w:r>
      <w:r w:rsidR="000F7484">
        <w:t xml:space="preserve">  Those service contracts must support versioning and consistent performance objectives.</w:t>
      </w:r>
      <w:r w:rsidR="00B635C0">
        <w:t xml:space="preserve">  However, it is not a goal that those services implement a specific library or language construct.  Steering committees must focus on high-level guidance and architectural guard rails, not implementation nuance.  </w:t>
      </w:r>
    </w:p>
    <w:p w14:paraId="46D5D7DE" w14:textId="77777777" w:rsidR="00E54EE1" w:rsidRDefault="00E54EE1" w:rsidP="00E54EE1">
      <w:pPr>
        <w:pStyle w:val="Heading2"/>
      </w:pPr>
      <w:r>
        <w:t>Auditing IT Investments</w:t>
      </w:r>
    </w:p>
    <w:p w14:paraId="14C72D21" w14:textId="665EEB37" w:rsidR="00E54EE1" w:rsidRDefault="00E54EE1" w:rsidP="00E54EE1">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t>
      </w:r>
      <w:r>
        <w:lastRenderedPageBreak/>
        <w:t xml:space="preserve">widgets to address challenges and introduce new capabilities.  </w:t>
      </w:r>
      <w:r w:rsidR="00B635C0">
        <w:t>Though</w:t>
      </w:r>
      <w:r>
        <w:t xml:space="preserve">, these widgets can fall to the wayside as new paradigms appear.  For instance, most enterprise data centers have an Apache Hadoop cluster because the platform provides high-available and elasticity.  Managing </w:t>
      </w:r>
      <w:r w:rsidR="00B635C0">
        <w:t xml:space="preserve">those </w:t>
      </w:r>
      <w:r>
        <w:t>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1330628C" w14:textId="77777777" w:rsidR="00024580" w:rsidRDefault="00024580" w:rsidP="00024580">
      <w:pPr>
        <w:pStyle w:val="Heading2"/>
      </w:pPr>
      <w:r>
        <w:t>Impact of Developing Policies, Standards, and Procedures</w:t>
      </w:r>
    </w:p>
    <w:p w14:paraId="42413F6B" w14:textId="13E824A8" w:rsidR="00024580" w:rsidRDefault="00024580" w:rsidP="00024580">
      <w:r>
        <w:tab/>
        <w:t xml:space="preserve">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w:t>
      </w:r>
      <w:r>
        <w:t xml:space="preserve">a recent </w:t>
      </w:r>
      <w:r w:rsidR="00B635C0">
        <w:t>outage</w:t>
      </w:r>
      <w:r>
        <w:t xml:space="preserve"> with</w:t>
      </w:r>
      <w:r w:rsidR="00B635C0">
        <w:t>in</w:t>
      </w:r>
      <w:r>
        <w:t xml:space="preserve"> </w:t>
      </w:r>
      <w:r>
        <w:t xml:space="preserve">Identity Services </w:t>
      </w:r>
      <w:r>
        <w:t>highlights its criticality, making</w:t>
      </w:r>
      <w:r>
        <w:t xml:space="preserve"> it a candidate for targeted investments</w:t>
      </w:r>
      <w:r>
        <w:t>.  These changes could include</w:t>
      </w:r>
      <w:r>
        <w:t xml:space="preserve"> </w:t>
      </w:r>
      <w:r>
        <w:t xml:space="preserve">policies that </w:t>
      </w:r>
      <w:r>
        <w:t>reduc</w:t>
      </w:r>
      <w:r>
        <w:t>e</w:t>
      </w:r>
      <w:r>
        <w:t xml:space="preserve"> Domain controller </w:t>
      </w:r>
      <w:r>
        <w:t xml:space="preserve">utilization </w:t>
      </w:r>
      <w:r>
        <w:t xml:space="preserve">through data caching </w:t>
      </w:r>
      <w:r>
        <w:t>requirements</w:t>
      </w:r>
      <w:r>
        <w:t>.</w:t>
      </w:r>
    </w:p>
    <w:p w14:paraId="5C2ACC4D" w14:textId="785C80FD" w:rsidR="00024580" w:rsidRDefault="00024580" w:rsidP="00024580">
      <w:r>
        <w:tab/>
        <w:t xml:space="preserve">NCU-F must also devise plans for removing technical debt and implementing standards across the platform.  </w:t>
      </w:r>
      <w:r w:rsidR="000F7484">
        <w:t>S</w:t>
      </w:r>
      <w:r>
        <w:t xml:space="preserve">tandardization enables the company to </w:t>
      </w:r>
      <w:r w:rsidR="000F7484">
        <w:t>increase agility, deliver more, and</w:t>
      </w:r>
      <w:r>
        <w:t xml:space="preserve"> </w:t>
      </w:r>
      <w:r w:rsidR="000F7484">
        <w:t xml:space="preserve">experience </w:t>
      </w:r>
      <w:r>
        <w:t xml:space="preserve">greater consistency.  </w:t>
      </w:r>
      <w:r w:rsidR="00B635C0">
        <w:t>Still</w:t>
      </w:r>
      <w:r>
        <w:t>, the business must be cognizant of the current business cycle since paying down debt also implies fewer new features.  Without an adequate volume of improvements, the customers</w:t>
      </w:r>
      <w:r w:rsidR="000F7484">
        <w:t>’</w:t>
      </w:r>
      <w:r>
        <w:t xml:space="preserve"> experience becomes stale and fails to meet </w:t>
      </w:r>
      <w:r w:rsidR="000F7484">
        <w:t xml:space="preserve">their </w:t>
      </w:r>
      <w:r>
        <w:t>expectations.</w:t>
      </w:r>
    </w:p>
    <w:p w14:paraId="70EC9D68" w14:textId="7C98B70F" w:rsidR="00024580" w:rsidRDefault="00024580" w:rsidP="00024580">
      <w:r>
        <w:tab/>
      </w:r>
      <w:r>
        <w:t>Furthermore</w:t>
      </w:r>
      <w:r>
        <w:t xml:space="preserve">, formalizing organizational procedures such as disaster recovery and incident management will pay dividends later.  For instance, the initial release of the trading platform stores customer data across eight different storage technologies.  This approach </w:t>
      </w:r>
      <w:r>
        <w:lastRenderedPageBreak/>
        <w:t xml:space="preserve">decouples the implementation between microsystems and promotes engineering efficiency.  </w:t>
      </w:r>
      <w:r w:rsidR="00B635C0">
        <w:t>Nevertheless</w:t>
      </w:r>
      <w:r>
        <w:t>, end-users do not care.  Instead, they want a consistent system state that withstands an individual server or partition failure.</w:t>
      </w:r>
    </w:p>
    <w:p w14:paraId="6B52A897" w14:textId="1E9E2890" w:rsidR="00E54EE1" w:rsidRDefault="00E54EE1" w:rsidP="00E54EE1">
      <w:pPr>
        <w:pStyle w:val="Heading1"/>
      </w:pPr>
      <w:r>
        <w:t>Milestones, Benchmarks, and Deliverables</w:t>
      </w:r>
    </w:p>
    <w:p w14:paraId="340C1C7A" w14:textId="2B8FB2BA" w:rsidR="00024580" w:rsidRDefault="00024580" w:rsidP="00024580">
      <w:pPr>
        <w:ind w:firstLine="720"/>
      </w:pPr>
      <w:r>
        <w:t>The task force is responsible for establishing the Technical Communities, overseeing initial staffing, and reviewing abstract community decisions (see Table 1)</w:t>
      </w:r>
      <w:r>
        <w:t xml:space="preserve">. </w:t>
      </w:r>
      <w:r w:rsidR="00B635C0">
        <w:t xml:space="preserve"> </w:t>
      </w:r>
      <w:r>
        <w:t>Each community consists of subject matter experts that own a cross-cutting concern (e.g., networking or security).</w:t>
      </w:r>
    </w:p>
    <w:p w14:paraId="6870F941" w14:textId="7FBE822A" w:rsidR="00024580" w:rsidRDefault="00024580" w:rsidP="00024580">
      <w:pPr>
        <w:pStyle w:val="Caption"/>
      </w:pPr>
      <w:r>
        <w:t xml:space="preserve">Table 1: Projected </w:t>
      </w:r>
      <w:r w:rsidR="00DA79EC">
        <w:t xml:space="preserve">Individual </w:t>
      </w:r>
      <w:r>
        <w:t>Timeline</w:t>
      </w:r>
    </w:p>
    <w:tbl>
      <w:tblPr>
        <w:tblStyle w:val="GridTable4"/>
        <w:tblW w:w="0" w:type="auto"/>
        <w:tblLook w:val="04A0" w:firstRow="1" w:lastRow="0" w:firstColumn="1" w:lastColumn="0" w:noHBand="0" w:noVBand="1"/>
      </w:tblPr>
      <w:tblGrid>
        <w:gridCol w:w="3325"/>
        <w:gridCol w:w="1350"/>
        <w:gridCol w:w="4675"/>
      </w:tblGrid>
      <w:tr w:rsidR="00024580" w14:paraId="36001C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AD42FF" w14:textId="77777777" w:rsidR="00024580" w:rsidRDefault="00024580" w:rsidP="009036C7">
            <w:r>
              <w:t>Milestone</w:t>
            </w:r>
          </w:p>
        </w:tc>
        <w:tc>
          <w:tcPr>
            <w:tcW w:w="1350" w:type="dxa"/>
          </w:tcPr>
          <w:p w14:paraId="44EFFFD6"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46368E5B"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Core Deliverable / Objective</w:t>
            </w:r>
          </w:p>
        </w:tc>
      </w:tr>
      <w:tr w:rsidR="00024580" w14:paraId="53A6983A"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464331" w14:textId="77777777" w:rsidR="00024580" w:rsidRDefault="00024580" w:rsidP="009036C7">
            <w:r>
              <w:t>Identify the technical Communities</w:t>
            </w:r>
          </w:p>
        </w:tc>
        <w:tc>
          <w:tcPr>
            <w:tcW w:w="1350" w:type="dxa"/>
          </w:tcPr>
          <w:p w14:paraId="4B8C7BE7"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677A233C"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024580" w14:paraId="2CFE0601"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392AC455" w14:textId="77777777" w:rsidR="00024580" w:rsidRDefault="00024580" w:rsidP="009036C7">
            <w:r>
              <w:t>Staff the Communities</w:t>
            </w:r>
          </w:p>
        </w:tc>
        <w:tc>
          <w:tcPr>
            <w:tcW w:w="1350" w:type="dxa"/>
          </w:tcPr>
          <w:p w14:paraId="38BAD3D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725E76B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024580" w14:paraId="178E3743"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392A02" w14:textId="77777777" w:rsidR="00024580" w:rsidRDefault="00024580" w:rsidP="009036C7">
            <w:r>
              <w:t>Assess Community State (Forming)</w:t>
            </w:r>
          </w:p>
        </w:tc>
        <w:tc>
          <w:tcPr>
            <w:tcW w:w="1350" w:type="dxa"/>
          </w:tcPr>
          <w:p w14:paraId="340D59CE"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7F3B0DD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024580" w14:paraId="4E752FFA"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45EAD67D" w14:textId="77777777" w:rsidR="00024580" w:rsidRDefault="00024580" w:rsidP="009036C7">
            <w:r>
              <w:t>Implement Changes (Storming)</w:t>
            </w:r>
          </w:p>
        </w:tc>
        <w:tc>
          <w:tcPr>
            <w:tcW w:w="1350" w:type="dxa"/>
          </w:tcPr>
          <w:p w14:paraId="5D334862"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136CC2AD"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024580" w14:paraId="02F95E9B"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BE6E74" w14:textId="77777777" w:rsidR="00024580" w:rsidRDefault="00024580" w:rsidP="009036C7">
            <w:r>
              <w:t>Enter Maintenance Mode (Norming)</w:t>
            </w:r>
          </w:p>
        </w:tc>
        <w:tc>
          <w:tcPr>
            <w:tcW w:w="1350" w:type="dxa"/>
          </w:tcPr>
          <w:p w14:paraId="24A0097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2A9721D3"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p w14:paraId="3486D7A8" w14:textId="77777777" w:rsidR="00024580" w:rsidRPr="00024580" w:rsidRDefault="00024580" w:rsidP="00024580"/>
    <w:p w14:paraId="66DAB906" w14:textId="3219295A" w:rsidR="00E54EE1" w:rsidRDefault="00E54EE1" w:rsidP="00024580">
      <w:pPr>
        <w:ind w:firstLine="720"/>
      </w:pPr>
      <w:r>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r w:rsidR="000F7484">
        <w:t xml:space="preserve">  S</w:t>
      </w:r>
      <w:r w:rsidR="00024580">
        <w:t xml:space="preserve">econd, </w:t>
      </w:r>
      <w:r w:rsidR="000F7484">
        <w:t xml:space="preserve">it </w:t>
      </w:r>
      <w:r>
        <w:t xml:space="preserve">also seeks to balance consistency with business unit agility.  When organizations </w:t>
      </w:r>
      <w:r w:rsidR="000F7484">
        <w:t xml:space="preserve">position their technology before the products and services, it prevents resources from delivering on the </w:t>
      </w:r>
      <w:r w:rsidR="000F7484">
        <w:lastRenderedPageBreak/>
        <w:t>corporate mission and delighting c</w:t>
      </w:r>
      <w:r>
        <w:t>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r w:rsidR="000F7484">
        <w:t xml:space="preserve">  </w:t>
      </w:r>
      <w:r w:rsidR="00024580">
        <w:t>Third</w:t>
      </w:r>
      <w:r>
        <w:t>,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08EB8442" w14:textId="656EABA2" w:rsidR="00024580" w:rsidRDefault="00024580" w:rsidP="00024580">
      <w:pPr>
        <w:ind w:firstLine="720"/>
      </w:pPr>
      <w:r>
        <w:t xml:space="preserve">These requirements and constraints will cause different communities to modernize at varying rates.  For example, the business currently maintains over a dozen web frameworks utilizing multiple conflicting patterns.  Resolving these challenges will </w:t>
      </w:r>
      <w:r w:rsidR="000F7484">
        <w:t xml:space="preserve">require a longer </w:t>
      </w:r>
      <w:r w:rsidRPr="00024580">
        <w:rPr>
          <w:i/>
          <w:iCs/>
        </w:rPr>
        <w:t>storming</w:t>
      </w:r>
      <w:r>
        <w:t xml:space="preserve"> </w:t>
      </w:r>
      <w:r w:rsidR="000F7484">
        <w:t xml:space="preserve">duration </w:t>
      </w:r>
      <w:r>
        <w:t>before the group transition</w:t>
      </w:r>
      <w:r w:rsidR="00B635C0">
        <w:t>s</w:t>
      </w:r>
      <w:r>
        <w:t xml:space="preserve"> into the </w:t>
      </w:r>
      <w:r w:rsidRPr="00024580">
        <w:rPr>
          <w:i/>
          <w:iCs/>
        </w:rPr>
        <w:t>norming</w:t>
      </w:r>
      <w:r>
        <w:t xml:space="preserve"> phase.  The organization can accelerate these timelines by increasing investments or permitting lower policy maturity levels.</w:t>
      </w:r>
      <w:r w:rsidR="000F7484">
        <w:t xml:space="preserve">  During this period, program managers must communicate progress and escalate challenges.  Executive sponsors of the technical community own the reporting cadence, format, and desired metrics.</w:t>
      </w:r>
    </w:p>
    <w:p w14:paraId="197C5932" w14:textId="640D6ACC" w:rsidR="00E54EE1" w:rsidRDefault="00E54EE1" w:rsidP="00E54EE1">
      <w:pPr>
        <w:pStyle w:val="Heading1"/>
      </w:pPr>
      <w:r>
        <w:t>Control Framework</w:t>
      </w:r>
    </w:p>
    <w:p w14:paraId="28E9DE93" w14:textId="77777777" w:rsidR="00E54EE1" w:rsidRDefault="00E54EE1" w:rsidP="00E54EE1">
      <w:pPr>
        <w:ind w:firstLine="720"/>
      </w:pPr>
      <w:r>
        <w:t>Next, the organization must adopt a policy control framework.  Leaders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  However, using only engineering-centric frameworks is potentially too narrow.  Many projects span different teams, role families, and organizations (e.g., vendors, consultants, and partners).  NCU-F must address these issues and limitations by formally declaring its project artifacts like charters, mandates, and roadmaps</w:t>
      </w:r>
      <w:sdt>
        <w:sdtPr>
          <w:id w:val="-390578217"/>
          <w:citation/>
        </w:sdtPr>
        <w:sdtContent>
          <w:r>
            <w:fldChar w:fldCharType="begin"/>
          </w:r>
          <w:r>
            <w:instrText xml:space="preserve"> CITATION Bon17 \l 1033 </w:instrText>
          </w:r>
          <w:r>
            <w:fldChar w:fldCharType="separate"/>
          </w:r>
          <w:r>
            <w:rPr>
              <w:noProof/>
            </w:rPr>
            <w:t xml:space="preserve"> (Bonnal &amp; Rauser, 2017)</w:t>
          </w:r>
          <w:r>
            <w:fldChar w:fldCharType="end"/>
          </w:r>
        </w:sdtContent>
      </w:sdt>
      <w:r>
        <w:t xml:space="preserve">.  When documents explicitly declare universal agreements across the </w:t>
      </w:r>
      <w:r>
        <w:lastRenderedPageBreak/>
        <w:t>direction and appropriate guardrails, it unifies team communication.  Business professionals can then efficiently map the guiding decisions to their role and team-specific operating models.</w:t>
      </w:r>
    </w:p>
    <w:p w14:paraId="2F0C8478" w14:textId="77777777" w:rsidR="00E54EE1" w:rsidRDefault="00E54EE1" w:rsidP="00E54EE1">
      <w:pPr>
        <w:pStyle w:val="Heading2"/>
      </w:pPr>
      <w:r>
        <w:t>Naming Standards</w:t>
      </w:r>
    </w:p>
    <w:p w14:paraId="3398349A" w14:textId="5677C783" w:rsidR="00E54EE1" w:rsidRDefault="00E54EE1" w:rsidP="00E54EE1">
      <w:r>
        <w:tab/>
        <w:t xml:space="preserve">Enterprise organizations like NCU-F </w:t>
      </w:r>
      <w:r w:rsidR="000F7484">
        <w:t>manage</w:t>
      </w:r>
      <w:r>
        <w:t xml:space="preserve"> hundreds of thousands to millions of resources.  Historically, individual business units set naming schemas and deferred enforcement to their operations teams.  This strategy enables more autonomy and flexibility in exchange for less organizational consistency.  However, it is challenging to discover, monitor, and react to operational issues without naming conventions and standards.  For example, central alert</w:t>
      </w:r>
      <w:r w:rsidR="009F0071">
        <w:t>ing</w:t>
      </w:r>
      <w:r>
        <w:t xml:space="preserve"> rules must explicitly support the various permutations, manifesting complexity throughout the systems management lifecycle.</w:t>
      </w:r>
    </w:p>
    <w:p w14:paraId="7126B84E" w14:textId="77777777" w:rsidR="00E54EE1" w:rsidRDefault="00E54EE1" w:rsidP="00E54EE1">
      <w:pPr>
        <w:pStyle w:val="Heading2"/>
      </w:pPr>
      <w:r>
        <w:t>Rejected Solutions</w:t>
      </w:r>
    </w:p>
    <w:p w14:paraId="757989A9" w14:textId="053AB7E6" w:rsidR="00E54EE1" w:rsidRDefault="00E54EE1" w:rsidP="00E54EE1">
      <w:pPr>
        <w:ind w:firstLine="720"/>
      </w:pPr>
      <w:r>
        <w:t xml:space="preserve">Nevertheless, renaming every object is prohibitively expensive.  The </w:t>
      </w:r>
      <w:r w:rsidR="009F0071">
        <w:t>enterprise</w:t>
      </w:r>
      <w:r>
        <w:t xml:space="preserve"> could embark upon prolonged migration that seeks to 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52A30604" w14:textId="77777777" w:rsidR="00E54EE1" w:rsidRDefault="00E54EE1" w:rsidP="00E54EE1">
      <w:pPr>
        <w:pStyle w:val="Heading2"/>
      </w:pPr>
      <w:r>
        <w:t>Accepted Solution</w:t>
      </w:r>
    </w:p>
    <w:p w14:paraId="532A9767" w14:textId="77777777" w:rsidR="00E54EE1" w:rsidRDefault="00E54EE1" w:rsidP="00E54EE1">
      <w:pPr>
        <w:ind w:firstLine="720"/>
      </w:pPr>
      <w:r>
        <w:t xml:space="preserve">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t>
      </w:r>
      <w:r>
        <w:lastRenderedPageBreak/>
        <w:t>willing to accept the technical debt.  This decision pushes the organization toward standardizing the metadata associated with the various resources</w:t>
      </w:r>
      <w:sdt>
        <w:sdtPr>
          <w:id w:val="-1236312149"/>
          <w:citation/>
        </w:sdtPr>
        <w:sdtContent>
          <w:r>
            <w:fldChar w:fldCharType="begin"/>
          </w:r>
          <w:r>
            <w:instrText xml:space="preserve"> CITATION Har19 \l 1033 </w:instrText>
          </w:r>
          <w:r>
            <w:fldChar w:fldCharType="separate"/>
          </w:r>
          <w:r>
            <w:rPr>
              <w:noProof/>
            </w:rPr>
            <w:t xml:space="preserve"> (Harper, 2019)</w:t>
          </w:r>
          <w:r>
            <w:fldChar w:fldCharType="end"/>
          </w:r>
        </w:sdtContent>
      </w:sdt>
      <w:r>
        <w:t>.  That metadata can reside within Enterprise Resource Management Systems (ERMS), which meets the discovery and monitoring requirements.  Additionally, third-party tools exist for bulk importing resources and enabling version control capabilities.</w:t>
      </w:r>
    </w:p>
    <w:p w14:paraId="23FF1CFE" w14:textId="77777777" w:rsidR="00E54EE1" w:rsidRDefault="00E54EE1" w:rsidP="00E54EE1">
      <w:pPr>
        <w:pStyle w:val="Heading2"/>
      </w:pPr>
      <w:r>
        <w:t>Resource Hierarchy</w:t>
      </w:r>
    </w:p>
    <w:p w14:paraId="0D07F632" w14:textId="05970D79" w:rsidR="00E54EE1" w:rsidRDefault="00E54EE1" w:rsidP="00E54EE1">
      <w:r>
        <w:tab/>
        <w:t xml:space="preserve">NCU-F requires business units to record their resources within the central ERMS database.  The database utilizes a hierarchical structure with strict rules where resource definitions can reside (Table </w:t>
      </w:r>
      <w:r w:rsidR="00A6092B">
        <w:t>2</w:t>
      </w:r>
      <w:r>
        <w:t xml:space="preserve">).  For instance, all routers exist under the namespace /devices/routers, and all workstations follow the format /domain policies/workstations.  </w:t>
      </w:r>
    </w:p>
    <w:p w14:paraId="057C9F4E" w14:textId="6543DBA7" w:rsidR="00E54EE1" w:rsidRDefault="00E54EE1" w:rsidP="00E54EE1">
      <w:pPr>
        <w:pStyle w:val="Caption"/>
      </w:pPr>
      <w:r>
        <w:t xml:space="preserve">Table </w:t>
      </w:r>
      <w:r w:rsidR="00A6092B">
        <w:t>2</w:t>
      </w:r>
      <w:r>
        <w:t>: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E54EE1" w:rsidRPr="00D05AB5" w14:paraId="48A063B6" w14:textId="77777777" w:rsidTr="009036C7">
        <w:trPr>
          <w:trHeight w:val="335"/>
        </w:trPr>
        <w:tc>
          <w:tcPr>
            <w:tcW w:w="3262" w:type="dxa"/>
            <w:shd w:val="clear" w:color="auto" w:fill="auto"/>
            <w:noWrap/>
            <w:vAlign w:val="bottom"/>
            <w:hideMark/>
          </w:tcPr>
          <w:p w14:paraId="18F81D39"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0185DBCB"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074DA42F"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E54EE1" w:rsidRPr="00D05AB5" w14:paraId="1BD46262" w14:textId="77777777" w:rsidTr="009036C7">
        <w:trPr>
          <w:trHeight w:val="335"/>
        </w:trPr>
        <w:tc>
          <w:tcPr>
            <w:tcW w:w="3262" w:type="dxa"/>
            <w:vMerge w:val="restart"/>
            <w:shd w:val="clear" w:color="auto" w:fill="auto"/>
            <w:noWrap/>
            <w:vAlign w:val="center"/>
            <w:hideMark/>
          </w:tcPr>
          <w:p w14:paraId="4C1E0A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37906BBB"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3A81ACF1"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E54EE1" w:rsidRPr="00D05AB5" w14:paraId="7114C693" w14:textId="77777777" w:rsidTr="009036C7">
        <w:trPr>
          <w:trHeight w:val="335"/>
        </w:trPr>
        <w:tc>
          <w:tcPr>
            <w:tcW w:w="3262" w:type="dxa"/>
            <w:vMerge/>
            <w:vAlign w:val="center"/>
            <w:hideMark/>
          </w:tcPr>
          <w:p w14:paraId="3DCF125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C00153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A3A7E87"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3DAE5C1A" w14:textId="77777777" w:rsidTr="009036C7">
        <w:trPr>
          <w:trHeight w:val="335"/>
        </w:trPr>
        <w:tc>
          <w:tcPr>
            <w:tcW w:w="3262" w:type="dxa"/>
            <w:vMerge/>
            <w:vAlign w:val="center"/>
            <w:hideMark/>
          </w:tcPr>
          <w:p w14:paraId="4512E4D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0E12A0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59160AEF"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44C28886" w14:textId="77777777" w:rsidTr="009036C7">
        <w:trPr>
          <w:trHeight w:val="335"/>
        </w:trPr>
        <w:tc>
          <w:tcPr>
            <w:tcW w:w="3262" w:type="dxa"/>
            <w:vMerge w:val="restart"/>
            <w:shd w:val="clear" w:color="auto" w:fill="auto"/>
            <w:noWrap/>
            <w:vAlign w:val="center"/>
            <w:hideMark/>
          </w:tcPr>
          <w:p w14:paraId="6510184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357F420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6E155DF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E54EE1" w:rsidRPr="00D05AB5" w14:paraId="04300F27" w14:textId="77777777" w:rsidTr="009036C7">
        <w:trPr>
          <w:trHeight w:val="335"/>
        </w:trPr>
        <w:tc>
          <w:tcPr>
            <w:tcW w:w="3262" w:type="dxa"/>
            <w:vMerge/>
            <w:vAlign w:val="center"/>
            <w:hideMark/>
          </w:tcPr>
          <w:p w14:paraId="75FC54B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C4B011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475BF1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E54EE1" w:rsidRPr="00D05AB5" w14:paraId="03CB7859" w14:textId="77777777" w:rsidTr="009036C7">
        <w:trPr>
          <w:trHeight w:val="335"/>
        </w:trPr>
        <w:tc>
          <w:tcPr>
            <w:tcW w:w="3262" w:type="dxa"/>
            <w:vMerge/>
            <w:vAlign w:val="center"/>
            <w:hideMark/>
          </w:tcPr>
          <w:p w14:paraId="42C1F71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26307EA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2D78867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E54EE1" w:rsidRPr="00D05AB5" w14:paraId="53BFC2B5" w14:textId="77777777" w:rsidTr="009036C7">
        <w:trPr>
          <w:trHeight w:val="335"/>
        </w:trPr>
        <w:tc>
          <w:tcPr>
            <w:tcW w:w="3262" w:type="dxa"/>
            <w:vMerge/>
            <w:vAlign w:val="center"/>
            <w:hideMark/>
          </w:tcPr>
          <w:p w14:paraId="2FD49E2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AC37A3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83426C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E54EE1" w:rsidRPr="00D05AB5" w14:paraId="14D31B1A" w14:textId="77777777" w:rsidTr="009036C7">
        <w:trPr>
          <w:trHeight w:val="335"/>
        </w:trPr>
        <w:tc>
          <w:tcPr>
            <w:tcW w:w="3262" w:type="dxa"/>
            <w:vMerge w:val="restart"/>
            <w:shd w:val="clear" w:color="auto" w:fill="auto"/>
            <w:noWrap/>
            <w:vAlign w:val="center"/>
            <w:hideMark/>
          </w:tcPr>
          <w:p w14:paraId="7E9D78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7A28F73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10A13D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E54EE1" w:rsidRPr="00D05AB5" w14:paraId="6BA80400" w14:textId="77777777" w:rsidTr="009036C7">
        <w:trPr>
          <w:trHeight w:val="335"/>
        </w:trPr>
        <w:tc>
          <w:tcPr>
            <w:tcW w:w="3262" w:type="dxa"/>
            <w:vMerge/>
            <w:vAlign w:val="center"/>
            <w:hideMark/>
          </w:tcPr>
          <w:p w14:paraId="01C37D4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43A9D5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572440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E54EE1" w:rsidRPr="00D05AB5" w14:paraId="7FA5BB05" w14:textId="77777777" w:rsidTr="009036C7">
        <w:trPr>
          <w:trHeight w:val="335"/>
        </w:trPr>
        <w:tc>
          <w:tcPr>
            <w:tcW w:w="3262" w:type="dxa"/>
            <w:vMerge/>
            <w:vAlign w:val="center"/>
            <w:hideMark/>
          </w:tcPr>
          <w:p w14:paraId="27AE56D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645F35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494E86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E54EE1" w:rsidRPr="00D05AB5" w14:paraId="6A2FB7F8" w14:textId="77777777" w:rsidTr="009036C7">
        <w:trPr>
          <w:trHeight w:val="335"/>
        </w:trPr>
        <w:tc>
          <w:tcPr>
            <w:tcW w:w="3262" w:type="dxa"/>
            <w:vMerge/>
            <w:vAlign w:val="center"/>
            <w:hideMark/>
          </w:tcPr>
          <w:p w14:paraId="1404A0B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0961D3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9EAA7AE"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E54EE1" w:rsidRPr="00D05AB5" w14:paraId="3F230F81" w14:textId="77777777" w:rsidTr="009036C7">
        <w:trPr>
          <w:trHeight w:val="335"/>
        </w:trPr>
        <w:tc>
          <w:tcPr>
            <w:tcW w:w="3262" w:type="dxa"/>
            <w:vMerge/>
            <w:vAlign w:val="center"/>
            <w:hideMark/>
          </w:tcPr>
          <w:p w14:paraId="43B1854D"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C53BD8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0399D23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E54EE1" w:rsidRPr="00D05AB5" w14:paraId="585FC279" w14:textId="77777777" w:rsidTr="009036C7">
        <w:trPr>
          <w:trHeight w:val="335"/>
        </w:trPr>
        <w:tc>
          <w:tcPr>
            <w:tcW w:w="3262" w:type="dxa"/>
            <w:vMerge/>
            <w:vAlign w:val="center"/>
            <w:hideMark/>
          </w:tcPr>
          <w:p w14:paraId="3F169B2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14C3350"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3596AB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E54EE1" w:rsidRPr="00D05AB5" w14:paraId="2E6118BC" w14:textId="77777777" w:rsidTr="009036C7">
        <w:trPr>
          <w:trHeight w:val="335"/>
        </w:trPr>
        <w:tc>
          <w:tcPr>
            <w:tcW w:w="3262" w:type="dxa"/>
            <w:vMerge/>
            <w:vAlign w:val="center"/>
            <w:hideMark/>
          </w:tcPr>
          <w:p w14:paraId="6CB48D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5A71B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56E1C57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E54EE1" w:rsidRPr="00D05AB5" w14:paraId="41E72EAC" w14:textId="77777777" w:rsidTr="009036C7">
        <w:trPr>
          <w:trHeight w:val="335"/>
        </w:trPr>
        <w:tc>
          <w:tcPr>
            <w:tcW w:w="3262" w:type="dxa"/>
            <w:vMerge w:val="restart"/>
            <w:shd w:val="clear" w:color="auto" w:fill="auto"/>
            <w:noWrap/>
            <w:vAlign w:val="center"/>
            <w:hideMark/>
          </w:tcPr>
          <w:p w14:paraId="5DFEA81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0D83FC6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B77118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E54EE1" w:rsidRPr="00D05AB5" w14:paraId="2501FBF6" w14:textId="77777777" w:rsidTr="009036C7">
        <w:trPr>
          <w:trHeight w:val="335"/>
        </w:trPr>
        <w:tc>
          <w:tcPr>
            <w:tcW w:w="3262" w:type="dxa"/>
            <w:vMerge/>
            <w:vAlign w:val="center"/>
            <w:hideMark/>
          </w:tcPr>
          <w:p w14:paraId="5CF647C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F2CD8E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268A5C4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E54EE1" w:rsidRPr="00D05AB5" w14:paraId="1808AB81" w14:textId="77777777" w:rsidTr="009036C7">
        <w:trPr>
          <w:trHeight w:val="335"/>
        </w:trPr>
        <w:tc>
          <w:tcPr>
            <w:tcW w:w="3262" w:type="dxa"/>
            <w:vMerge/>
            <w:vAlign w:val="center"/>
            <w:hideMark/>
          </w:tcPr>
          <w:p w14:paraId="582BD7B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0089E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B69897" w14:textId="77777777" w:rsidR="00E54EE1" w:rsidRPr="00D05AB5" w:rsidRDefault="00E54EE1" w:rsidP="009036C7">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E54EE1" w:rsidRPr="00D05AB5" w14:paraId="22430C99" w14:textId="77777777" w:rsidTr="009036C7">
        <w:trPr>
          <w:trHeight w:val="335"/>
        </w:trPr>
        <w:tc>
          <w:tcPr>
            <w:tcW w:w="3262" w:type="dxa"/>
            <w:vMerge w:val="restart"/>
            <w:shd w:val="clear" w:color="auto" w:fill="auto"/>
            <w:noWrap/>
            <w:vAlign w:val="center"/>
            <w:hideMark/>
          </w:tcPr>
          <w:p w14:paraId="1FA834C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12FC8F2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7E0BB5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E54EE1" w:rsidRPr="00D05AB5" w14:paraId="70A1857B" w14:textId="77777777" w:rsidTr="009036C7">
        <w:trPr>
          <w:trHeight w:val="335"/>
        </w:trPr>
        <w:tc>
          <w:tcPr>
            <w:tcW w:w="3262" w:type="dxa"/>
            <w:vMerge/>
            <w:vAlign w:val="center"/>
            <w:hideMark/>
          </w:tcPr>
          <w:p w14:paraId="014704D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C91ECA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531554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E54EE1" w:rsidRPr="00D05AB5" w14:paraId="6896727C" w14:textId="77777777" w:rsidTr="009036C7">
        <w:trPr>
          <w:trHeight w:val="335"/>
        </w:trPr>
        <w:tc>
          <w:tcPr>
            <w:tcW w:w="3262" w:type="dxa"/>
            <w:vMerge/>
            <w:vAlign w:val="center"/>
            <w:hideMark/>
          </w:tcPr>
          <w:p w14:paraId="7F8AAB7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5E0EC7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DD65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E54EE1" w:rsidRPr="00D05AB5" w14:paraId="48E4895C" w14:textId="77777777" w:rsidTr="009036C7">
        <w:trPr>
          <w:trHeight w:val="335"/>
        </w:trPr>
        <w:tc>
          <w:tcPr>
            <w:tcW w:w="3262" w:type="dxa"/>
            <w:vMerge/>
            <w:vAlign w:val="center"/>
            <w:hideMark/>
          </w:tcPr>
          <w:p w14:paraId="6EB2EE2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67A96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60DAE73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423A7801" w14:textId="77777777" w:rsidTr="009036C7">
        <w:trPr>
          <w:trHeight w:val="335"/>
        </w:trPr>
        <w:tc>
          <w:tcPr>
            <w:tcW w:w="3262" w:type="dxa"/>
            <w:vMerge/>
            <w:vAlign w:val="center"/>
            <w:hideMark/>
          </w:tcPr>
          <w:p w14:paraId="0276759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58A4CF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5B8810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1B683AB4" w14:textId="77777777" w:rsidTr="009036C7">
        <w:trPr>
          <w:trHeight w:val="335"/>
        </w:trPr>
        <w:tc>
          <w:tcPr>
            <w:tcW w:w="3262" w:type="dxa"/>
            <w:vMerge/>
            <w:vAlign w:val="center"/>
            <w:hideMark/>
          </w:tcPr>
          <w:p w14:paraId="581A9A7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FA410B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2420DA6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02ECF95E" w14:textId="77777777" w:rsidTr="009036C7">
        <w:trPr>
          <w:trHeight w:val="335"/>
        </w:trPr>
        <w:tc>
          <w:tcPr>
            <w:tcW w:w="3262" w:type="dxa"/>
            <w:vMerge/>
            <w:vAlign w:val="center"/>
            <w:hideMark/>
          </w:tcPr>
          <w:p w14:paraId="08A0BA3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914E45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188A9F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7CACEED4" w14:textId="77777777" w:rsidTr="009036C7">
        <w:trPr>
          <w:trHeight w:val="335"/>
        </w:trPr>
        <w:tc>
          <w:tcPr>
            <w:tcW w:w="3262" w:type="dxa"/>
            <w:vMerge w:val="restart"/>
            <w:shd w:val="clear" w:color="auto" w:fill="auto"/>
            <w:noWrap/>
            <w:vAlign w:val="center"/>
            <w:hideMark/>
          </w:tcPr>
          <w:p w14:paraId="58274B1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6777C5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60E9995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E54EE1" w:rsidRPr="00D05AB5" w14:paraId="0A169091" w14:textId="77777777" w:rsidTr="009036C7">
        <w:trPr>
          <w:trHeight w:val="335"/>
        </w:trPr>
        <w:tc>
          <w:tcPr>
            <w:tcW w:w="3262" w:type="dxa"/>
            <w:vMerge/>
            <w:vAlign w:val="center"/>
            <w:hideMark/>
          </w:tcPr>
          <w:p w14:paraId="115332C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3FCED3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7C9F65F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6094CD33" w14:textId="77777777" w:rsidTr="009036C7">
        <w:trPr>
          <w:trHeight w:val="335"/>
        </w:trPr>
        <w:tc>
          <w:tcPr>
            <w:tcW w:w="3262" w:type="dxa"/>
            <w:vMerge/>
            <w:vAlign w:val="center"/>
            <w:hideMark/>
          </w:tcPr>
          <w:p w14:paraId="1EB4BF3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717EE0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C136E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12CD4488" w14:textId="77777777" w:rsidTr="009036C7">
        <w:trPr>
          <w:trHeight w:val="335"/>
        </w:trPr>
        <w:tc>
          <w:tcPr>
            <w:tcW w:w="3262" w:type="dxa"/>
            <w:vMerge/>
            <w:vAlign w:val="center"/>
            <w:hideMark/>
          </w:tcPr>
          <w:p w14:paraId="479104B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16E4BC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1F5ECC3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E54EE1" w:rsidRPr="00D05AB5" w14:paraId="6310B681" w14:textId="77777777" w:rsidTr="009036C7">
        <w:trPr>
          <w:trHeight w:val="335"/>
        </w:trPr>
        <w:tc>
          <w:tcPr>
            <w:tcW w:w="3262" w:type="dxa"/>
            <w:vMerge/>
            <w:vAlign w:val="center"/>
            <w:hideMark/>
          </w:tcPr>
          <w:p w14:paraId="67CAD41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B38845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23B2BE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19ACDFFC" w14:textId="77777777" w:rsidTr="009036C7">
        <w:trPr>
          <w:trHeight w:val="335"/>
        </w:trPr>
        <w:tc>
          <w:tcPr>
            <w:tcW w:w="3262" w:type="dxa"/>
            <w:vMerge/>
            <w:vAlign w:val="center"/>
            <w:hideMark/>
          </w:tcPr>
          <w:p w14:paraId="13364E8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6E63F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6FD979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66883A53" w14:textId="77777777" w:rsidTr="009036C7">
        <w:trPr>
          <w:trHeight w:val="335"/>
        </w:trPr>
        <w:tc>
          <w:tcPr>
            <w:tcW w:w="3262" w:type="dxa"/>
            <w:vMerge/>
            <w:vAlign w:val="center"/>
            <w:hideMark/>
          </w:tcPr>
          <w:p w14:paraId="18198A8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6E36D6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7DE8C98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5A600A27" w14:textId="77777777" w:rsidR="000F7484" w:rsidRDefault="000F7484" w:rsidP="000F7484"/>
    <w:p w14:paraId="13326CC7" w14:textId="7B7BE07D" w:rsidR="00E54EE1" w:rsidRDefault="00E54EE1" w:rsidP="00E54EE1">
      <w:pPr>
        <w:pStyle w:val="Heading2"/>
      </w:pPr>
      <w:r>
        <w:t>Mandatory Tags</w:t>
      </w:r>
    </w:p>
    <w:p w14:paraId="1083D3FB" w14:textId="5B324E0B" w:rsidR="00E54EE1" w:rsidRDefault="00E54EE1" w:rsidP="00E54EE1">
      <w:r>
        <w:tab/>
        <w:t xml:space="preserve">After declaring the resource, operations staff must add several resource-type specific mandatory tags (Table </w:t>
      </w:r>
      <w:r w:rsidR="00A6092B">
        <w:t>3</w:t>
      </w:r>
      <w:r>
        <w:t>).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2C67F4D0" w14:textId="1BCFE996" w:rsidR="00E54EE1" w:rsidRDefault="00E54EE1" w:rsidP="00E54EE1">
      <w:pPr>
        <w:pStyle w:val="Caption"/>
      </w:pPr>
      <w:r>
        <w:t xml:space="preserve">Table </w:t>
      </w:r>
      <w:r w:rsidR="00A6092B">
        <w:t>3</w:t>
      </w:r>
      <w:r>
        <w:t>: Required Resource Metadata</w:t>
      </w:r>
    </w:p>
    <w:tbl>
      <w:tblPr>
        <w:tblStyle w:val="GridTable4"/>
        <w:tblW w:w="0" w:type="auto"/>
        <w:tblLook w:val="04A0" w:firstRow="1" w:lastRow="0" w:firstColumn="1" w:lastColumn="0" w:noHBand="0" w:noVBand="1"/>
      </w:tblPr>
      <w:tblGrid>
        <w:gridCol w:w="4675"/>
        <w:gridCol w:w="4675"/>
      </w:tblGrid>
      <w:tr w:rsidR="00E54EE1" w14:paraId="7CA832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7A4FB" w14:textId="77777777" w:rsidR="00E54EE1" w:rsidRDefault="00E54EE1" w:rsidP="009036C7">
            <w:pPr>
              <w:jc w:val="center"/>
            </w:pPr>
            <w:r>
              <w:t>Tag Name</w:t>
            </w:r>
          </w:p>
        </w:tc>
        <w:tc>
          <w:tcPr>
            <w:tcW w:w="4675" w:type="dxa"/>
          </w:tcPr>
          <w:p w14:paraId="2AF10DB9" w14:textId="77777777" w:rsidR="00E54EE1" w:rsidRDefault="00E54EE1" w:rsidP="009036C7">
            <w:pPr>
              <w:jc w:val="center"/>
              <w:cnfStyle w:val="100000000000" w:firstRow="1" w:lastRow="0" w:firstColumn="0" w:lastColumn="0" w:oddVBand="0" w:evenVBand="0" w:oddHBand="0" w:evenHBand="0" w:firstRowFirstColumn="0" w:firstRowLastColumn="0" w:lastRowFirstColumn="0" w:lastRowLastColumn="0"/>
            </w:pPr>
            <w:r>
              <w:t>Description</w:t>
            </w:r>
          </w:p>
        </w:tc>
      </w:tr>
      <w:tr w:rsidR="00E54EE1" w14:paraId="0CEEE1C1"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A86A6" w14:textId="77777777" w:rsidR="00E54EE1" w:rsidRDefault="00E54EE1" w:rsidP="009036C7">
            <w:proofErr w:type="spellStart"/>
            <w:r>
              <w:t>ncu:name</w:t>
            </w:r>
            <w:proofErr w:type="spellEnd"/>
          </w:p>
        </w:tc>
        <w:tc>
          <w:tcPr>
            <w:tcW w:w="4675" w:type="dxa"/>
          </w:tcPr>
          <w:p w14:paraId="522C6A17"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friendly resource name</w:t>
            </w:r>
          </w:p>
        </w:tc>
      </w:tr>
      <w:tr w:rsidR="00E54EE1" w14:paraId="4FF21780"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43576415" w14:textId="77777777" w:rsidR="00E54EE1" w:rsidRDefault="00E54EE1" w:rsidP="009036C7">
            <w:proofErr w:type="spellStart"/>
            <w:proofErr w:type="gramStart"/>
            <w:r>
              <w:t>ncu:department</w:t>
            </w:r>
            <w:proofErr w:type="spellEnd"/>
            <w:proofErr w:type="gramEnd"/>
          </w:p>
        </w:tc>
        <w:tc>
          <w:tcPr>
            <w:tcW w:w="4675" w:type="dxa"/>
          </w:tcPr>
          <w:p w14:paraId="0AA75199"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E54EE1" w14:paraId="6ACFB370"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C56D4" w14:textId="77777777" w:rsidR="00E54EE1" w:rsidRDefault="00E54EE1" w:rsidP="009036C7">
            <w:proofErr w:type="spellStart"/>
            <w:proofErr w:type="gramStart"/>
            <w:r>
              <w:t>ncu:cost</w:t>
            </w:r>
            <w:proofErr w:type="gramEnd"/>
            <w:r>
              <w:t>-center</w:t>
            </w:r>
            <w:proofErr w:type="spellEnd"/>
          </w:p>
        </w:tc>
        <w:tc>
          <w:tcPr>
            <w:tcW w:w="4675" w:type="dxa"/>
          </w:tcPr>
          <w:p w14:paraId="5E1BC7E0"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E54EE1" w14:paraId="7BE70B0A"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3D23D270" w14:textId="77777777" w:rsidR="00E54EE1" w:rsidRDefault="00E54EE1" w:rsidP="009036C7">
            <w:proofErr w:type="spellStart"/>
            <w:r>
              <w:t>ncu:app</w:t>
            </w:r>
            <w:proofErr w:type="spellEnd"/>
          </w:p>
        </w:tc>
        <w:tc>
          <w:tcPr>
            <w:tcW w:w="4675" w:type="dxa"/>
          </w:tcPr>
          <w:p w14:paraId="224CEB2E"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E54EE1" w14:paraId="195F7525"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9F7BD6" w14:textId="77777777" w:rsidR="00E54EE1" w:rsidRDefault="00E54EE1" w:rsidP="009036C7">
            <w:proofErr w:type="spellStart"/>
            <w:proofErr w:type="gramStart"/>
            <w:r>
              <w:t>ncu:location</w:t>
            </w:r>
            <w:proofErr w:type="gramEnd"/>
            <w:r>
              <w:t>:geo</w:t>
            </w:r>
            <w:proofErr w:type="spellEnd"/>
          </w:p>
        </w:tc>
        <w:tc>
          <w:tcPr>
            <w:tcW w:w="4675" w:type="dxa"/>
          </w:tcPr>
          <w:p w14:paraId="265EAEAA"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E54EE1" w14:paraId="0943EC3D"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7E1DC78E" w14:textId="77777777" w:rsidR="00E54EE1" w:rsidRDefault="00E54EE1" w:rsidP="009036C7">
            <w:proofErr w:type="spellStart"/>
            <w:proofErr w:type="gramStart"/>
            <w:r>
              <w:t>ncu:location</w:t>
            </w:r>
            <w:proofErr w:type="gramEnd"/>
            <w:r>
              <w:t>:building</w:t>
            </w:r>
            <w:proofErr w:type="spellEnd"/>
          </w:p>
        </w:tc>
        <w:tc>
          <w:tcPr>
            <w:tcW w:w="4675" w:type="dxa"/>
          </w:tcPr>
          <w:p w14:paraId="577D9EDA"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0DCA87E0" w14:textId="77777777" w:rsidR="00E54EE1" w:rsidRPr="00BD3064" w:rsidRDefault="00E54EE1" w:rsidP="00E54EE1"/>
    <w:p w14:paraId="328E99D0" w14:textId="77777777" w:rsidR="009F0071" w:rsidRDefault="009F0071">
      <w:pPr>
        <w:rPr>
          <w:b/>
        </w:rPr>
      </w:pPr>
      <w:r>
        <w:br w:type="page"/>
      </w:r>
    </w:p>
    <w:p w14:paraId="71C6F0A5" w14:textId="3CE4DA11" w:rsidR="00E54EE1" w:rsidRDefault="00E54EE1" w:rsidP="00E54EE1">
      <w:pPr>
        <w:pStyle w:val="Heading1"/>
      </w:pPr>
      <w:r>
        <w:lastRenderedPageBreak/>
        <w:t>Stakeholder Responsibility</w:t>
      </w:r>
    </w:p>
    <w:p w14:paraId="6A3DB7D2" w14:textId="78735B36" w:rsidR="00E54EE1" w:rsidRDefault="00E54EE1" w:rsidP="00E54EE1">
      <w:r>
        <w:tab/>
      </w:r>
      <w:r w:rsidR="00024580">
        <w:t xml:space="preserve">NCU-F’s </w:t>
      </w:r>
      <w:r>
        <w:t xml:space="preserve">senior leadership team </w:t>
      </w:r>
      <w:r w:rsidR="00024580">
        <w:t xml:space="preserve">owns </w:t>
      </w:r>
      <w:r>
        <w:t xml:space="preserve">forming </w:t>
      </w:r>
      <w:r w:rsidR="00024580">
        <w:t>the</w:t>
      </w:r>
      <w:r>
        <w:t xml:space="preserve"> task force to define Information Technology (IT) policies that enable the Business Units to collaborate more efficiently.  This team has stakeholders from the </w:t>
      </w:r>
      <w:r w:rsidR="009F0071">
        <w:t>core</w:t>
      </w:r>
      <w:r>
        <w:t xml:space="preserve"> divisions, executive sponsors, and legal representatives.</w:t>
      </w:r>
      <w:r w:rsidR="000F7484">
        <w:t xml:space="preserve">  The stakeholders are responsible for ensuring standardization is continuously maturing across the organization.  This expectation requires formal processes for managing polic</w:t>
      </w:r>
      <w:r w:rsidR="009F0071">
        <w:t>y</w:t>
      </w:r>
      <w:r w:rsidR="000F7484">
        <w:t xml:space="preserve"> lifecycle</w:t>
      </w:r>
      <w:r w:rsidR="009F0071">
        <w:t>s</w:t>
      </w:r>
      <w:r w:rsidR="000F7484">
        <w:t>.</w:t>
      </w:r>
    </w:p>
    <w:p w14:paraId="37130133" w14:textId="6A4C5513" w:rsidR="000F7484" w:rsidRDefault="000F7484" w:rsidP="000F7484">
      <w:pPr>
        <w:pStyle w:val="Heading2"/>
      </w:pPr>
      <w:r>
        <w:t>Policy Creation Process</w:t>
      </w:r>
    </w:p>
    <w:p w14:paraId="1066EA94" w14:textId="77777777" w:rsidR="000F7484" w:rsidRDefault="000F7484" w:rsidP="000F7484">
      <w:pPr>
        <w:ind w:firstLine="720"/>
      </w:pPr>
      <w:r>
        <w:t>NCU-F defines specific norms and expectations for introducing, revising, and removing IT policies (see Figure 1).  All employees are encouraged to participate in these processes and provide relevant feedback for stakeholders.</w:t>
      </w:r>
    </w:p>
    <w:p w14:paraId="5741F1C7" w14:textId="77777777" w:rsidR="000F7484" w:rsidRDefault="000F7484" w:rsidP="000F7484">
      <w:pPr>
        <w:pStyle w:val="Caption"/>
      </w:pPr>
      <w:r>
        <w:t>Figure 1: Lifecycle Management Process</w:t>
      </w:r>
    </w:p>
    <w:p w14:paraId="17E53A1C" w14:textId="77777777" w:rsidR="000F7484" w:rsidRPr="00796FAD" w:rsidRDefault="000F7484" w:rsidP="000F7484">
      <w:r>
        <w:rPr>
          <w:noProof/>
        </w:rPr>
        <w:drawing>
          <wp:inline distT="0" distB="0" distL="0" distR="0" wp14:anchorId="14F7CDEC" wp14:editId="01A3A03E">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37EDE326" w14:textId="77777777" w:rsidR="000F7484" w:rsidRDefault="000F7484" w:rsidP="000F7484">
      <w:pPr>
        <w:pStyle w:val="ListParagraph"/>
        <w:numPr>
          <w:ilvl w:val="0"/>
          <w:numId w:val="1"/>
        </w:numPr>
      </w:pPr>
      <w:r>
        <w:t>IT policies define processes for approaching business challenges</w:t>
      </w:r>
      <w:sdt>
        <w:sdtPr>
          <w:id w:val="-914247197"/>
          <w:citation/>
        </w:sdt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3C2FFBE7" w14:textId="77777777" w:rsidR="000F7484" w:rsidRDefault="000F7484" w:rsidP="000F7484">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17DF9141" w14:textId="77777777" w:rsidR="000F7484" w:rsidRDefault="000F7484" w:rsidP="000F7484">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76D43743" w14:textId="77777777" w:rsidR="000F7484" w:rsidRDefault="000F7484" w:rsidP="000F7484">
      <w:pPr>
        <w:pStyle w:val="ListParagraph"/>
        <w:numPr>
          <w:ilvl w:val="0"/>
          <w:numId w:val="1"/>
        </w:numPr>
      </w:pPr>
      <w:r>
        <w:lastRenderedPageBreak/>
        <w:t>Fourth, declare the foundational tenants of this new policy</w:t>
      </w:r>
      <w:sdt>
        <w:sdtPr>
          <w:id w:val="862716709"/>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4658FE93" w14:textId="77777777" w:rsidR="000F7484" w:rsidRDefault="000F7484" w:rsidP="000F7484">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57847AC6" w14:textId="667AFB66" w:rsidR="000F7484" w:rsidRPr="00E54EE1" w:rsidRDefault="000F7484" w:rsidP="00E54EE1">
      <w:pPr>
        <w:pStyle w:val="ListParagraph"/>
        <w:numPr>
          <w:ilvl w:val="0"/>
          <w:numId w:val="1"/>
        </w:numPr>
      </w:pPr>
      <w:r>
        <w:t>Lastly, include a Frequently Asked Questions (FAQ) section that addresses common scenarios.</w:t>
      </w:r>
    </w:p>
    <w:p w14:paraId="4096EAAA" w14:textId="77777777" w:rsidR="00E54EE1" w:rsidRDefault="00E54EE1" w:rsidP="00E54EE1">
      <w:pPr>
        <w:pStyle w:val="Heading2"/>
      </w:pPr>
      <w:r>
        <w:t>Policy Approval Process</w:t>
      </w:r>
    </w:p>
    <w:p w14:paraId="78B55046" w14:textId="3BCF01D2" w:rsidR="00E54EE1" w:rsidRDefault="00E54EE1" w:rsidP="00E54EE1">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r w:rsidR="000F7484">
        <w:t xml:space="preserve">  After approving the new community, the committee must appoint a sponsor to ensure the group successfully forms, storms, and eventually norms.</w:t>
      </w:r>
    </w:p>
    <w:p w14:paraId="5ED5896F" w14:textId="1F6A2281" w:rsidR="00E54EE1" w:rsidRDefault="00E54EE1" w:rsidP="006F0E08">
      <w:r>
        <w:tab/>
        <w:t xml:space="preserve">Employees that want to create a new policy must identify an appropriate community to vet their </w:t>
      </w:r>
      <w:r w:rsidR="000F7484">
        <w:t>proposal</w:t>
      </w:r>
      <w:r>
        <w:t>.  The community will assign one or two reviewers to iterate the proposal until it adheres to internal standard</w:t>
      </w:r>
      <w:r w:rsidR="00821C0B">
        <w:t>s.</w:t>
      </w:r>
      <w:r>
        <w:t xml:space="preserve">  After the reviewers approve the document, the authors </w:t>
      </w:r>
      <w:r w:rsidR="006F0E08">
        <w:t>request that their policy be</w:t>
      </w:r>
      <w:r>
        <w:t xml:space="preserve"> globally visible within Policy Central</w:t>
      </w:r>
      <w:r w:rsidR="006F0E08">
        <w:t xml:space="preserve">, a proprietary document management system.  This system utilizes a NoSQL graph database representing the relationship between various documents, </w:t>
      </w:r>
      <w:proofErr w:type="gramStart"/>
      <w:r w:rsidR="006F0E08">
        <w:t>similar to</w:t>
      </w:r>
      <w:proofErr w:type="gramEnd"/>
      <w:r w:rsidR="006F0E08">
        <w:t xml:space="preserve"> a university citation library.  </w:t>
      </w:r>
      <w:r w:rsidR="006F0E08">
        <w:t xml:space="preserve">Policy documents initialize to a draft state that is only visible to their working team.  This design prevents external teams from </w:t>
      </w:r>
      <w:r w:rsidR="006F0E08">
        <w:lastRenderedPageBreak/>
        <w:t>accidentally referencing incomplete or unauthorized plans.</w:t>
      </w:r>
      <w:r w:rsidR="006F0E08">
        <w:t xml:space="preserve">  </w:t>
      </w:r>
      <w:r>
        <w:t>Typically, the community leaders promote the new concept through appropriate media (e.g., email group).  Suppose the reviewers do not support the change.  In that case, the authors can optionally escalate to the community’s program manager or executive stakeholder.</w:t>
      </w:r>
    </w:p>
    <w:p w14:paraId="410658D7" w14:textId="77777777" w:rsidR="00E54EE1" w:rsidRDefault="00E54EE1" w:rsidP="00E54EE1">
      <w:pPr>
        <w:pStyle w:val="Heading2"/>
      </w:pPr>
      <w:r>
        <w:t>Policy Revision Process</w:t>
      </w:r>
    </w:p>
    <w:p w14:paraId="2B8B1110" w14:textId="77777777" w:rsidR="00E54EE1" w:rsidRDefault="00E54EE1" w:rsidP="00E54EE1">
      <w:r>
        <w:tab/>
        <w:t>Within Policy Central, all documents contain version metadata.  Employees can submit minor updates as an addendum, declaring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111A6E4E" w14:textId="77777777" w:rsidR="00E54EE1" w:rsidRPr="004C553C" w:rsidRDefault="00E54EE1" w:rsidP="00E54EE1">
      <w:pPr>
        <w:pStyle w:val="Heading2"/>
      </w:pPr>
      <w:r>
        <w:t>Policy Deprecation Process</w:t>
      </w:r>
    </w:p>
    <w:p w14:paraId="3E06517F" w14:textId="77777777" w:rsidR="00E54EE1" w:rsidRDefault="00E54EE1" w:rsidP="00E54EE1">
      <w:r>
        <w:tab/>
        <w:t xml:space="preserve">Many policies become deprecated due to external changes in the business strategy.  When these situations occur, the Technical Community must submit a migration plan to their executive sponsor.  This plan must include procedures to identify the migration’s scope, mechanisms for communicating status, and any potential risks from migrating.  Lastly, there must be a section that details any reasons </w:t>
      </w:r>
      <w:r>
        <w:rPr>
          <w:i/>
          <w:iCs/>
        </w:rPr>
        <w:t>not</w:t>
      </w:r>
      <w:r>
        <w:t xml:space="preserve"> to deprecate and migrate.  After agreeing on the new direction, the Policy Central document’s status becomes either deprecated or superseded.</w:t>
      </w:r>
    </w:p>
    <w:p w14:paraId="08550469" w14:textId="25D436CE" w:rsidR="00E54EE1" w:rsidRDefault="00E54EE1" w:rsidP="00E54EE1">
      <w:pPr>
        <w:pStyle w:val="Heading1"/>
      </w:pPr>
      <w:r>
        <w:t>Communication or Training Plan</w:t>
      </w:r>
    </w:p>
    <w:p w14:paraId="1B9C58A9" w14:textId="77777777" w:rsidR="00E54EE1" w:rsidRDefault="00E54EE1" w:rsidP="000F7484">
      <w:pPr>
        <w:ind w:firstLine="720"/>
      </w:pPr>
      <w:r>
        <w:t xml:space="preserve">NCU-F is a large-scale enterprise with ten thousand employees working across several global financial services.  The business requires policies and procedures that enable its staff and customers to raise support issues and discover standard solutions.  Information Technology can serve those experiences using self-service portals into knowledge databases.  When answers are not available, those same systems can escalate requests to product support networks.  </w:t>
      </w:r>
    </w:p>
    <w:p w14:paraId="2D670752" w14:textId="77777777" w:rsidR="00E54EE1" w:rsidRPr="001C3D70" w:rsidRDefault="00E54EE1" w:rsidP="00E54EE1">
      <w:pPr>
        <w:pStyle w:val="Heading2"/>
      </w:pPr>
      <w:r>
        <w:lastRenderedPageBreak/>
        <w:t>Support Model</w:t>
      </w:r>
    </w:p>
    <w:p w14:paraId="6490935A" w14:textId="09E89316" w:rsidR="009A62E3" w:rsidRDefault="00E54EE1" w:rsidP="00E54EE1">
      <w:r>
        <w:tab/>
        <w:t xml:space="preserve">Without sufficient scalability, the support network becomes prohibitively expensive.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 business receives a strong economic incentive to address issues at the bottom of the structure, as the higher levels require specialized resources.  Since the customer must first traverse through multiple generalists, each layer has a compounding cost effect.</w:t>
      </w:r>
    </w:p>
    <w:p w14:paraId="1F21B166" w14:textId="77777777" w:rsidR="000F7484" w:rsidRDefault="000F7484" w:rsidP="000F7484">
      <w:pPr>
        <w:pStyle w:val="Caption"/>
      </w:pPr>
      <w:r>
        <w:t>Figure 1: Tiered-Support Network</w:t>
      </w:r>
    </w:p>
    <w:p w14:paraId="7913CBF6" w14:textId="4896CA35" w:rsidR="000F7484" w:rsidRDefault="000F7484" w:rsidP="00783A61">
      <w:pPr>
        <w:jc w:val="center"/>
      </w:pPr>
      <w:r>
        <w:rPr>
          <w:noProof/>
        </w:rPr>
        <w:drawing>
          <wp:inline distT="0" distB="0" distL="0" distR="0" wp14:anchorId="7CA68EA2" wp14:editId="7F978E39">
            <wp:extent cx="2329900" cy="2700670"/>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989" cy="2793504"/>
                    </a:xfrm>
                    <a:prstGeom prst="rect">
                      <a:avLst/>
                    </a:prstGeom>
                    <a:noFill/>
                    <a:ln>
                      <a:noFill/>
                    </a:ln>
                  </pic:spPr>
                </pic:pic>
              </a:graphicData>
            </a:graphic>
          </wp:inline>
        </w:drawing>
      </w:r>
    </w:p>
    <w:p w14:paraId="1971D73D" w14:textId="1064761C" w:rsidR="00E54EE1" w:rsidRDefault="00E54EE1" w:rsidP="00E54EE1">
      <w:pPr>
        <w:pStyle w:val="Heading2"/>
      </w:pPr>
      <w:r>
        <w:t>Support Pyramid</w:t>
      </w:r>
    </w:p>
    <w:p w14:paraId="3F5AF615" w14:textId="77777777" w:rsidR="00E54EE1" w:rsidRDefault="00E54EE1" w:rsidP="00E54EE1">
      <w:pPr>
        <w:ind w:firstLine="720"/>
      </w:pPr>
      <w:r>
        <w:t xml:space="preserve">For example, a customer wants to integrate their business process with one of NCU-F’s web services.  When customers can quickly discover that information from a blog or wiki, the business must only pay content hosting fees.  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w:t>
      </w:r>
      <w:r>
        <w:lastRenderedPageBreak/>
        <w:t>management.  After discovering the solution, the business has an incentive to document the procedure within the knowledge base to minimize future investigational costs.</w:t>
      </w:r>
    </w:p>
    <w:p w14:paraId="1F9F62F1" w14:textId="66C36904" w:rsidR="00E54EE1" w:rsidRDefault="00E54EE1" w:rsidP="00E54EE1">
      <w:pPr>
        <w:ind w:firstLine="720"/>
      </w:pPr>
      <w:r>
        <w:t>Specific divisions within NCU-F, like the central DevOps engineering team, have dozens of area owners, creating routing challenges.  This situation might necessitate multiple PM-to-PM switching.  NCU-F should proactively configure Incident Management software like PagerDuty, or a similar Software-as-a-Service (SaaS) solution.  These systems accelerate the search for on-call staff and improve the customer experience through lower time to mitigate.</w:t>
      </w:r>
    </w:p>
    <w:p w14:paraId="40A36CD3" w14:textId="77777777" w:rsidR="00E54EE1" w:rsidRDefault="00E54EE1" w:rsidP="00E54EE1">
      <w:pPr>
        <w:pStyle w:val="Heading2"/>
      </w:pPr>
      <w:r>
        <w:t>Engineering Pyramid</w:t>
      </w:r>
    </w:p>
    <w:p w14:paraId="5892BA1C" w14:textId="77777777" w:rsidR="00E54EE1" w:rsidRDefault="00E54EE1" w:rsidP="00E54EE1">
      <w:pPr>
        <w:ind w:firstLine="720"/>
      </w:pPr>
      <w:r>
        <w:t xml:space="preserve">The support PM must then contact the area owner PM on the relevant engineering team.  For instance, this specific customer wants to ingest market data from the Trading Platform.  In this case, the Trading PM will ask the Engineering Manager for a solution.  Unless the manager can resolve the matter, it must escalate to a service engineer.  The engineers must halt inflight work and context switch, introducing risks to existing timelines and commitments.  </w:t>
      </w:r>
    </w:p>
    <w:p w14:paraId="0FFAADC0" w14:textId="77777777" w:rsidR="00E54EE1" w:rsidRDefault="00E54EE1" w:rsidP="00E54EE1">
      <w:pPr>
        <w:pStyle w:val="Heading2"/>
      </w:pPr>
      <w:r>
        <w:t>External Support</w:t>
      </w:r>
    </w:p>
    <w:p w14:paraId="1EE84F9B" w14:textId="77777777" w:rsidR="00E54EE1" w:rsidRDefault="00E54EE1" w:rsidP="00E54EE1">
      <w:pPr>
        <w:ind w:firstLine="720"/>
      </w:pPr>
      <w:r>
        <w:t>Suppose the engineering team cannot mitigate the issue.  In that case, the process begins anew with the external vendor or partner.  Those third-party providers have similar economic constraints, which forces them into these stacked pyramid structures.  This consistency includes knowledge databases, support channels, and customer access to the service team.  However, there can be specific scenarios that are not resolvable.  In these situations, both the engineering and support program managers need to agree on an appropriate response.  Responses can include adding to the backlog, proposing workarounds, among other stopgaps.  Lastly, reporting must inform the executive leadership of any business impact to approve future investments into the problem.</w:t>
      </w:r>
    </w:p>
    <w:p w14:paraId="594733D5" w14:textId="406F82EA" w:rsidR="00E54EE1" w:rsidRDefault="00E54EE1" w:rsidP="00E54EE1">
      <w:pPr>
        <w:pStyle w:val="Heading1"/>
      </w:pPr>
      <w:r>
        <w:lastRenderedPageBreak/>
        <w:t>Leadership Involvement</w:t>
      </w:r>
    </w:p>
    <w:p w14:paraId="04372698" w14:textId="77777777" w:rsidR="000F7484" w:rsidRDefault="000F7484" w:rsidP="000F7484">
      <w:pPr>
        <w:ind w:firstLine="720"/>
      </w:pPr>
      <w:r>
        <w:t xml:space="preserve">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task force owns documenting the corporate direction and guardrails.  Technical Communities are responsible for maintaining elements of the hierarchy and enforcing quality controls.  </w:t>
      </w:r>
    </w:p>
    <w:p w14:paraId="52D0373C" w14:textId="77777777" w:rsidR="000F7484" w:rsidRDefault="000F7484" w:rsidP="000F7484">
      <w:pPr>
        <w:ind w:firstLine="720"/>
      </w:pPr>
      <w:r>
        <w:t>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This structure will remove roadblocks and promote cross-organizational collaboration.</w:t>
      </w:r>
    </w:p>
    <w:p w14:paraId="18E3E479" w14:textId="77777777" w:rsidR="000F7484" w:rsidRDefault="000F7484" w:rsidP="000F7484">
      <w:pPr>
        <w:pStyle w:val="Heading2"/>
      </w:pPr>
      <w:r>
        <w:t>Performance Measurements</w:t>
      </w:r>
    </w:p>
    <w:p w14:paraId="79C0AA1B" w14:textId="021B2768" w:rsidR="000F7484" w:rsidRDefault="000F7484" w:rsidP="000F7484">
      <w:r>
        <w:tab/>
        <w:t xml:space="preserve">Program managers are responsible for reporting progress regarding their team’s ability to collaborate effectively.  For instance, how often did the Credit team assist the Savings team? NCU-F recommends that each team automate collecting quantitative metrics either daily or weekly.  These statistics generally originate from Issue Tracking and Management (ITM) systems (e.g., Jira or ServiceNow).  Additionally, team leaders publish monthly qualitative information encompassing highlights, low-lights, blockers, and upcoming initiatives.  The data and stories should collectively tell an accurate accounting of status and business challenges.  If </w:t>
      </w:r>
      <w:r>
        <w:lastRenderedPageBreak/>
        <w:t>the performance data suggests that two teams are not communicating, or worse, on conflicting paths, the senior leadership can intervene.</w:t>
      </w:r>
    </w:p>
    <w:p w14:paraId="6F4AB7D4" w14:textId="0211BC69" w:rsidR="000F7484" w:rsidRDefault="000F7484" w:rsidP="000F7484">
      <w:r>
        <w:tab/>
        <w:t>Measuring collaboration rates is essential, as it confirms the health of input variables, though customers only care about output results</w:t>
      </w:r>
      <w:sdt>
        <w:sdtPr>
          <w:id w:val="1955437621"/>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Content>
          <w:r>
            <w:fldChar w:fldCharType="begin"/>
          </w:r>
          <w:r>
            <w:instrText xml:space="preserve"> CITATION Mar16 \l 1033 </w:instrText>
          </w:r>
          <w:r>
            <w:fldChar w:fldCharType="separate"/>
          </w:r>
          <w:r>
            <w:rPr>
              <w:noProof/>
            </w:rPr>
            <w:t xml:space="preserve"> (Martinelli &amp; Dragan, 2016)</w:t>
          </w:r>
          <w:r>
            <w:fldChar w:fldCharType="end"/>
          </w:r>
        </w:sdtContent>
      </w:sdt>
      <w:r>
        <w:t>.  When a correlation between inputs and outputs does not occur, it signals issues with the control framework.  This situation presents an opportunity for senior leadership to dive deep and examine any process issues.</w:t>
      </w:r>
    </w:p>
    <w:p w14:paraId="7D75C655" w14:textId="77777777" w:rsidR="007D6775" w:rsidRDefault="007D6775" w:rsidP="000F7484"/>
    <w:sdt>
      <w:sdtPr>
        <w:id w:val="-5214720"/>
        <w:docPartObj>
          <w:docPartGallery w:val="Bibliographies"/>
          <w:docPartUnique/>
        </w:docPartObj>
      </w:sdtPr>
      <w:sdtEndPr>
        <w:rPr>
          <w:b w:val="0"/>
        </w:rPr>
      </w:sdtEndPr>
      <w:sdtContent>
        <w:p w14:paraId="5264FAEC" w14:textId="77777777" w:rsidR="007D6775" w:rsidRDefault="007D6775">
          <w:pPr>
            <w:pStyle w:val="Heading1"/>
          </w:pPr>
        </w:p>
        <w:p w14:paraId="69B366AA" w14:textId="77777777" w:rsidR="007D6775" w:rsidRDefault="007D6775">
          <w:pPr>
            <w:rPr>
              <w:b/>
            </w:rPr>
          </w:pPr>
          <w:r>
            <w:br w:type="page"/>
          </w:r>
        </w:p>
        <w:p w14:paraId="46CAF736" w14:textId="06FB1724" w:rsidR="00C46223" w:rsidRDefault="00C46223">
          <w:pPr>
            <w:pStyle w:val="Heading1"/>
          </w:pPr>
          <w:r>
            <w:lastRenderedPageBreak/>
            <w:t>References</w:t>
          </w:r>
        </w:p>
        <w:sdt>
          <w:sdtPr>
            <w:id w:val="-573587230"/>
            <w:bibliography/>
          </w:sdtPr>
          <w:sdtContent>
            <w:p w14:paraId="31C6E42C" w14:textId="77777777" w:rsidR="00C46223" w:rsidRDefault="00C46223" w:rsidP="00C46223">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362C3963" w14:textId="3A1A628D" w:rsidR="00C46223" w:rsidRDefault="00C46223" w:rsidP="00C46223">
              <w:pPr>
                <w:pStyle w:val="Bibliography"/>
                <w:ind w:left="720" w:hanging="720"/>
                <w:rPr>
                  <w:noProof/>
                </w:rPr>
              </w:pP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59A256CB" w14:textId="77777777" w:rsidR="00C46223" w:rsidRDefault="00C46223" w:rsidP="00C46223">
              <w:pPr>
                <w:pStyle w:val="Bibliography"/>
                <w:ind w:left="720" w:hanging="720"/>
                <w:rPr>
                  <w:noProof/>
                </w:rPr>
              </w:pPr>
              <w:r>
                <w:rPr>
                  <w:noProof/>
                </w:rPr>
                <w:t xml:space="preserve">Bryar, C., &amp; Carr, B. (2021). </w:t>
              </w:r>
              <w:r>
                <w:rPr>
                  <w:i/>
                  <w:iCs/>
                  <w:noProof/>
                </w:rPr>
                <w:t>Working Backwards.</w:t>
              </w:r>
              <w:r>
                <w:rPr>
                  <w:noProof/>
                </w:rPr>
                <w:t xml:space="preserve"> </w:t>
              </w:r>
            </w:p>
            <w:p w14:paraId="43E87CB1" w14:textId="77777777" w:rsidR="00C46223" w:rsidRDefault="00C46223" w:rsidP="00C4622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9046F10" w14:textId="2E18DAC7" w:rsidR="00C46223" w:rsidRDefault="00C46223" w:rsidP="00C46223">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4A258DB5" w14:textId="40CC4CA1" w:rsidR="00C46223" w:rsidRDefault="00C46223" w:rsidP="00C46223">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DBA2AE1" w14:textId="77777777" w:rsidR="00C46223" w:rsidRDefault="00C46223" w:rsidP="00C46223">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0A0BB037" w14:textId="5DB79FB8" w:rsidR="00C46223" w:rsidRDefault="00C46223" w:rsidP="00C46223">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7D73E37A" w14:textId="77777777" w:rsidR="00C46223" w:rsidRDefault="00C46223" w:rsidP="00C46223">
              <w:pPr>
                <w:pStyle w:val="Bibliography"/>
                <w:ind w:left="720" w:hanging="720"/>
                <w:rPr>
                  <w:noProof/>
                </w:rPr>
              </w:pPr>
              <w:r>
                <w:rPr>
                  <w:noProof/>
                </w:rPr>
                <w:lastRenderedPageBreak/>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61EAB3AF" w14:textId="77777777" w:rsidR="00C46223" w:rsidRDefault="00C46223" w:rsidP="00C46223">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03FC1DDD" w14:textId="77777777" w:rsidR="00C46223" w:rsidRDefault="00C46223" w:rsidP="00C46223">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737AA76F" w14:textId="33D0F913" w:rsidR="00C46223" w:rsidRDefault="00C46223" w:rsidP="00C46223">
              <w:r>
                <w:rPr>
                  <w:b/>
                  <w:bCs/>
                  <w:noProof/>
                </w:rPr>
                <w:fldChar w:fldCharType="end"/>
              </w:r>
            </w:p>
          </w:sdtContent>
        </w:sdt>
      </w:sdtContent>
    </w:sdt>
    <w:p w14:paraId="228EF68F" w14:textId="77777777" w:rsidR="00C46223" w:rsidRDefault="00C46223" w:rsidP="000F7484"/>
    <w:sectPr w:rsidR="00C4622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D24F" w14:textId="77777777" w:rsidR="00CF06AF" w:rsidRDefault="00CF06AF" w:rsidP="0082223F">
      <w:pPr>
        <w:spacing w:line="240" w:lineRule="auto"/>
      </w:pPr>
      <w:r>
        <w:separator/>
      </w:r>
    </w:p>
  </w:endnote>
  <w:endnote w:type="continuationSeparator" w:id="0">
    <w:p w14:paraId="420A5709" w14:textId="77777777" w:rsidR="00CF06AF" w:rsidRDefault="00CF06A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B1706" w14:textId="77777777" w:rsidR="00CF06AF" w:rsidRDefault="00CF06AF" w:rsidP="0082223F">
      <w:pPr>
        <w:spacing w:line="240" w:lineRule="auto"/>
      </w:pPr>
      <w:r>
        <w:separator/>
      </w:r>
    </w:p>
  </w:footnote>
  <w:footnote w:type="continuationSeparator" w:id="0">
    <w:p w14:paraId="109A2EA9" w14:textId="77777777" w:rsidR="00CF06AF" w:rsidRDefault="00CF06A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4580"/>
    <w:rsid w:val="00036708"/>
    <w:rsid w:val="00036F58"/>
    <w:rsid w:val="000F7484"/>
    <w:rsid w:val="00103C56"/>
    <w:rsid w:val="00183597"/>
    <w:rsid w:val="001B27C4"/>
    <w:rsid w:val="002516A9"/>
    <w:rsid w:val="002806B7"/>
    <w:rsid w:val="002F2E59"/>
    <w:rsid w:val="003F4714"/>
    <w:rsid w:val="00401D65"/>
    <w:rsid w:val="004223E8"/>
    <w:rsid w:val="00424108"/>
    <w:rsid w:val="004A784B"/>
    <w:rsid w:val="005A04C7"/>
    <w:rsid w:val="005B7079"/>
    <w:rsid w:val="005C39BA"/>
    <w:rsid w:val="006D793E"/>
    <w:rsid w:val="006F0E08"/>
    <w:rsid w:val="0073677D"/>
    <w:rsid w:val="00775A78"/>
    <w:rsid w:val="00783A61"/>
    <w:rsid w:val="007D6775"/>
    <w:rsid w:val="00821C0B"/>
    <w:rsid w:val="0082223F"/>
    <w:rsid w:val="00877007"/>
    <w:rsid w:val="008B5129"/>
    <w:rsid w:val="008D0E1C"/>
    <w:rsid w:val="009A62E3"/>
    <w:rsid w:val="009A757D"/>
    <w:rsid w:val="009F0071"/>
    <w:rsid w:val="00A423F8"/>
    <w:rsid w:val="00A6092B"/>
    <w:rsid w:val="00B13ADF"/>
    <w:rsid w:val="00B635C0"/>
    <w:rsid w:val="00B83595"/>
    <w:rsid w:val="00B92378"/>
    <w:rsid w:val="00C46223"/>
    <w:rsid w:val="00C54DC8"/>
    <w:rsid w:val="00C73692"/>
    <w:rsid w:val="00C93BB7"/>
    <w:rsid w:val="00CB25E9"/>
    <w:rsid w:val="00CF06AF"/>
    <w:rsid w:val="00D0165E"/>
    <w:rsid w:val="00D75C7B"/>
    <w:rsid w:val="00D85C7B"/>
    <w:rsid w:val="00DA79EC"/>
    <w:rsid w:val="00DE2224"/>
    <w:rsid w:val="00E234E9"/>
    <w:rsid w:val="00E54EE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E54E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F7484"/>
    <w:pPr>
      <w:ind w:left="720"/>
      <w:contextualSpacing/>
    </w:pPr>
  </w:style>
  <w:style w:type="paragraph" w:styleId="Bibliography">
    <w:name w:val="Bibliography"/>
    <w:basedOn w:val="Normal"/>
    <w:next w:val="Normal"/>
    <w:uiPriority w:val="37"/>
    <w:unhideWhenUsed/>
    <w:rsid w:val="00C4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7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5</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6</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7</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10</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11</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9</b:RefOrder>
  </b:Source>
</b:Sources>
</file>

<file path=customXml/itemProps1.xml><?xml version="1.0" encoding="utf-8"?>
<ds:datastoreItem xmlns:ds="http://schemas.openxmlformats.org/officeDocument/2006/customXml" ds:itemID="{BDEEE42C-5BE3-4279-A69F-76665D3F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18</Pages>
  <Words>4070</Words>
  <Characters>23203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2021-10-17T19:09:00Z</dcterms:modified>
</cp:coreProperties>
</file>