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F2FF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DD5F050" w:rsidR="0082223F" w:rsidRDefault="0082223F" w:rsidP="0082223F">
      <w:pPr>
        <w:pStyle w:val="Title"/>
      </w:pPr>
      <w:r>
        <w:t xml:space="preserve">Section 1: Week </w:t>
      </w:r>
      <w:r w:rsidR="009E3994">
        <w:t>3</w:t>
      </w:r>
      <w:r>
        <w:t xml:space="preserve">: </w:t>
      </w:r>
      <w:r w:rsidR="009E3994">
        <w:t>Global Security Risk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67543437" w:rsidR="00CB25E9" w:rsidRDefault="006D793E" w:rsidP="0082223F">
      <w:pPr>
        <w:jc w:val="center"/>
      </w:pPr>
      <w:r>
        <w:t xml:space="preserve">April </w:t>
      </w:r>
      <w:r w:rsidR="009E3994">
        <w:t>19</w:t>
      </w:r>
      <w:r>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32959E6E" w14:textId="33522148" w:rsidR="001A2276" w:rsidRDefault="009E3994" w:rsidP="001A2276">
      <w:pPr>
        <w:pStyle w:val="Heading1"/>
      </w:pPr>
      <w:r>
        <w:lastRenderedPageBreak/>
        <w:t>Global Security Risks</w:t>
      </w:r>
    </w:p>
    <w:p w14:paraId="254D38B1" w14:textId="3CCC02A8" w:rsidR="001A2276" w:rsidRDefault="001A2276" w:rsidP="00C30B91">
      <w:r>
        <w:tab/>
      </w:r>
      <w:r w:rsidR="00C93230">
        <w:t>Organizations</w:t>
      </w:r>
      <w:r>
        <w:t xml:space="preserve"> need to honor the laws and norms of any locale that they operate within, or risk violating social or legal contracts resulting in lost business or punitive fines.  As domestic organizations expand into multi-national corporations, maintaining compliance with these contracts becomes challenging as each foreign nation has different </w:t>
      </w:r>
      <w:r w:rsidR="00C93230">
        <w:t xml:space="preserve">rules </w:t>
      </w:r>
      <w:r>
        <w:t xml:space="preserve">expectations.  These variations </w:t>
      </w:r>
      <w:r w:rsidR="00C93230">
        <w:t>alter the level of transparency</w:t>
      </w:r>
      <w:r>
        <w:t xml:space="preserve"> and </w:t>
      </w:r>
      <w:r w:rsidR="00C93230">
        <w:t xml:space="preserve">legal </w:t>
      </w:r>
      <w:r>
        <w:t>protections.  For example, a ride-hailing app that wants to expand into the Chinese market needs to trade intellectual property protections for a broad audience of customers.</w:t>
      </w:r>
      <w:r w:rsidR="005F2A31">
        <w:t xml:space="preserve">  The leadership team might be willing to accept that risk but only deploy last year</w:t>
      </w:r>
      <w:r w:rsidR="00C93230">
        <w:t>’</w:t>
      </w:r>
      <w:r w:rsidR="005F2A31">
        <w:t xml:space="preserve">s feature set, not the most </w:t>
      </w:r>
      <w:r w:rsidR="00C93230">
        <w:t>cutting-edge</w:t>
      </w:r>
      <w:r w:rsidR="005F2A31">
        <w:t xml:space="preserve"> innovations.  During a later expansion into Europe, the same app might use specific features that do not meet the privacy requirements for that region.  These nuances are subtle and require an understanding of the rationale for their existence</w:t>
      </w:r>
      <w:r w:rsidR="00701D77">
        <w:t xml:space="preserve">, and what changes are required </w:t>
      </w:r>
      <w:r w:rsidR="005F2A31">
        <w:t>across the people, processes, and products to mitigate risks introduced by foreign policies.  Implementing these risk reduction strategies requires budgeting resources and devising a</w:t>
      </w:r>
      <w:r w:rsidR="00476F95">
        <w:t>n acceptable strategy for the senior leadership team</w:t>
      </w:r>
      <w:r w:rsidR="005F2A31">
        <w:t>.</w:t>
      </w:r>
    </w:p>
    <w:p w14:paraId="798EAFC9" w14:textId="77777777" w:rsidR="00771C60" w:rsidRDefault="00771C60" w:rsidP="00C30B91"/>
    <w:p w14:paraId="0FA10AF8" w14:textId="4D62B354" w:rsidR="00026AC7" w:rsidRDefault="00026AC7" w:rsidP="00C30B91">
      <w:pPr>
        <w:pStyle w:val="Heading1"/>
      </w:pPr>
      <w:r>
        <w:t xml:space="preserve">Section I: Understanding </w:t>
      </w:r>
      <w:r w:rsidR="00FA43BF">
        <w:t xml:space="preserve">Global </w:t>
      </w:r>
      <w:r>
        <w:t>Risk</w:t>
      </w:r>
    </w:p>
    <w:p w14:paraId="20B76C90" w14:textId="37CC9E04" w:rsidR="007079A8" w:rsidRPr="0009101F" w:rsidRDefault="00FA43BF" w:rsidP="007079A8">
      <w:pPr>
        <w:ind w:firstLine="720"/>
      </w:pPr>
      <w:r>
        <w:t>International organizations encounter specific risks towards</w:t>
      </w:r>
      <w:r w:rsidR="0009101F" w:rsidRPr="0009101F">
        <w:t xml:space="preserve"> </w:t>
      </w:r>
      <w:r>
        <w:t>their</w:t>
      </w:r>
      <w:r w:rsidR="0009101F" w:rsidRPr="0009101F">
        <w:t xml:space="preserve"> continuity</w:t>
      </w:r>
      <w:r>
        <w:t>, and this requires executing across decentralized compliance and regulatory environments</w:t>
      </w:r>
      <w:r w:rsidR="0009101F" w:rsidRPr="0009101F">
        <w:t>.</w:t>
      </w:r>
      <w:r w:rsidR="00C814D4">
        <w:t xml:space="preserve">  These distinctions cause the Internet to function more like a collection of islands than a homogenous communication platform.  Businesses also need to consider </w:t>
      </w:r>
      <w:r w:rsidR="007079A8">
        <w:t xml:space="preserve">any </w:t>
      </w:r>
      <w:r w:rsidR="00C814D4">
        <w:t>legal protection</w:t>
      </w:r>
      <w:r w:rsidR="007079A8">
        <w:t xml:space="preserve"> limitations</w:t>
      </w:r>
      <w:r w:rsidR="00C814D4">
        <w:t xml:space="preserve"> around both personal and corporate privacy before sharing innovations or expecting assistance after a crime.</w:t>
      </w:r>
    </w:p>
    <w:p w14:paraId="2CAEEE36" w14:textId="77777777" w:rsidR="007079A8" w:rsidRDefault="007079A8">
      <w:pPr>
        <w:rPr>
          <w:b/>
        </w:rPr>
      </w:pPr>
      <w:r>
        <w:br w:type="page"/>
      </w:r>
    </w:p>
    <w:p w14:paraId="209D55D3" w14:textId="3FD6C0CA" w:rsidR="00095BB2" w:rsidRDefault="00095BB2" w:rsidP="00095BB2">
      <w:pPr>
        <w:pStyle w:val="Heading2"/>
      </w:pPr>
      <w:r>
        <w:lastRenderedPageBreak/>
        <w:t>Geography and Sovereignty</w:t>
      </w:r>
    </w:p>
    <w:p w14:paraId="6DB05442" w14:textId="3ED54379" w:rsidR="00095BB2" w:rsidRDefault="00095BB2" w:rsidP="00095BB2">
      <w:r>
        <w:tab/>
        <w:t>The premise of the Internet is an open communication system that connects people from around the world, enabling commerce and ideas to flow freely.  However, nation-states also want to protect their sovereignty and enforce laws around these interactions</w:t>
      </w:r>
      <w:sdt>
        <w:sdtPr>
          <w:id w:val="724805024"/>
          <w:citation/>
        </w:sdtPr>
        <w:sdtEndPr/>
        <w:sdtContent>
          <w:r w:rsidR="00C755A9">
            <w:fldChar w:fldCharType="begin"/>
          </w:r>
          <w:r w:rsidR="00C755A9">
            <w:instrText xml:space="preserve"> CITATION Ink15 \l 1033 </w:instrText>
          </w:r>
          <w:r w:rsidR="00C755A9">
            <w:fldChar w:fldCharType="separate"/>
          </w:r>
          <w:r w:rsidR="00C755A9">
            <w:rPr>
              <w:noProof/>
            </w:rPr>
            <w:t xml:space="preserve"> (Inkster, 2015)</w:t>
          </w:r>
          <w:r w:rsidR="00C755A9">
            <w:fldChar w:fldCharType="end"/>
          </w:r>
        </w:sdtContent>
      </w:sdt>
      <w:r>
        <w:t>.  These competing requirements cause national security policies to make trade-offs between government control, societal freedoms, and rights of international actors</w:t>
      </w:r>
      <w:sdt>
        <w:sdtPr>
          <w:id w:val="-1713567013"/>
          <w:citation/>
        </w:sdtPr>
        <w:sdtEndPr/>
        <w:sdtContent>
          <w:r>
            <w:fldChar w:fldCharType="begin"/>
          </w:r>
          <w:r>
            <w:instrText xml:space="preserve"> CITATION Kov181 \l 1033 </w:instrText>
          </w:r>
          <w:r>
            <w:fldChar w:fldCharType="separate"/>
          </w:r>
          <w:r>
            <w:rPr>
              <w:noProof/>
            </w:rPr>
            <w:t xml:space="preserve"> (Kovacs.2, 2018)</w:t>
          </w:r>
          <w:r>
            <w:fldChar w:fldCharType="end"/>
          </w:r>
        </w:sdtContent>
      </w:sdt>
      <w:r>
        <w:t>.  Since the values of democratic and authoritarian nations vary substantially, it is unrealistic to assume a unified set of policies can exist that appeal to all countries.  Instead, nearly all nations legislate laws that target the Internet infrastructure that resides within their state</w:t>
      </w:r>
      <w:sdt>
        <w:sdtPr>
          <w:id w:val="-1900196567"/>
          <w:citation/>
        </w:sdtPr>
        <w:sdtEndPr/>
        <w:sdtContent>
          <w:r>
            <w:fldChar w:fldCharType="begin"/>
          </w:r>
          <w:r>
            <w:instrText xml:space="preserve"> CITATION Mat14 \l 1033 </w:instrText>
          </w:r>
          <w:r>
            <w:fldChar w:fldCharType="separate"/>
          </w:r>
          <w:r>
            <w:rPr>
              <w:noProof/>
            </w:rPr>
            <w:t xml:space="preserve"> (Matsubara, 2014)</w:t>
          </w:r>
          <w:r>
            <w:fldChar w:fldCharType="end"/>
          </w:r>
        </w:sdtContent>
      </w:sdt>
      <w:r>
        <w:t>.  These decisions create geography that influences the protective capabilities and behavior</w:t>
      </w:r>
      <w:r w:rsidR="00782174">
        <w:t>al</w:t>
      </w:r>
      <w:r>
        <w:t xml:space="preserve"> norms.  For instance, the European Union</w:t>
      </w:r>
      <w:r w:rsidR="00782174">
        <w:t xml:space="preserve"> (EU)</w:t>
      </w:r>
      <w:r>
        <w:t xml:space="preserve"> believes that building a digital economy begins with user privacy</w:t>
      </w:r>
      <w:sdt>
        <w:sdtPr>
          <w:id w:val="1204747218"/>
          <w:citation/>
        </w:sdtPr>
        <w:sdtEndPr/>
        <w:sdtContent>
          <w:r>
            <w:fldChar w:fldCharType="begin"/>
          </w:r>
          <w:r>
            <w:instrText xml:space="preserve"> CITATION Kov18 \l 1033 </w:instrText>
          </w:r>
          <w:r>
            <w:fldChar w:fldCharType="separate"/>
          </w:r>
          <w:r>
            <w:rPr>
              <w:noProof/>
            </w:rPr>
            <w:t xml:space="preserve"> (Kovacs.1, 2018)</w:t>
          </w:r>
          <w:r>
            <w:fldChar w:fldCharType="end"/>
          </w:r>
        </w:sdtContent>
      </w:sdt>
      <w:r>
        <w:t>.  While the EU</w:t>
      </w:r>
      <w:r w:rsidR="00C93230">
        <w:t>’</w:t>
      </w:r>
      <w:r>
        <w:t xml:space="preserve">s Global Data Protection Regulations (GDPR) mandates severe penalties for negligence, like data breaches, authoritarian countries such as Russia are more </w:t>
      </w:r>
      <w:proofErr w:type="gramStart"/>
      <w:r>
        <w:t>laisse-fair</w:t>
      </w:r>
      <w:proofErr w:type="gramEnd"/>
      <w:r>
        <w:t>.  These value differences appear in other aspects like the transparency to share evidence or assist with criminal investigations.</w:t>
      </w:r>
    </w:p>
    <w:p w14:paraId="6C5A6B4A" w14:textId="25C76667" w:rsidR="00D20C80" w:rsidRDefault="00DE5203" w:rsidP="00D20C80">
      <w:pPr>
        <w:pStyle w:val="Heading2"/>
      </w:pPr>
      <w:r w:rsidRPr="00DE5203">
        <w:t>Cyberespionage</w:t>
      </w:r>
      <w:r w:rsidR="0035266A">
        <w:t xml:space="preserve"> </w:t>
      </w:r>
      <w:r>
        <w:t xml:space="preserve"> </w:t>
      </w:r>
    </w:p>
    <w:p w14:paraId="386A3460" w14:textId="5605F708" w:rsidR="001A2276" w:rsidRDefault="009622E7" w:rsidP="00077C00">
      <w:pPr>
        <w:ind w:firstLine="720"/>
      </w:pPr>
      <w:r>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EndPr/>
        <w:sdtContent>
          <w:r>
            <w:fldChar w:fldCharType="begin"/>
          </w:r>
          <w:r>
            <w:instrText xml:space="preserve"> CITATION Ben19 \l 1033 </w:instrText>
          </w:r>
          <w:r>
            <w:fldChar w:fldCharType="separate"/>
          </w:r>
          <w:r>
            <w:rPr>
              <w:noProof/>
            </w:rPr>
            <w:t xml:space="preserve"> (Bensinger, 2019)</w:t>
          </w:r>
          <w:r>
            <w:fldChar w:fldCharType="end"/>
          </w:r>
        </w:sdtContent>
      </w:sdt>
      <w:r>
        <w:t xml:space="preserve">.  When the same theft occurs across international borders, jurisdiction becomes less clear and is more challenging to enforce.  </w:t>
      </w:r>
      <w:r w:rsidR="003A5B56">
        <w:t>Participants in these hostile markets need to be aware that espionage comes from various sources, such as individual hackers and nation-states</w:t>
      </w:r>
      <w:r w:rsidR="00351795" w:rsidRPr="00351795">
        <w:t xml:space="preserve"> </w:t>
      </w:r>
      <w:sdt>
        <w:sdtPr>
          <w:id w:val="1776277824"/>
          <w:citation/>
        </w:sdtPr>
        <w:sdtEndPr/>
        <w:sdtContent>
          <w:r w:rsidR="00351795">
            <w:fldChar w:fldCharType="begin"/>
          </w:r>
          <w:r w:rsidR="00351795">
            <w:instrText xml:space="preserve"> CITATION Kre19 \l 1033 </w:instrText>
          </w:r>
          <w:r w:rsidR="00351795">
            <w:fldChar w:fldCharType="separate"/>
          </w:r>
          <w:r w:rsidR="00351795">
            <w:rPr>
              <w:noProof/>
            </w:rPr>
            <w:t>(Krebs, 2019)</w:t>
          </w:r>
          <w:r w:rsidR="00351795">
            <w:fldChar w:fldCharType="end"/>
          </w:r>
        </w:sdtContent>
      </w:sdt>
      <w:r w:rsidR="003A5B56">
        <w:t xml:space="preserve">.  International law does not prohibit these nation-states spying, Article 51 of the United Nations </w:t>
      </w:r>
      <w:r w:rsidR="003A5B56">
        <w:lastRenderedPageBreak/>
        <w:t>charter even allows it under the disguise of self-defense</w:t>
      </w:r>
      <w:sdt>
        <w:sdtPr>
          <w:id w:val="-1288509646"/>
          <w:citation/>
        </w:sdtPr>
        <w:sdtEndPr/>
        <w:sdtContent>
          <w:r w:rsidR="003A5B56">
            <w:fldChar w:fldCharType="begin"/>
          </w:r>
          <w:r w:rsidR="003A5B56">
            <w:instrText xml:space="preserve"> CITATION Ban17 \l 1033 </w:instrText>
          </w:r>
          <w:r w:rsidR="003A5B56">
            <w:fldChar w:fldCharType="separate"/>
          </w:r>
          <w:r w:rsidR="003A5B56">
            <w:rPr>
              <w:noProof/>
            </w:rPr>
            <w:t xml:space="preserve"> (Banks, 2017)</w:t>
          </w:r>
          <w:r w:rsidR="003A5B56">
            <w:fldChar w:fldCharType="end"/>
          </w:r>
        </w:sdtContent>
      </w:sdt>
      <w:r w:rsidR="003A5B56">
        <w:t xml:space="preserve">.  Some states argue that different rules should exist for monitoring public and private institutions.  </w:t>
      </w:r>
      <w:r w:rsidR="003A5B56" w:rsidRPr="003A5B56">
        <w:t>However, this perspective employs a very Western vie</w:t>
      </w:r>
      <w:r w:rsidR="003A5B56">
        <w:t>w</w:t>
      </w:r>
      <w:r w:rsidR="003A5B56" w:rsidRPr="003A5B56">
        <w:t xml:space="preserve">.  For socialist countries, the distinction is </w:t>
      </w:r>
      <w:r w:rsidR="003A5B56">
        <w:t>fuzzier</w:t>
      </w:r>
      <w:r w:rsidR="003A5B56" w:rsidRPr="003A5B56">
        <w:t xml:space="preserve"> than a pure</w:t>
      </w:r>
      <w:r w:rsidR="003A5B56">
        <w:t>ly</w:t>
      </w:r>
      <w:r w:rsidR="003A5B56" w:rsidRPr="003A5B56">
        <w:t xml:space="preserve"> cap</w:t>
      </w:r>
      <w:r w:rsidR="003A5B56">
        <w:t>it</w:t>
      </w:r>
      <w:r w:rsidR="003A5B56" w:rsidRPr="003A5B56">
        <w:t xml:space="preserve">alist society </w:t>
      </w:r>
      <w:r w:rsidR="003A5B56">
        <w:t xml:space="preserve">as the boundary between the industries lacks </w:t>
      </w:r>
      <w:r w:rsidR="0035266A">
        <w:t xml:space="preserve">a </w:t>
      </w:r>
      <w:r w:rsidR="003A5B56">
        <w:t>consistent definition.</w:t>
      </w:r>
    </w:p>
    <w:p w14:paraId="36807EA8" w14:textId="77777777" w:rsidR="00D20C80" w:rsidRDefault="00DE5203" w:rsidP="00D20C80">
      <w:pPr>
        <w:pStyle w:val="Heading2"/>
      </w:pPr>
      <w:r>
        <w:t>Cyber sabotage</w:t>
      </w:r>
    </w:p>
    <w:p w14:paraId="321ADB45" w14:textId="71E9B9F0" w:rsidR="00C27FC3" w:rsidRDefault="00351795" w:rsidP="00D20C80">
      <w:pPr>
        <w:ind w:firstLine="720"/>
      </w:pPr>
      <w:r>
        <w:t>Using technologies like ransomware, malicious software that encrypts digital devices, nefarious actors can force an organization to purchase decryption keys</w:t>
      </w:r>
      <w:r w:rsidR="00782174">
        <w:t xml:space="preserve"> before restoring service</w:t>
      </w:r>
      <w:sdt>
        <w:sdtPr>
          <w:id w:val="-1274085217"/>
          <w:citation/>
        </w:sdtPr>
        <w:sdtEndPr/>
        <w:sdtContent>
          <w:r>
            <w:fldChar w:fldCharType="begin"/>
          </w:r>
          <w:r>
            <w:instrText xml:space="preserve"> CITATION The17 \l 1033 </w:instrText>
          </w:r>
          <w:r>
            <w:fldChar w:fldCharType="separate"/>
          </w:r>
          <w:r>
            <w:rPr>
              <w:noProof/>
            </w:rPr>
            <w:t xml:space="preserve"> (Busdicker &amp; Upendra, 2017)</w:t>
          </w:r>
          <w:r>
            <w:fldChar w:fldCharType="end"/>
          </w:r>
        </w:sdtContent>
      </w:sdt>
      <w:r>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Pr="00351795">
        <w:t xml:space="preserve"> </w:t>
      </w:r>
      <w:sdt>
        <w:sdtPr>
          <w:id w:val="-397291828"/>
          <w:citation/>
        </w:sdtPr>
        <w:sdtEndPr/>
        <w:sdtContent>
          <w:r>
            <w:fldChar w:fldCharType="begin"/>
          </w:r>
          <w:r>
            <w:instrText xml:space="preserve"> CITATION Fis17 \l 1033 </w:instrText>
          </w:r>
          <w:r>
            <w:fldChar w:fldCharType="separate"/>
          </w:r>
          <w:r>
            <w:rPr>
              <w:noProof/>
            </w:rPr>
            <w:t>(Fischerkeller &amp; Harknett, 217)</w:t>
          </w:r>
          <w:r>
            <w:fldChar w:fldCharType="end"/>
          </w:r>
        </w:sdtContent>
      </w:sdt>
      <w:r>
        <w:t>.  Technological solutions like deploying applications across multiple Public Cloud Service Provider (CSP) data centers can minimize the influence of DoS attacks.  However, these same legal protections do not uniformly exist across the globe</w:t>
      </w:r>
      <w:r w:rsidR="005070B5">
        <w:t>,</w:t>
      </w:r>
      <w:r>
        <w:t xml:space="preserve"> and regulations around data placement can limit the accessibility of </w:t>
      </w:r>
      <w:r w:rsidR="005070B5">
        <w:t xml:space="preserve">flexible </w:t>
      </w:r>
      <w:r>
        <w:t>fail-over solutions.</w:t>
      </w:r>
    </w:p>
    <w:p w14:paraId="115CA9E0" w14:textId="77777777" w:rsidR="00D20C80" w:rsidRDefault="00F81443" w:rsidP="00D20C80">
      <w:pPr>
        <w:pStyle w:val="Heading2"/>
      </w:pPr>
      <w:r>
        <w:t>Subversion</w:t>
      </w:r>
    </w:p>
    <w:p w14:paraId="5D6391C8" w14:textId="6F424DCB" w:rsidR="002362FA" w:rsidRPr="00077C00" w:rsidRDefault="00F81443" w:rsidP="00077C00">
      <w:pPr>
        <w:ind w:firstLine="720"/>
      </w:pPr>
      <w:r>
        <w:t>The international community does not agree on the strict definition of what constitutes a cyber-attack</w:t>
      </w:r>
      <w:sdt>
        <w:sdtPr>
          <w:id w:val="567532436"/>
          <w:citation/>
        </w:sdtPr>
        <w:sdtEndPr/>
        <w:sdtContent>
          <w:r>
            <w:fldChar w:fldCharType="begin"/>
          </w:r>
          <w:r>
            <w:instrText xml:space="preserve"> CITATION Fis17 \l 1033 </w:instrText>
          </w:r>
          <w:r>
            <w:fldChar w:fldCharType="separate"/>
          </w:r>
          <w:r>
            <w:rPr>
              <w:noProof/>
            </w:rPr>
            <w:t xml:space="preserve"> (Fischerkeller &amp; Harknett, 217)</w:t>
          </w:r>
          <w:r>
            <w:fldChar w:fldCharType="end"/>
          </w:r>
        </w:sdtContent>
      </w:sdt>
      <w:r>
        <w:t xml:space="preserve">.  These differences influence auditing and compliance requirements between countries and prevent direct comparisons </w:t>
      </w:r>
      <w:r w:rsidR="00D20C80">
        <w:t xml:space="preserve">across </w:t>
      </w:r>
      <w:r>
        <w:t>polic</w:t>
      </w:r>
      <w:r w:rsidR="00D20C80">
        <w:t xml:space="preserve">ies </w:t>
      </w:r>
      <w:r>
        <w:t xml:space="preserve">or </w:t>
      </w:r>
      <w:r w:rsidR="00D20C80">
        <w:t>statistics</w:t>
      </w:r>
      <w:sdt>
        <w:sdtPr>
          <w:id w:val="-1995171479"/>
          <w:citation/>
        </w:sdtPr>
        <w:sdtEndPr/>
        <w:sdtContent>
          <w:r>
            <w:fldChar w:fldCharType="begin"/>
          </w:r>
          <w:r>
            <w:instrText xml:space="preserve"> CITATION Mat14 \l 1033 </w:instrText>
          </w:r>
          <w:r>
            <w:fldChar w:fldCharType="separate"/>
          </w:r>
          <w:r>
            <w:rPr>
              <w:noProof/>
            </w:rPr>
            <w:t xml:space="preserve"> (Matsubara, 2014)</w:t>
          </w:r>
          <w:r>
            <w:fldChar w:fldCharType="end"/>
          </w:r>
        </w:sdtContent>
      </w:sdt>
      <w:r>
        <w:t>.</w:t>
      </w:r>
      <w:r w:rsidR="00D20C80">
        <w:t xml:space="preserve">  The political values of nations contribute to the disparity, such as Europe prioritizing end-user safety versus authoritarian governments preferring to save face.  When requirements around transparency do not fully exist, then even legitimate partners are </w:t>
      </w:r>
      <w:r w:rsidR="00D20C80">
        <w:lastRenderedPageBreak/>
        <w:t xml:space="preserve">unlikely to tell the whole truth.  Being the only business that is forthcoming creates a competitive disadvantage, as customers only see </w:t>
      </w:r>
      <w:r w:rsidR="00C93230">
        <w:t>“</w:t>
      </w:r>
      <w:r w:rsidR="00D20C80">
        <w:t>A</w:t>
      </w:r>
      <w:r w:rsidR="00C93230">
        <w:t>”</w:t>
      </w:r>
      <w:r w:rsidR="00D20C80">
        <w:t xml:space="preserve"> </w:t>
      </w:r>
      <w:r w:rsidR="00782174">
        <w:t xml:space="preserve">claims to be </w:t>
      </w:r>
      <w:r w:rsidR="00D20C80">
        <w:t xml:space="preserve">more secure than </w:t>
      </w:r>
      <w:r w:rsidR="00C93230">
        <w:t>“</w:t>
      </w:r>
      <w:r w:rsidR="00D20C80">
        <w:t>B.</w:t>
      </w:r>
      <w:r w:rsidR="00C93230">
        <w:t>”</w:t>
      </w:r>
      <w:r w:rsidR="00D20C80">
        <w:t xml:space="preserve"> Without a carrot or stick, how can a domestic company ensure security incidents are timely and accurately communicated?  </w:t>
      </w:r>
      <w:r w:rsidR="00EA7A4C">
        <w:t>Imagine the challenges with less reputable entities, if these are the risks with legitimate partners.</w:t>
      </w:r>
    </w:p>
    <w:p w14:paraId="795D5CF5" w14:textId="6F48F81E" w:rsidR="00026AC7" w:rsidRDefault="00026AC7" w:rsidP="00C30B91">
      <w:pPr>
        <w:pStyle w:val="Heading1"/>
      </w:pPr>
      <w:r>
        <w:t xml:space="preserve">Section II: Mitigating </w:t>
      </w:r>
      <w:r w:rsidR="0009101F">
        <w:t xml:space="preserve">Global </w:t>
      </w:r>
      <w:r>
        <w:t>Risk</w:t>
      </w:r>
    </w:p>
    <w:p w14:paraId="16801744" w14:textId="3693A5BF" w:rsidR="0009101F" w:rsidRPr="0009101F" w:rsidRDefault="00FA43BF" w:rsidP="00FA43BF">
      <w:pPr>
        <w:ind w:firstLine="720"/>
      </w:pPr>
      <w:r>
        <w:t xml:space="preserve">Mitigating risks from international interactions requires </w:t>
      </w:r>
      <w:r w:rsidR="0009101F">
        <w:t>a comprehensive plan that spans people, processes, and products.  These plans can begin life as grassroots initiatives but require ownership from executive leadership to gain the necessary funding and prioritization</w:t>
      </w:r>
      <w:sdt>
        <w:sdtPr>
          <w:id w:val="-219367956"/>
          <w:citation/>
        </w:sdtPr>
        <w:sdtEndPr/>
        <w:sdtContent>
          <w:r w:rsidR="0009101F">
            <w:fldChar w:fldCharType="begin"/>
          </w:r>
          <w:r w:rsidR="0009101F">
            <w:instrText xml:space="preserve"> CITATION Eri18 \l 1033 </w:instrText>
          </w:r>
          <w:r w:rsidR="0009101F">
            <w:fldChar w:fldCharType="separate"/>
          </w:r>
          <w:r w:rsidR="0009101F">
            <w:rPr>
              <w:noProof/>
            </w:rPr>
            <w:t xml:space="preserve"> (Erickson &amp; Neilson, 2018)</w:t>
          </w:r>
          <w:r w:rsidR="0009101F">
            <w:fldChar w:fldCharType="end"/>
          </w:r>
        </w:sdtContent>
      </w:sdt>
      <w:r w:rsidR="0009101F">
        <w:t>.</w:t>
      </w:r>
      <w:r>
        <w:t xml:space="preserve">  </w:t>
      </w:r>
      <w:r w:rsidRPr="0009101F">
        <w:t>Challenges from cyber</w:t>
      </w:r>
      <w:r w:rsidR="006A5726">
        <w:t>security</w:t>
      </w:r>
      <w:r w:rsidRPr="0009101F">
        <w:t xml:space="preserve"> need the same attention as any other aspect</w:t>
      </w:r>
      <w:r w:rsidR="00782174">
        <w:t xml:space="preserve"> of business continuity</w:t>
      </w:r>
      <w:r w:rsidRPr="0009101F">
        <w:t xml:space="preserve">, such as supply chain shock or cash flow management.  </w:t>
      </w:r>
      <w:r>
        <w:t xml:space="preserve">Ignoring these </w:t>
      </w:r>
      <w:r w:rsidR="00782174">
        <w:t xml:space="preserve">security </w:t>
      </w:r>
      <w:r w:rsidR="006A5726">
        <w:t>vulnerabilities</w:t>
      </w:r>
      <w:r>
        <w:t xml:space="preserve"> creates a </w:t>
      </w:r>
      <w:r w:rsidRPr="0009101F">
        <w:t>timebomb that will eventually cause disruption</w:t>
      </w:r>
      <w:r>
        <w:t>s</w:t>
      </w:r>
      <w:r w:rsidRPr="0009101F">
        <w:t xml:space="preserve"> and impact the </w:t>
      </w:r>
      <w:r w:rsidR="00C93230" w:rsidRPr="0009101F">
        <w:t>company’s</w:t>
      </w:r>
      <w:r w:rsidRPr="0009101F">
        <w:t xml:space="preserve"> ability to deliver success.</w:t>
      </w:r>
    </w:p>
    <w:p w14:paraId="0CF7AEBC" w14:textId="67F573A9" w:rsidR="0009101F" w:rsidRDefault="00026AC7" w:rsidP="0009101F">
      <w:pPr>
        <w:pStyle w:val="Heading2"/>
      </w:pPr>
      <w:r>
        <w:t>People</w:t>
      </w:r>
    </w:p>
    <w:p w14:paraId="307CDF03" w14:textId="45CE4BD1" w:rsidR="00077C00" w:rsidRDefault="006A5726" w:rsidP="00361089">
      <w:r>
        <w:tab/>
        <w:t xml:space="preserve">The most crucial resource of an organization are the employees, and any plan for success needs to begin </w:t>
      </w:r>
      <w:r w:rsidR="00A33A8D">
        <w:t>here</w:t>
      </w:r>
      <w:r>
        <w:t>.</w:t>
      </w:r>
      <w:r w:rsidR="00A33A8D">
        <w:t xml:space="preserve">  </w:t>
      </w:r>
      <w:r w:rsidR="00C93230">
        <w:t>Valientes</w:t>
      </w:r>
      <w:r w:rsidR="00A33A8D">
        <w:t xml:space="preserve"> (2017) estimates that nearly half of security incidents result from employee negligence, like interacting with phishing attacks and fat-fingering database commands.  Businesses that focus on security awareness training can reduce these statistics and create more reliable systems.  This awareness needs to touch on cultural expectations, such as European customer data, cannot leave Europe.  Initially, these expectations appear arbitrary, but communications the geographical nature of the Internet presents general consistencies and best practice patterns.  It also leads to an understanding</w:t>
      </w:r>
      <w:r w:rsidR="000C3F29">
        <w:t xml:space="preserve"> of</w:t>
      </w:r>
      <w:r w:rsidR="00A33A8D">
        <w:t xml:space="preserve"> </w:t>
      </w:r>
      <w:r w:rsidR="000C3F29">
        <w:t>how</w:t>
      </w:r>
      <w:r w:rsidR="00A33A8D">
        <w:t xml:space="preserve"> various levels of legal enforce</w:t>
      </w:r>
      <w:r w:rsidR="000C3F29">
        <w:t>ability</w:t>
      </w:r>
      <w:r w:rsidR="00A33A8D">
        <w:t xml:space="preserve"> influence release schedules of new features and innovation</w:t>
      </w:r>
      <w:r w:rsidR="000C3F29">
        <w:t xml:space="preserve"> into foreign markets</w:t>
      </w:r>
      <w:r w:rsidR="00A33A8D">
        <w:t xml:space="preserve">.  This training </w:t>
      </w:r>
      <w:r w:rsidR="00A33A8D">
        <w:lastRenderedPageBreak/>
        <w:t xml:space="preserve">applies to all levels of the business, such as how technicians assist </w:t>
      </w:r>
      <w:r w:rsidR="000A5544">
        <w:t xml:space="preserve">international </w:t>
      </w:r>
      <w:r w:rsidR="00A33A8D">
        <w:t>customers, and how executives bundle products for international distribution.</w:t>
      </w:r>
    </w:p>
    <w:p w14:paraId="6D91EC5E" w14:textId="1AAB0D63" w:rsidR="00026AC7" w:rsidRDefault="00026AC7" w:rsidP="00C30B91">
      <w:pPr>
        <w:pStyle w:val="Heading2"/>
      </w:pPr>
      <w:r>
        <w:t>Process</w:t>
      </w:r>
    </w:p>
    <w:p w14:paraId="41045608" w14:textId="63F6A5F6" w:rsidR="00C27FC3" w:rsidRDefault="00366DFB" w:rsidP="00361089">
      <w:r>
        <w:tab/>
      </w:r>
      <w:r w:rsidR="00361089">
        <w:t xml:space="preserve">Protecting against global risks requires augmenting business processes and asset lifecycle management.  Hennig (2018) recommends starting with a threat modeling to identify what </w:t>
      </w:r>
      <w:r w:rsidR="000C3F29">
        <w:t xml:space="preserve">resources </w:t>
      </w:r>
      <w:r w:rsidR="00361089">
        <w:t xml:space="preserve">need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Those conversations are likely to be intercepted </w:t>
      </w:r>
      <w:proofErr w:type="gramStart"/>
      <w:r w:rsidR="00361089">
        <w:t>and also</w:t>
      </w:r>
      <w:proofErr w:type="gramEnd"/>
      <w:r w:rsidR="00361089">
        <w:t xml:space="preserve"> viewed nation-states, either across the wire </w:t>
      </w:r>
      <w:r w:rsidR="000C3F29">
        <w:t xml:space="preserve">an </w:t>
      </w:r>
      <w:r w:rsidR="00361089">
        <w:t xml:space="preserve">official </w:t>
      </w:r>
      <w:r w:rsidR="00361089" w:rsidRPr="00361089">
        <w:t>subpoena</w:t>
      </w:r>
      <w:r w:rsidR="00361089">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EndPr/>
        <w:sdtContent>
          <w:r w:rsidR="00361089">
            <w:fldChar w:fldCharType="begin"/>
          </w:r>
          <w:r w:rsidR="00361089">
            <w:instrText xml:space="preserve"> CITATION The17 \l 1033 </w:instrText>
          </w:r>
          <w:r w:rsidR="00361089">
            <w:fldChar w:fldCharType="separate"/>
          </w:r>
          <w:r w:rsidR="00361089">
            <w:rPr>
              <w:noProof/>
            </w:rPr>
            <w:t xml:space="preserve"> (Busdicker &amp; Upendra, 2017)</w:t>
          </w:r>
          <w:r w:rsidR="00361089">
            <w:fldChar w:fldCharType="end"/>
          </w:r>
        </w:sdtContent>
      </w:sdt>
      <w:r w:rsidR="00361089">
        <w:t>.  Identifying and repairing vulnerabilities across this lifecycle needs to be an iterative process that seeks feedback and incorporates it.  An effective strategy for promoting these feedback loops begins an organizational culture, that feels comfortable reaching out to the incident response teams, without fear of retribution</w:t>
      </w:r>
      <w:sdt>
        <w:sdtPr>
          <w:id w:val="1229806914"/>
          <w:citation/>
        </w:sdtPr>
        <w:sdtEndPr/>
        <w:sdtContent>
          <w:r w:rsidR="00923A2D">
            <w:fldChar w:fldCharType="begin"/>
          </w:r>
          <w:r w:rsidR="00923A2D">
            <w:instrText xml:space="preserve"> CITATION Dai19 \l 1033 </w:instrText>
          </w:r>
          <w:r w:rsidR="00923A2D">
            <w:fldChar w:fldCharType="separate"/>
          </w:r>
          <w:r w:rsidR="00923A2D">
            <w:rPr>
              <w:noProof/>
            </w:rPr>
            <w:t xml:space="preserve"> (Dai Zovi, 2019)</w:t>
          </w:r>
          <w:r w:rsidR="00923A2D">
            <w:fldChar w:fldCharType="end"/>
          </w:r>
        </w:sdtContent>
      </w:sdt>
      <w:r w:rsidR="00361089">
        <w:t xml:space="preserve">.  Leadership teams need to prioritize building these </w:t>
      </w:r>
      <w:r w:rsidR="009F38EA">
        <w:t>intra-team trust relationships</w:t>
      </w:r>
      <w:r w:rsidR="00361089">
        <w:t xml:space="preserve"> through combinations of social outreach and bug bounty programs.</w:t>
      </w:r>
    </w:p>
    <w:p w14:paraId="615102AB" w14:textId="02628DA3" w:rsidR="00C27FC3" w:rsidRDefault="00026AC7" w:rsidP="00100E65">
      <w:pPr>
        <w:pStyle w:val="Heading2"/>
      </w:pPr>
      <w:r>
        <w:t>Products</w:t>
      </w:r>
    </w:p>
    <w:p w14:paraId="19E056EC" w14:textId="353E2450" w:rsidR="00100E65" w:rsidRPr="00100E65" w:rsidRDefault="00100E65" w:rsidP="00100E65">
      <w:r>
        <w:tab/>
        <w:t>The products release</w:t>
      </w:r>
      <w:r w:rsidR="009F38EA">
        <w:t>d</w:t>
      </w:r>
      <w:r>
        <w:t xml:space="preserve"> into a market need to consider the security assertions of both the foreign market and the domestic organization.  For instance, authoritarian nations will steal innovations and share those trade secrets with </w:t>
      </w:r>
      <w:r w:rsidR="009F38EA">
        <w:t xml:space="preserve">foreign </w:t>
      </w:r>
      <w:r>
        <w:t xml:space="preserve">competitors.   The inverse can also be true, </w:t>
      </w:r>
      <w:r>
        <w:lastRenderedPageBreak/>
        <w:t>where products lack the security assertions of the foreign market and are not permissible.  Recently K</w:t>
      </w:r>
      <w:r w:rsidRPr="00100E65">
        <w:t>aspersky</w:t>
      </w:r>
      <w:r>
        <w:t xml:space="preserve"> Anti-Virus was banned from several American institutions because of concerns that Russia could maliciously control the software</w:t>
      </w:r>
      <w:sdt>
        <w:sdtPr>
          <w:id w:val="-625392559"/>
          <w:citation/>
        </w:sdtPr>
        <w:sdtEndPr/>
        <w:sdtContent>
          <w:r>
            <w:fldChar w:fldCharType="begin"/>
          </w:r>
          <w:r>
            <w:instrText xml:space="preserve"> CITATION Kre19 \l 1033 </w:instrText>
          </w:r>
          <w:r>
            <w:fldChar w:fldCharType="separate"/>
          </w:r>
          <w:r>
            <w:rPr>
              <w:noProof/>
            </w:rPr>
            <w:t xml:space="preserve"> (Krebs, 2019)</w:t>
          </w:r>
          <w:r>
            <w:fldChar w:fldCharType="end"/>
          </w:r>
        </w:sdtContent>
      </w:sdt>
      <w:r>
        <w:t xml:space="preserve">.  This trait is not unique to authoritarian nations, as </w:t>
      </w:r>
      <w:r w:rsidR="001D7E67">
        <w:t xml:space="preserve">specific </w:t>
      </w:r>
      <w:r>
        <w:t xml:space="preserve">New Zealand products have been ban from France for not meeting privacy </w:t>
      </w:r>
      <w:r w:rsidR="001D7E67">
        <w:t>norms</w:t>
      </w:r>
      <w:sdt>
        <w:sdtPr>
          <w:id w:val="-210106688"/>
          <w:citation/>
        </w:sdtPr>
        <w:sdtEndPr/>
        <w:sdtContent>
          <w:r>
            <w:fldChar w:fldCharType="begin"/>
          </w:r>
          <w:r>
            <w:instrText xml:space="preserve"> CITATION Hun191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77E6004D" w14:textId="0BD31D02" w:rsidR="00026AC7" w:rsidRDefault="00026AC7" w:rsidP="00C30B91">
      <w:pPr>
        <w:pStyle w:val="Heading1"/>
      </w:pPr>
      <w:r>
        <w:t>Section III: Budgeting Resources</w:t>
      </w:r>
    </w:p>
    <w:p w14:paraId="2E8EE59F" w14:textId="7516D92F" w:rsidR="001374E9" w:rsidRDefault="008813F3" w:rsidP="008813F3">
      <w:r>
        <w:tab/>
        <w:t xml:space="preserve">When evaluating how much mitigating global risk costs, it is analogous to asking how much a sack of groceries </w:t>
      </w:r>
      <w:r w:rsidR="00C93230">
        <w:t>costs and</w:t>
      </w:r>
      <w:r>
        <w:t xml:space="preserve"> is dependent on what needs to occur.  Some aspects are relatively cheap, such as mandatory awareness training for the staff and periodically testing their competencies</w:t>
      </w:r>
      <w:r w:rsidRPr="008813F3">
        <w:t xml:space="preserve"> </w:t>
      </w:r>
      <w:sdt>
        <w:sdtPr>
          <w:id w:val="328494430"/>
          <w:citation/>
        </w:sdtPr>
        <w:sdtEndPr/>
        <w:sdtContent>
          <w:r>
            <w:fldChar w:fldCharType="begin"/>
          </w:r>
          <w:r>
            <w:instrText xml:space="preserve"> CITATION The17 \l 1033 </w:instrText>
          </w:r>
          <w:r>
            <w:fldChar w:fldCharType="separate"/>
          </w:r>
          <w:r>
            <w:rPr>
              <w:noProof/>
            </w:rPr>
            <w:t>(Busdicker &amp; Upendra, 2017)</w:t>
          </w:r>
          <w:r>
            <w:fldChar w:fldCharType="end"/>
          </w:r>
        </w:sdtContent>
      </w:sdt>
      <w:r>
        <w:t xml:space="preserve">.  Other aspects can be extremely complex, like restructuring products to adhere to security and privacy concerns.  Similarly, revising value chain pipelines to meet auditing and regulatory requirements after the fact can be very cumbersome.  Microsoft Azure addressed these concerns by starting with an analysis of the different markets it wished to do business.  After collecting the external requirements, the business categorized these expectations and then chose to implement </w:t>
      </w:r>
      <w:r w:rsidR="007C6DC9">
        <w:t>the</w:t>
      </w:r>
      <w:r>
        <w:t xml:space="preserve"> </w:t>
      </w:r>
      <w:proofErr w:type="gramStart"/>
      <w:r>
        <w:t>most strict</w:t>
      </w:r>
      <w:proofErr w:type="gramEnd"/>
      <w:r>
        <w:t xml:space="preserve"> asks.  For instance, if some countries require infrastructure to reside within that nation</w:t>
      </w:r>
      <w:r w:rsidR="00C93230">
        <w:t>’</w:t>
      </w:r>
      <w:r>
        <w:t>s border, then do that everywhere.  When this level of planning does not take place, then there are fewer cheap solutions</w:t>
      </w:r>
      <w:r w:rsidR="00FE798B">
        <w:t>.  That leaves</w:t>
      </w:r>
      <w:r>
        <w:t xml:space="preserve"> the business </w:t>
      </w:r>
      <w:r w:rsidR="00FE798B">
        <w:t xml:space="preserve">with </w:t>
      </w:r>
      <w:r w:rsidR="007C6DC9">
        <w:t xml:space="preserve">(a) </w:t>
      </w:r>
      <w:r w:rsidR="00FE798B">
        <w:t xml:space="preserve">accepting more risk or </w:t>
      </w:r>
      <w:r w:rsidR="007C6DC9">
        <w:t xml:space="preserve">(b) delivering a less innovative and </w:t>
      </w:r>
      <w:r w:rsidR="00FE798B">
        <w:t xml:space="preserve">competitive </w:t>
      </w:r>
      <w:r w:rsidR="007C6DC9">
        <w:t>product</w:t>
      </w:r>
      <w:r>
        <w:t>.</w:t>
      </w:r>
      <w:r w:rsidR="001374E9">
        <w:t xml:space="preserve"> </w:t>
      </w:r>
    </w:p>
    <w:p w14:paraId="7DDFBFF4" w14:textId="5038A1F7" w:rsidR="001374E9" w:rsidRDefault="001374E9" w:rsidP="001374E9">
      <w:r>
        <w:t xml:space="preserve">Along with creating a plan for improving local people, processes, and products, there need to be considerations around auditing the accuracy of foreign partners.  Completing this objective might </w:t>
      </w:r>
      <w:r>
        <w:lastRenderedPageBreak/>
        <w:t xml:space="preserve">involve hiring third-party auditors or using sensors to measure efficiencies.  If the local business has </w:t>
      </w:r>
      <w:proofErr w:type="gramStart"/>
      <w:r>
        <w:t>sufficient</w:t>
      </w:r>
      <w:proofErr w:type="gramEnd"/>
      <w:r>
        <w:t xml:space="preserve"> resources, perhaps even hiring a dedicated team member to work from the foreign office provides the necessary oversight.</w:t>
      </w:r>
      <w:r w:rsidR="00D14175">
        <w:t xml:space="preserve">  </w:t>
      </w:r>
      <w:r>
        <w:t>After minimizing the global risk and identifying the relevant resources, an iterative plan needs to be defined and approved.  For example, training the local staff might entail contracting a security consulting firm to create a lesson plan.  Other aspects become a matter of cost-benefit analysis and proposing an acceptable timeline.  Perhaps having a remote manager in the foreign office is more critical</w:t>
      </w:r>
      <w:r w:rsidR="0020497A">
        <w:t xml:space="preserve"> during </w:t>
      </w:r>
      <w:r>
        <w:t>the second phase of the deliverable.</w:t>
      </w:r>
    </w:p>
    <w:p w14:paraId="63E24EBC" w14:textId="27AEADEF" w:rsidR="00026AC7" w:rsidRDefault="00026AC7" w:rsidP="00C30B91">
      <w:pPr>
        <w:pStyle w:val="Heading1"/>
      </w:pPr>
      <w:r>
        <w:t>Conclusion</w:t>
      </w:r>
    </w:p>
    <w:p w14:paraId="7D4D3F8E" w14:textId="0DE20914" w:rsidR="002B1C0B" w:rsidRDefault="002B1C0B" w:rsidP="002B1C0B">
      <w:r>
        <w:tab/>
        <w:t xml:space="preserve">When an organization seeks to do business in a foreign market, they need to understand the security guarantees and assertions of that new environment might differ from their native locale.  Some foreign markets have </w:t>
      </w:r>
      <w:r w:rsidR="009913A1">
        <w:t>more robust</w:t>
      </w:r>
      <w:r>
        <w:t xml:space="preserve"> assertions that require upgrading our products to include encryption and related privacy features.  In contrast, others have weak guarantees, such as rampant cyber espionage, sabotage, and subversion, and are less desirable to share trade secrets.  An assessment of these risks needs to find a cost-benefit balance </w:t>
      </w:r>
      <w:r w:rsidR="00DE797A">
        <w:t xml:space="preserve">for </w:t>
      </w:r>
      <w:r>
        <w:t>accessing that market without compromising the integrity, confidentiality, and availability of the organization.</w:t>
      </w:r>
      <w:r w:rsidR="005A57BD">
        <w:t xml:space="preserve">  That balance might come from reducing the available feature </w:t>
      </w:r>
      <w:proofErr w:type="gramStart"/>
      <w:r w:rsidR="005A57BD">
        <w:t>set, or</w:t>
      </w:r>
      <w:proofErr w:type="gramEnd"/>
      <w:r w:rsidR="005A57BD">
        <w:t xml:space="preserve"> declining the deal entirely.</w:t>
      </w:r>
      <w:r>
        <w:t xml:space="preserve"> While it can be challenging to navigate these foreign policies, businesses that come with skepticism and security awareness are more likely to be successful.  That awareness needs to be cognizant of the different </w:t>
      </w:r>
      <w:proofErr w:type="spellStart"/>
      <w:r w:rsidR="009913A1">
        <w:t>geographics</w:t>
      </w:r>
      <w:proofErr w:type="spellEnd"/>
      <w:r>
        <w:t xml:space="preserve"> of trust that exist across markets, and not treat the Internet as one homogeneous locale.</w:t>
      </w:r>
    </w:p>
    <w:p w14:paraId="4F899E66" w14:textId="485A4962" w:rsidR="00191166" w:rsidRDefault="00191166">
      <w:r>
        <w:br w:type="page"/>
      </w:r>
    </w:p>
    <w:sdt>
      <w:sdtPr>
        <w:rPr>
          <w:b w:val="0"/>
        </w:rPr>
        <w:id w:val="1250008281"/>
        <w:docPartObj>
          <w:docPartGallery w:val="Bibliographies"/>
          <w:docPartUnique/>
        </w:docPartObj>
      </w:sdtPr>
      <w:sdtEndPr/>
      <w:sdtContent>
        <w:p w14:paraId="6DD8132D" w14:textId="1D9982F1" w:rsidR="00191166" w:rsidRPr="00191166" w:rsidRDefault="00191166">
          <w:pPr>
            <w:pStyle w:val="Heading1"/>
            <w:rPr>
              <w:b w:val="0"/>
              <w:bCs/>
            </w:rPr>
          </w:pPr>
          <w:r w:rsidRPr="00191166">
            <w:rPr>
              <w:b w:val="0"/>
              <w:bCs/>
            </w:rPr>
            <w:t>References</w:t>
          </w:r>
        </w:p>
        <w:sdt>
          <w:sdtPr>
            <w:id w:val="-573587230"/>
            <w:bibliography/>
          </w:sdtPr>
          <w:sdtEndPr/>
          <w:sdtContent>
            <w:p w14:paraId="39BDC5D1" w14:textId="4A73F415" w:rsidR="00191166" w:rsidRDefault="00191166" w:rsidP="00191166">
              <w:pPr>
                <w:pStyle w:val="Bibliography"/>
                <w:ind w:left="720" w:hanging="720"/>
                <w:rPr>
                  <w:noProof/>
                </w:rPr>
              </w:pPr>
              <w:r>
                <w:fldChar w:fldCharType="begin"/>
              </w:r>
              <w:r>
                <w:instrText xml:space="preserve"> BIBLIOGRAPHY </w:instrText>
              </w:r>
              <w:r>
                <w:fldChar w:fldCharType="separate"/>
              </w:r>
              <w:r>
                <w:rPr>
                  <w:noProof/>
                </w:rPr>
                <w:t xml:space="preserve">Banks, W. (2017). Cyber Espionage and Electronic Surveillance: Beyond the Media Coverage. </w:t>
              </w:r>
              <w:r>
                <w:rPr>
                  <w:i/>
                  <w:iCs/>
                  <w:noProof/>
                </w:rPr>
                <w:t>Emory Law Journal; 2017, Vol. 66, Issue 3</w:t>
              </w:r>
              <w:r>
                <w:rPr>
                  <w:noProof/>
                </w:rPr>
                <w:t>, 513-525.</w:t>
              </w:r>
            </w:p>
            <w:p w14:paraId="405AAB9B" w14:textId="77777777" w:rsidR="00191166" w:rsidRDefault="00191166" w:rsidP="00191166">
              <w:pPr>
                <w:pStyle w:val="Bibliography"/>
                <w:ind w:left="720" w:hanging="720"/>
                <w:rPr>
                  <w:noProof/>
                </w:rPr>
              </w:pPr>
              <w:r>
                <w:rPr>
                  <w:noProof/>
                </w:rPr>
                <w:t xml:space="preserve">Bensinger, G. (2019, August 27). </w:t>
              </w:r>
              <w:r>
                <w:rPr>
                  <w:i/>
                  <w:iCs/>
                  <w:noProof/>
                </w:rPr>
                <w:t>Former Google self-driving engineer, who prompted a lawsuit against Uber, gets hit with criminal charges</w:t>
              </w:r>
              <w:r>
                <w:rPr>
                  <w:noProof/>
                </w:rPr>
                <w:t>. Retrieved from Washington Post: https://www.washingtonpost.com/technology/2019/08/27/former-google-self-driving-engineer-who-prompted-lawsuit-against-uber-gets-hit-with-criminal-charges/</w:t>
              </w:r>
            </w:p>
            <w:p w14:paraId="71763A7D" w14:textId="77777777" w:rsidR="00191166" w:rsidRDefault="00191166" w:rsidP="00191166">
              <w:pPr>
                <w:pStyle w:val="Bibliography"/>
                <w:ind w:left="720" w:hanging="720"/>
                <w:rPr>
                  <w:noProof/>
                </w:rPr>
              </w:pPr>
              <w:r>
                <w:rPr>
                  <w:noProof/>
                </w:rPr>
                <w:t xml:space="preserve">Busdicker, M., &amp; Upendra, P. (2017). The Role of Healthcare Technology Management in Facilitating Medical Device Cybersecurity. </w:t>
              </w:r>
              <w:r>
                <w:rPr>
                  <w:i/>
                  <w:iCs/>
                  <w:noProof/>
                </w:rPr>
                <w:t>Biomedical Instrumentation &amp; Technology Sep; Vol. 51 (s6)</w:t>
              </w:r>
              <w:r>
                <w:rPr>
                  <w:noProof/>
                </w:rPr>
                <w:t>, 19-25.</w:t>
              </w:r>
            </w:p>
            <w:p w14:paraId="5FAEBDCD" w14:textId="77777777" w:rsidR="00191166" w:rsidRDefault="00191166" w:rsidP="00191166">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4DB44CFF" w14:textId="60209BC7" w:rsidR="00191166" w:rsidRDefault="00191166" w:rsidP="00191166">
              <w:pPr>
                <w:pStyle w:val="Bibliography"/>
                <w:ind w:left="720" w:hanging="720"/>
                <w:rPr>
                  <w:noProof/>
                </w:rPr>
              </w:pPr>
              <w:r>
                <w:rPr>
                  <w:noProof/>
                </w:rPr>
                <w:t xml:space="preserve">Erickson, A., &amp; Neilson, T. (2018). CyberSecurity -- the No. 1 Threat Facing Manufacturers. </w:t>
              </w:r>
              <w:r>
                <w:rPr>
                  <w:i/>
                  <w:iCs/>
                  <w:noProof/>
                </w:rPr>
                <w:t>Industrial Management. Jul/Aug, Vol. 60, Issue 4, p24-27</w:t>
              </w:r>
              <w:r>
                <w:rPr>
                  <w:noProof/>
                </w:rPr>
                <w:t>, 24-27.</w:t>
              </w:r>
            </w:p>
            <w:p w14:paraId="18FA9F37" w14:textId="1B1A6EFD" w:rsidR="00191166" w:rsidRDefault="00191166" w:rsidP="00191166">
              <w:pPr>
                <w:pStyle w:val="Bibliography"/>
                <w:ind w:left="720" w:hanging="720"/>
                <w:rPr>
                  <w:noProof/>
                </w:rPr>
              </w:pPr>
              <w:r>
                <w:rPr>
                  <w:noProof/>
                </w:rPr>
                <w:t xml:space="preserve">Fischerkeller, M., &amp; Harknett, R. (2017). Deterrence is Not a Credible Strategy for Cyberspace. </w:t>
              </w:r>
              <w:r>
                <w:rPr>
                  <w:i/>
                  <w:iCs/>
                  <w:noProof/>
                </w:rPr>
                <w:t>Orbis Volume 61, Issue 3</w:t>
              </w:r>
              <w:r>
                <w:rPr>
                  <w:noProof/>
                </w:rPr>
                <w:t>, 381-393.</w:t>
              </w:r>
            </w:p>
            <w:p w14:paraId="61BACCE2" w14:textId="5E050027" w:rsidR="00191166" w:rsidRDefault="00191166" w:rsidP="00191166">
              <w:pPr>
                <w:pStyle w:val="Bibliography"/>
                <w:ind w:left="720" w:hanging="720"/>
                <w:rPr>
                  <w:noProof/>
                </w:rPr>
              </w:pPr>
              <w:r>
                <w:rPr>
                  <w:noProof/>
                </w:rPr>
                <w:t xml:space="preserve">Hennig, N. (2018). Privacy and Security Online: Best Practices for Cybersecurity. </w:t>
              </w:r>
              <w:r>
                <w:rPr>
                  <w:i/>
                  <w:iCs/>
                  <w:noProof/>
                </w:rPr>
                <w:t>Library Technology Reports. April, Vol. 54, Issue 3</w:t>
              </w:r>
              <w:r>
                <w:rPr>
                  <w:noProof/>
                </w:rPr>
                <w:t>, 1-37.</w:t>
              </w:r>
            </w:p>
            <w:p w14:paraId="5652D404" w14:textId="77777777" w:rsidR="00191166" w:rsidRDefault="00191166" w:rsidP="00191166">
              <w:pPr>
                <w:pStyle w:val="Bibliography"/>
                <w:ind w:left="720" w:hanging="720"/>
                <w:rPr>
                  <w:noProof/>
                </w:rPr>
              </w:pPr>
              <w:r>
                <w:rPr>
                  <w:noProof/>
                </w:rPr>
                <w:t xml:space="preserve">Hunt, T. (2019, May 20). </w:t>
              </w:r>
              <w:r>
                <w:rPr>
                  <w:i/>
                  <w:iCs/>
                  <w:noProof/>
                </w:rPr>
                <w:t>Keynote: Hack to the Future</w:t>
              </w:r>
              <w:r>
                <w:rPr>
                  <w:noProof/>
                </w:rPr>
                <w:t>. Retrieved from YouTube: https://www.youtube.com/watch?v=qCOefMiakps</w:t>
              </w:r>
            </w:p>
            <w:p w14:paraId="429C7618" w14:textId="19EAC4AD" w:rsidR="00191166" w:rsidRDefault="00191166" w:rsidP="00191166">
              <w:pPr>
                <w:pStyle w:val="Bibliography"/>
                <w:ind w:left="720" w:hanging="720"/>
                <w:rPr>
                  <w:noProof/>
                </w:rPr>
              </w:pPr>
              <w:r>
                <w:rPr>
                  <w:noProof/>
                </w:rPr>
                <w:t>Inkster, N. (2015). Cyber espionage. China</w:t>
              </w:r>
              <w:r w:rsidR="00C93230">
                <w:rPr>
                  <w:noProof/>
                </w:rPr>
                <w:t>’</w:t>
              </w:r>
              <w:r>
                <w:rPr>
                  <w:noProof/>
                </w:rPr>
                <w:t xml:space="preserve">s Cyber Power. </w:t>
              </w:r>
              <w:r>
                <w:rPr>
                  <w:i/>
                  <w:iCs/>
                  <w:noProof/>
                </w:rPr>
                <w:t>Adelphi Series Vol. 55</w:t>
              </w:r>
              <w:r>
                <w:rPr>
                  <w:noProof/>
                </w:rPr>
                <w:t>, 51-82.</w:t>
              </w:r>
            </w:p>
            <w:p w14:paraId="076B4BFE" w14:textId="766D28B8" w:rsidR="00191166" w:rsidRDefault="00191166" w:rsidP="00191166">
              <w:pPr>
                <w:pStyle w:val="Bibliography"/>
                <w:ind w:left="720" w:hanging="720"/>
                <w:rPr>
                  <w:noProof/>
                </w:rPr>
              </w:pPr>
              <w:r>
                <w:rPr>
                  <w:noProof/>
                </w:rPr>
                <w:t xml:space="preserve">Kovacs.1. (2018). Cyber Security Policy and Strategy in the European Union and NATO. </w:t>
              </w:r>
              <w:r>
                <w:rPr>
                  <w:i/>
                  <w:iCs/>
                  <w:noProof/>
                </w:rPr>
                <w:t>Revista Academiei Fortelor Terestre. Vol. 23, Issue 1</w:t>
              </w:r>
              <w:r>
                <w:rPr>
                  <w:noProof/>
                </w:rPr>
                <w:t>, 16-24.</w:t>
              </w:r>
            </w:p>
            <w:p w14:paraId="3A4EF783" w14:textId="54C00A1C" w:rsidR="00191166" w:rsidRDefault="00191166" w:rsidP="00191166">
              <w:pPr>
                <w:pStyle w:val="Bibliography"/>
                <w:ind w:left="720" w:hanging="720"/>
                <w:rPr>
                  <w:noProof/>
                </w:rPr>
              </w:pPr>
              <w:r>
                <w:rPr>
                  <w:noProof/>
                </w:rPr>
                <w:lastRenderedPageBreak/>
                <w:t xml:space="preserve">Kovacs.2. (2018). National Cybersecurity as the Cornerstone of National Security. </w:t>
              </w:r>
              <w:r>
                <w:rPr>
                  <w:i/>
                  <w:iCs/>
                  <w:noProof/>
                </w:rPr>
                <w:t>Revista Academiei Fortelor Terestre. Vol. 23, Issue 2</w:t>
              </w:r>
              <w:r>
                <w:rPr>
                  <w:noProof/>
                </w:rPr>
                <w:t>, 113-120.</w:t>
              </w:r>
            </w:p>
            <w:p w14:paraId="027A24D3" w14:textId="6650CA55" w:rsidR="00191166" w:rsidRDefault="00191166" w:rsidP="00191166">
              <w:pPr>
                <w:pStyle w:val="Bibliography"/>
                <w:ind w:left="720" w:hanging="720"/>
                <w:rPr>
                  <w:noProof/>
                </w:rPr>
              </w:pPr>
              <w:r>
                <w:rPr>
                  <w:noProof/>
                </w:rPr>
                <w:t>Krebs, C. (2019, April 23). ICCE 2019 - Keynote by Christopher Krebs, Director, Cybersecurity, and Infrastructure Security Agency. Retrieved from YouTube: https://www.youtube.com/watch?v=aVfcgNhHSDM</w:t>
              </w:r>
            </w:p>
            <w:p w14:paraId="22E36A07" w14:textId="446F09E0" w:rsidR="00191166" w:rsidRDefault="00191166" w:rsidP="00191166">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159(1)</w:t>
              </w:r>
              <w:r>
                <w:rPr>
                  <w:noProof/>
                </w:rPr>
                <w:t>, 86-93.</w:t>
              </w:r>
            </w:p>
            <w:p w14:paraId="09674AF1" w14:textId="72DABEE6" w:rsidR="00191166" w:rsidRDefault="00191166" w:rsidP="00191166">
              <w:pPr>
                <w:pStyle w:val="Bibliography"/>
                <w:ind w:left="720" w:hanging="720"/>
                <w:rPr>
                  <w:noProof/>
                </w:rPr>
              </w:pPr>
              <w:r>
                <w:rPr>
                  <w:noProof/>
                </w:rPr>
                <w:t xml:space="preserve">Valiente, C. (2017). Addressing Malware WITH Cybersecurity Awareness. </w:t>
              </w:r>
              <w:r>
                <w:rPr>
                  <w:i/>
                  <w:iCs/>
                  <w:noProof/>
                </w:rPr>
                <w:t>ISSA Journal. Oct, Vol. 15, Issue 10</w:t>
              </w:r>
              <w:r>
                <w:rPr>
                  <w:noProof/>
                </w:rPr>
                <w:t>, 16-22.</w:t>
              </w:r>
            </w:p>
            <w:p w14:paraId="156485C9" w14:textId="1DCEB243" w:rsidR="00191166" w:rsidRDefault="00191166" w:rsidP="00191166">
              <w:r>
                <w:rPr>
                  <w:b/>
                  <w:bCs/>
                  <w:noProof/>
                </w:rPr>
                <w:fldChar w:fldCharType="end"/>
              </w:r>
            </w:p>
          </w:sdtContent>
        </w:sdt>
      </w:sdtContent>
    </w:sdt>
    <w:p w14:paraId="4ABE1B8D" w14:textId="77777777" w:rsidR="00191166" w:rsidRDefault="00191166"/>
    <w:p w14:paraId="11CA37FC" w14:textId="77777777" w:rsidR="00191166" w:rsidRPr="002B1C0B" w:rsidRDefault="00191166" w:rsidP="002B1C0B"/>
    <w:sectPr w:rsidR="00191166" w:rsidRPr="002B1C0B"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E030F4" w14:textId="77777777" w:rsidR="004F2FF1" w:rsidRDefault="004F2FF1" w:rsidP="0082223F">
      <w:pPr>
        <w:spacing w:line="240" w:lineRule="auto"/>
      </w:pPr>
      <w:r>
        <w:separator/>
      </w:r>
    </w:p>
  </w:endnote>
  <w:endnote w:type="continuationSeparator" w:id="0">
    <w:p w14:paraId="7139F7EE" w14:textId="77777777" w:rsidR="004F2FF1" w:rsidRDefault="004F2FF1"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98880" w14:textId="77777777" w:rsidR="004F2FF1" w:rsidRDefault="004F2FF1" w:rsidP="0082223F">
      <w:pPr>
        <w:spacing w:line="240" w:lineRule="auto"/>
      </w:pPr>
      <w:r>
        <w:separator/>
      </w:r>
    </w:p>
  </w:footnote>
  <w:footnote w:type="continuationSeparator" w:id="0">
    <w:p w14:paraId="4EDA598F" w14:textId="77777777" w:rsidR="004F2FF1" w:rsidRDefault="004F2FF1"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D114B"/>
    <w:multiLevelType w:val="hybridMultilevel"/>
    <w:tmpl w:val="1D828536"/>
    <w:lvl w:ilvl="0" w:tplc="F53EDA4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44CB557A"/>
    <w:multiLevelType w:val="hybridMultilevel"/>
    <w:tmpl w:val="230CE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6AC7"/>
    <w:rsid w:val="00032E83"/>
    <w:rsid w:val="00036708"/>
    <w:rsid w:val="00036F58"/>
    <w:rsid w:val="00044A93"/>
    <w:rsid w:val="00077C00"/>
    <w:rsid w:val="0009101F"/>
    <w:rsid w:val="00095BB2"/>
    <w:rsid w:val="000A5544"/>
    <w:rsid w:val="000C3F29"/>
    <w:rsid w:val="00100E65"/>
    <w:rsid w:val="00106D4B"/>
    <w:rsid w:val="001374E9"/>
    <w:rsid w:val="00170177"/>
    <w:rsid w:val="00183597"/>
    <w:rsid w:val="00191166"/>
    <w:rsid w:val="001A2276"/>
    <w:rsid w:val="001C2A61"/>
    <w:rsid w:val="001D7E67"/>
    <w:rsid w:val="0020497A"/>
    <w:rsid w:val="002362FA"/>
    <w:rsid w:val="0023632B"/>
    <w:rsid w:val="00264924"/>
    <w:rsid w:val="002806B7"/>
    <w:rsid w:val="002B1C0B"/>
    <w:rsid w:val="002C53A6"/>
    <w:rsid w:val="002C7738"/>
    <w:rsid w:val="00351795"/>
    <w:rsid w:val="0035266A"/>
    <w:rsid w:val="00361089"/>
    <w:rsid w:val="00366DFB"/>
    <w:rsid w:val="0037076F"/>
    <w:rsid w:val="003A5B56"/>
    <w:rsid w:val="003E650E"/>
    <w:rsid w:val="003F4714"/>
    <w:rsid w:val="00401D65"/>
    <w:rsid w:val="004223E8"/>
    <w:rsid w:val="004653A6"/>
    <w:rsid w:val="00476F95"/>
    <w:rsid w:val="004A784B"/>
    <w:rsid w:val="004F2FF1"/>
    <w:rsid w:val="005070B5"/>
    <w:rsid w:val="00512AD2"/>
    <w:rsid w:val="00517D21"/>
    <w:rsid w:val="005A57BD"/>
    <w:rsid w:val="005B7079"/>
    <w:rsid w:val="005E2B13"/>
    <w:rsid w:val="005E4E2D"/>
    <w:rsid w:val="005F2A31"/>
    <w:rsid w:val="006A4135"/>
    <w:rsid w:val="006A5726"/>
    <w:rsid w:val="006B3679"/>
    <w:rsid w:val="006D793E"/>
    <w:rsid w:val="00701D77"/>
    <w:rsid w:val="007079A8"/>
    <w:rsid w:val="0073017B"/>
    <w:rsid w:val="0073677D"/>
    <w:rsid w:val="007508A6"/>
    <w:rsid w:val="00771C60"/>
    <w:rsid w:val="00782174"/>
    <w:rsid w:val="007C6DC9"/>
    <w:rsid w:val="0082223F"/>
    <w:rsid w:val="008813F3"/>
    <w:rsid w:val="008B5129"/>
    <w:rsid w:val="00900817"/>
    <w:rsid w:val="00923A2D"/>
    <w:rsid w:val="009622E7"/>
    <w:rsid w:val="009913A1"/>
    <w:rsid w:val="009A757D"/>
    <w:rsid w:val="009E3994"/>
    <w:rsid w:val="009F38EA"/>
    <w:rsid w:val="00A33A8D"/>
    <w:rsid w:val="00A57C11"/>
    <w:rsid w:val="00C12D89"/>
    <w:rsid w:val="00C27FC3"/>
    <w:rsid w:val="00C30B91"/>
    <w:rsid w:val="00C73692"/>
    <w:rsid w:val="00C755A9"/>
    <w:rsid w:val="00C814D4"/>
    <w:rsid w:val="00C93230"/>
    <w:rsid w:val="00C93BB7"/>
    <w:rsid w:val="00CB25E9"/>
    <w:rsid w:val="00D14175"/>
    <w:rsid w:val="00D20C80"/>
    <w:rsid w:val="00D60ED3"/>
    <w:rsid w:val="00D75C7B"/>
    <w:rsid w:val="00D85C7B"/>
    <w:rsid w:val="00DE2224"/>
    <w:rsid w:val="00DE5203"/>
    <w:rsid w:val="00DE797A"/>
    <w:rsid w:val="00E75EE7"/>
    <w:rsid w:val="00EA7A4C"/>
    <w:rsid w:val="00ED3713"/>
    <w:rsid w:val="00F81443"/>
    <w:rsid w:val="00FA43BF"/>
    <w:rsid w:val="00FE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026AC7"/>
    <w:pPr>
      <w:ind w:left="720"/>
      <w:contextualSpacing/>
    </w:pPr>
  </w:style>
  <w:style w:type="paragraph" w:styleId="Bibliography">
    <w:name w:val="Bibliography"/>
    <w:basedOn w:val="Normal"/>
    <w:next w:val="Normal"/>
    <w:uiPriority w:val="37"/>
    <w:unhideWhenUsed/>
    <w:rsid w:val="00191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026">
      <w:bodyDiv w:val="1"/>
      <w:marLeft w:val="0"/>
      <w:marRight w:val="0"/>
      <w:marTop w:val="0"/>
      <w:marBottom w:val="0"/>
      <w:divBdr>
        <w:top w:val="none" w:sz="0" w:space="0" w:color="auto"/>
        <w:left w:val="none" w:sz="0" w:space="0" w:color="auto"/>
        <w:bottom w:val="none" w:sz="0" w:space="0" w:color="auto"/>
        <w:right w:val="none" w:sz="0" w:space="0" w:color="auto"/>
      </w:divBdr>
    </w:div>
    <w:div w:id="73625387">
      <w:bodyDiv w:val="1"/>
      <w:marLeft w:val="0"/>
      <w:marRight w:val="0"/>
      <w:marTop w:val="0"/>
      <w:marBottom w:val="0"/>
      <w:divBdr>
        <w:top w:val="none" w:sz="0" w:space="0" w:color="auto"/>
        <w:left w:val="none" w:sz="0" w:space="0" w:color="auto"/>
        <w:bottom w:val="none" w:sz="0" w:space="0" w:color="auto"/>
        <w:right w:val="none" w:sz="0" w:space="0" w:color="auto"/>
      </w:divBdr>
    </w:div>
    <w:div w:id="194123684">
      <w:bodyDiv w:val="1"/>
      <w:marLeft w:val="0"/>
      <w:marRight w:val="0"/>
      <w:marTop w:val="0"/>
      <w:marBottom w:val="0"/>
      <w:divBdr>
        <w:top w:val="none" w:sz="0" w:space="0" w:color="auto"/>
        <w:left w:val="none" w:sz="0" w:space="0" w:color="auto"/>
        <w:bottom w:val="none" w:sz="0" w:space="0" w:color="auto"/>
        <w:right w:val="none" w:sz="0" w:space="0" w:color="auto"/>
      </w:divBdr>
    </w:div>
    <w:div w:id="216481418">
      <w:bodyDiv w:val="1"/>
      <w:marLeft w:val="0"/>
      <w:marRight w:val="0"/>
      <w:marTop w:val="0"/>
      <w:marBottom w:val="0"/>
      <w:divBdr>
        <w:top w:val="none" w:sz="0" w:space="0" w:color="auto"/>
        <w:left w:val="none" w:sz="0" w:space="0" w:color="auto"/>
        <w:bottom w:val="none" w:sz="0" w:space="0" w:color="auto"/>
        <w:right w:val="none" w:sz="0" w:space="0" w:color="auto"/>
      </w:divBdr>
    </w:div>
    <w:div w:id="277640695">
      <w:bodyDiv w:val="1"/>
      <w:marLeft w:val="0"/>
      <w:marRight w:val="0"/>
      <w:marTop w:val="0"/>
      <w:marBottom w:val="0"/>
      <w:divBdr>
        <w:top w:val="none" w:sz="0" w:space="0" w:color="auto"/>
        <w:left w:val="none" w:sz="0" w:space="0" w:color="auto"/>
        <w:bottom w:val="none" w:sz="0" w:space="0" w:color="auto"/>
        <w:right w:val="none" w:sz="0" w:space="0" w:color="auto"/>
      </w:divBdr>
    </w:div>
    <w:div w:id="305161903">
      <w:bodyDiv w:val="1"/>
      <w:marLeft w:val="0"/>
      <w:marRight w:val="0"/>
      <w:marTop w:val="0"/>
      <w:marBottom w:val="0"/>
      <w:divBdr>
        <w:top w:val="none" w:sz="0" w:space="0" w:color="auto"/>
        <w:left w:val="none" w:sz="0" w:space="0" w:color="auto"/>
        <w:bottom w:val="none" w:sz="0" w:space="0" w:color="auto"/>
        <w:right w:val="none" w:sz="0" w:space="0" w:color="auto"/>
      </w:divBdr>
    </w:div>
    <w:div w:id="332345184">
      <w:bodyDiv w:val="1"/>
      <w:marLeft w:val="0"/>
      <w:marRight w:val="0"/>
      <w:marTop w:val="0"/>
      <w:marBottom w:val="0"/>
      <w:divBdr>
        <w:top w:val="none" w:sz="0" w:space="0" w:color="auto"/>
        <w:left w:val="none" w:sz="0" w:space="0" w:color="auto"/>
        <w:bottom w:val="none" w:sz="0" w:space="0" w:color="auto"/>
        <w:right w:val="none" w:sz="0" w:space="0" w:color="auto"/>
      </w:divBdr>
    </w:div>
    <w:div w:id="382489355">
      <w:bodyDiv w:val="1"/>
      <w:marLeft w:val="0"/>
      <w:marRight w:val="0"/>
      <w:marTop w:val="0"/>
      <w:marBottom w:val="0"/>
      <w:divBdr>
        <w:top w:val="none" w:sz="0" w:space="0" w:color="auto"/>
        <w:left w:val="none" w:sz="0" w:space="0" w:color="auto"/>
        <w:bottom w:val="none" w:sz="0" w:space="0" w:color="auto"/>
        <w:right w:val="none" w:sz="0" w:space="0" w:color="auto"/>
      </w:divBdr>
    </w:div>
    <w:div w:id="407311820">
      <w:bodyDiv w:val="1"/>
      <w:marLeft w:val="0"/>
      <w:marRight w:val="0"/>
      <w:marTop w:val="0"/>
      <w:marBottom w:val="0"/>
      <w:divBdr>
        <w:top w:val="none" w:sz="0" w:space="0" w:color="auto"/>
        <w:left w:val="none" w:sz="0" w:space="0" w:color="auto"/>
        <w:bottom w:val="none" w:sz="0" w:space="0" w:color="auto"/>
        <w:right w:val="none" w:sz="0" w:space="0" w:color="auto"/>
      </w:divBdr>
    </w:div>
    <w:div w:id="446773447">
      <w:bodyDiv w:val="1"/>
      <w:marLeft w:val="0"/>
      <w:marRight w:val="0"/>
      <w:marTop w:val="0"/>
      <w:marBottom w:val="0"/>
      <w:divBdr>
        <w:top w:val="none" w:sz="0" w:space="0" w:color="auto"/>
        <w:left w:val="none" w:sz="0" w:space="0" w:color="auto"/>
        <w:bottom w:val="none" w:sz="0" w:space="0" w:color="auto"/>
        <w:right w:val="none" w:sz="0" w:space="0" w:color="auto"/>
      </w:divBdr>
    </w:div>
    <w:div w:id="510218179">
      <w:bodyDiv w:val="1"/>
      <w:marLeft w:val="0"/>
      <w:marRight w:val="0"/>
      <w:marTop w:val="0"/>
      <w:marBottom w:val="0"/>
      <w:divBdr>
        <w:top w:val="none" w:sz="0" w:space="0" w:color="auto"/>
        <w:left w:val="none" w:sz="0" w:space="0" w:color="auto"/>
        <w:bottom w:val="none" w:sz="0" w:space="0" w:color="auto"/>
        <w:right w:val="none" w:sz="0" w:space="0" w:color="auto"/>
      </w:divBdr>
    </w:div>
    <w:div w:id="521743212">
      <w:bodyDiv w:val="1"/>
      <w:marLeft w:val="0"/>
      <w:marRight w:val="0"/>
      <w:marTop w:val="0"/>
      <w:marBottom w:val="0"/>
      <w:divBdr>
        <w:top w:val="none" w:sz="0" w:space="0" w:color="auto"/>
        <w:left w:val="none" w:sz="0" w:space="0" w:color="auto"/>
        <w:bottom w:val="none" w:sz="0" w:space="0" w:color="auto"/>
        <w:right w:val="none" w:sz="0" w:space="0" w:color="auto"/>
      </w:divBdr>
    </w:div>
    <w:div w:id="528764956">
      <w:bodyDiv w:val="1"/>
      <w:marLeft w:val="0"/>
      <w:marRight w:val="0"/>
      <w:marTop w:val="0"/>
      <w:marBottom w:val="0"/>
      <w:divBdr>
        <w:top w:val="none" w:sz="0" w:space="0" w:color="auto"/>
        <w:left w:val="none" w:sz="0" w:space="0" w:color="auto"/>
        <w:bottom w:val="none" w:sz="0" w:space="0" w:color="auto"/>
        <w:right w:val="none" w:sz="0" w:space="0" w:color="auto"/>
      </w:divBdr>
    </w:div>
    <w:div w:id="550850468">
      <w:bodyDiv w:val="1"/>
      <w:marLeft w:val="0"/>
      <w:marRight w:val="0"/>
      <w:marTop w:val="0"/>
      <w:marBottom w:val="0"/>
      <w:divBdr>
        <w:top w:val="none" w:sz="0" w:space="0" w:color="auto"/>
        <w:left w:val="none" w:sz="0" w:space="0" w:color="auto"/>
        <w:bottom w:val="none" w:sz="0" w:space="0" w:color="auto"/>
        <w:right w:val="none" w:sz="0" w:space="0" w:color="auto"/>
      </w:divBdr>
      <w:divsChild>
        <w:div w:id="879514614">
          <w:marLeft w:val="0"/>
          <w:marRight w:val="0"/>
          <w:marTop w:val="0"/>
          <w:marBottom w:val="0"/>
          <w:divBdr>
            <w:top w:val="none" w:sz="0" w:space="0" w:color="auto"/>
            <w:left w:val="none" w:sz="0" w:space="0" w:color="auto"/>
            <w:bottom w:val="none" w:sz="0" w:space="0" w:color="auto"/>
            <w:right w:val="none" w:sz="0" w:space="0" w:color="auto"/>
          </w:divBdr>
          <w:divsChild>
            <w:div w:id="12845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2274">
      <w:bodyDiv w:val="1"/>
      <w:marLeft w:val="0"/>
      <w:marRight w:val="0"/>
      <w:marTop w:val="0"/>
      <w:marBottom w:val="0"/>
      <w:divBdr>
        <w:top w:val="none" w:sz="0" w:space="0" w:color="auto"/>
        <w:left w:val="none" w:sz="0" w:space="0" w:color="auto"/>
        <w:bottom w:val="none" w:sz="0" w:space="0" w:color="auto"/>
        <w:right w:val="none" w:sz="0" w:space="0" w:color="auto"/>
      </w:divBdr>
    </w:div>
    <w:div w:id="681009900">
      <w:bodyDiv w:val="1"/>
      <w:marLeft w:val="0"/>
      <w:marRight w:val="0"/>
      <w:marTop w:val="0"/>
      <w:marBottom w:val="0"/>
      <w:divBdr>
        <w:top w:val="none" w:sz="0" w:space="0" w:color="auto"/>
        <w:left w:val="none" w:sz="0" w:space="0" w:color="auto"/>
        <w:bottom w:val="none" w:sz="0" w:space="0" w:color="auto"/>
        <w:right w:val="none" w:sz="0" w:space="0" w:color="auto"/>
      </w:divBdr>
    </w:div>
    <w:div w:id="692924623">
      <w:bodyDiv w:val="1"/>
      <w:marLeft w:val="0"/>
      <w:marRight w:val="0"/>
      <w:marTop w:val="0"/>
      <w:marBottom w:val="0"/>
      <w:divBdr>
        <w:top w:val="none" w:sz="0" w:space="0" w:color="auto"/>
        <w:left w:val="none" w:sz="0" w:space="0" w:color="auto"/>
        <w:bottom w:val="none" w:sz="0" w:space="0" w:color="auto"/>
        <w:right w:val="none" w:sz="0" w:space="0" w:color="auto"/>
      </w:divBdr>
    </w:div>
    <w:div w:id="777330208">
      <w:bodyDiv w:val="1"/>
      <w:marLeft w:val="0"/>
      <w:marRight w:val="0"/>
      <w:marTop w:val="0"/>
      <w:marBottom w:val="0"/>
      <w:divBdr>
        <w:top w:val="none" w:sz="0" w:space="0" w:color="auto"/>
        <w:left w:val="none" w:sz="0" w:space="0" w:color="auto"/>
        <w:bottom w:val="none" w:sz="0" w:space="0" w:color="auto"/>
        <w:right w:val="none" w:sz="0" w:space="0" w:color="auto"/>
      </w:divBdr>
    </w:div>
    <w:div w:id="865752587">
      <w:bodyDiv w:val="1"/>
      <w:marLeft w:val="0"/>
      <w:marRight w:val="0"/>
      <w:marTop w:val="0"/>
      <w:marBottom w:val="0"/>
      <w:divBdr>
        <w:top w:val="none" w:sz="0" w:space="0" w:color="auto"/>
        <w:left w:val="none" w:sz="0" w:space="0" w:color="auto"/>
        <w:bottom w:val="none" w:sz="0" w:space="0" w:color="auto"/>
        <w:right w:val="none" w:sz="0" w:space="0" w:color="auto"/>
      </w:divBdr>
    </w:div>
    <w:div w:id="919173337">
      <w:bodyDiv w:val="1"/>
      <w:marLeft w:val="0"/>
      <w:marRight w:val="0"/>
      <w:marTop w:val="0"/>
      <w:marBottom w:val="0"/>
      <w:divBdr>
        <w:top w:val="none" w:sz="0" w:space="0" w:color="auto"/>
        <w:left w:val="none" w:sz="0" w:space="0" w:color="auto"/>
        <w:bottom w:val="none" w:sz="0" w:space="0" w:color="auto"/>
        <w:right w:val="none" w:sz="0" w:space="0" w:color="auto"/>
      </w:divBdr>
    </w:div>
    <w:div w:id="921640963">
      <w:bodyDiv w:val="1"/>
      <w:marLeft w:val="0"/>
      <w:marRight w:val="0"/>
      <w:marTop w:val="0"/>
      <w:marBottom w:val="0"/>
      <w:divBdr>
        <w:top w:val="none" w:sz="0" w:space="0" w:color="auto"/>
        <w:left w:val="none" w:sz="0" w:space="0" w:color="auto"/>
        <w:bottom w:val="none" w:sz="0" w:space="0" w:color="auto"/>
        <w:right w:val="none" w:sz="0" w:space="0" w:color="auto"/>
      </w:divBdr>
    </w:div>
    <w:div w:id="959992574">
      <w:bodyDiv w:val="1"/>
      <w:marLeft w:val="0"/>
      <w:marRight w:val="0"/>
      <w:marTop w:val="0"/>
      <w:marBottom w:val="0"/>
      <w:divBdr>
        <w:top w:val="none" w:sz="0" w:space="0" w:color="auto"/>
        <w:left w:val="none" w:sz="0" w:space="0" w:color="auto"/>
        <w:bottom w:val="none" w:sz="0" w:space="0" w:color="auto"/>
        <w:right w:val="none" w:sz="0" w:space="0" w:color="auto"/>
      </w:divBdr>
    </w:div>
    <w:div w:id="1008405438">
      <w:bodyDiv w:val="1"/>
      <w:marLeft w:val="0"/>
      <w:marRight w:val="0"/>
      <w:marTop w:val="0"/>
      <w:marBottom w:val="0"/>
      <w:divBdr>
        <w:top w:val="none" w:sz="0" w:space="0" w:color="auto"/>
        <w:left w:val="none" w:sz="0" w:space="0" w:color="auto"/>
        <w:bottom w:val="none" w:sz="0" w:space="0" w:color="auto"/>
        <w:right w:val="none" w:sz="0" w:space="0" w:color="auto"/>
      </w:divBdr>
    </w:div>
    <w:div w:id="1026757184">
      <w:bodyDiv w:val="1"/>
      <w:marLeft w:val="0"/>
      <w:marRight w:val="0"/>
      <w:marTop w:val="0"/>
      <w:marBottom w:val="0"/>
      <w:divBdr>
        <w:top w:val="none" w:sz="0" w:space="0" w:color="auto"/>
        <w:left w:val="none" w:sz="0" w:space="0" w:color="auto"/>
        <w:bottom w:val="none" w:sz="0" w:space="0" w:color="auto"/>
        <w:right w:val="none" w:sz="0" w:space="0" w:color="auto"/>
      </w:divBdr>
    </w:div>
    <w:div w:id="1053584188">
      <w:bodyDiv w:val="1"/>
      <w:marLeft w:val="0"/>
      <w:marRight w:val="0"/>
      <w:marTop w:val="0"/>
      <w:marBottom w:val="0"/>
      <w:divBdr>
        <w:top w:val="none" w:sz="0" w:space="0" w:color="auto"/>
        <w:left w:val="none" w:sz="0" w:space="0" w:color="auto"/>
        <w:bottom w:val="none" w:sz="0" w:space="0" w:color="auto"/>
        <w:right w:val="none" w:sz="0" w:space="0" w:color="auto"/>
      </w:divBdr>
    </w:div>
    <w:div w:id="1098061989">
      <w:bodyDiv w:val="1"/>
      <w:marLeft w:val="0"/>
      <w:marRight w:val="0"/>
      <w:marTop w:val="0"/>
      <w:marBottom w:val="0"/>
      <w:divBdr>
        <w:top w:val="none" w:sz="0" w:space="0" w:color="auto"/>
        <w:left w:val="none" w:sz="0" w:space="0" w:color="auto"/>
        <w:bottom w:val="none" w:sz="0" w:space="0" w:color="auto"/>
        <w:right w:val="none" w:sz="0" w:space="0" w:color="auto"/>
      </w:divBdr>
    </w:div>
    <w:div w:id="1123038176">
      <w:bodyDiv w:val="1"/>
      <w:marLeft w:val="0"/>
      <w:marRight w:val="0"/>
      <w:marTop w:val="0"/>
      <w:marBottom w:val="0"/>
      <w:divBdr>
        <w:top w:val="none" w:sz="0" w:space="0" w:color="auto"/>
        <w:left w:val="none" w:sz="0" w:space="0" w:color="auto"/>
        <w:bottom w:val="none" w:sz="0" w:space="0" w:color="auto"/>
        <w:right w:val="none" w:sz="0" w:space="0" w:color="auto"/>
      </w:divBdr>
    </w:div>
    <w:div w:id="1136921103">
      <w:bodyDiv w:val="1"/>
      <w:marLeft w:val="0"/>
      <w:marRight w:val="0"/>
      <w:marTop w:val="0"/>
      <w:marBottom w:val="0"/>
      <w:divBdr>
        <w:top w:val="none" w:sz="0" w:space="0" w:color="auto"/>
        <w:left w:val="none" w:sz="0" w:space="0" w:color="auto"/>
        <w:bottom w:val="none" w:sz="0" w:space="0" w:color="auto"/>
        <w:right w:val="none" w:sz="0" w:space="0" w:color="auto"/>
      </w:divBdr>
    </w:div>
    <w:div w:id="1139225999">
      <w:bodyDiv w:val="1"/>
      <w:marLeft w:val="0"/>
      <w:marRight w:val="0"/>
      <w:marTop w:val="0"/>
      <w:marBottom w:val="0"/>
      <w:divBdr>
        <w:top w:val="none" w:sz="0" w:space="0" w:color="auto"/>
        <w:left w:val="none" w:sz="0" w:space="0" w:color="auto"/>
        <w:bottom w:val="none" w:sz="0" w:space="0" w:color="auto"/>
        <w:right w:val="none" w:sz="0" w:space="0" w:color="auto"/>
      </w:divBdr>
    </w:div>
    <w:div w:id="1190484856">
      <w:bodyDiv w:val="1"/>
      <w:marLeft w:val="0"/>
      <w:marRight w:val="0"/>
      <w:marTop w:val="0"/>
      <w:marBottom w:val="0"/>
      <w:divBdr>
        <w:top w:val="none" w:sz="0" w:space="0" w:color="auto"/>
        <w:left w:val="none" w:sz="0" w:space="0" w:color="auto"/>
        <w:bottom w:val="none" w:sz="0" w:space="0" w:color="auto"/>
        <w:right w:val="none" w:sz="0" w:space="0" w:color="auto"/>
      </w:divBdr>
    </w:div>
    <w:div w:id="1207520671">
      <w:bodyDiv w:val="1"/>
      <w:marLeft w:val="0"/>
      <w:marRight w:val="0"/>
      <w:marTop w:val="0"/>
      <w:marBottom w:val="0"/>
      <w:divBdr>
        <w:top w:val="none" w:sz="0" w:space="0" w:color="auto"/>
        <w:left w:val="none" w:sz="0" w:space="0" w:color="auto"/>
        <w:bottom w:val="none" w:sz="0" w:space="0" w:color="auto"/>
        <w:right w:val="none" w:sz="0" w:space="0" w:color="auto"/>
      </w:divBdr>
    </w:div>
    <w:div w:id="1238975205">
      <w:bodyDiv w:val="1"/>
      <w:marLeft w:val="0"/>
      <w:marRight w:val="0"/>
      <w:marTop w:val="0"/>
      <w:marBottom w:val="0"/>
      <w:divBdr>
        <w:top w:val="none" w:sz="0" w:space="0" w:color="auto"/>
        <w:left w:val="none" w:sz="0" w:space="0" w:color="auto"/>
        <w:bottom w:val="none" w:sz="0" w:space="0" w:color="auto"/>
        <w:right w:val="none" w:sz="0" w:space="0" w:color="auto"/>
      </w:divBdr>
    </w:div>
    <w:div w:id="1273394702">
      <w:bodyDiv w:val="1"/>
      <w:marLeft w:val="0"/>
      <w:marRight w:val="0"/>
      <w:marTop w:val="0"/>
      <w:marBottom w:val="0"/>
      <w:divBdr>
        <w:top w:val="none" w:sz="0" w:space="0" w:color="auto"/>
        <w:left w:val="none" w:sz="0" w:space="0" w:color="auto"/>
        <w:bottom w:val="none" w:sz="0" w:space="0" w:color="auto"/>
        <w:right w:val="none" w:sz="0" w:space="0" w:color="auto"/>
      </w:divBdr>
    </w:div>
    <w:div w:id="1282151450">
      <w:bodyDiv w:val="1"/>
      <w:marLeft w:val="0"/>
      <w:marRight w:val="0"/>
      <w:marTop w:val="0"/>
      <w:marBottom w:val="0"/>
      <w:divBdr>
        <w:top w:val="none" w:sz="0" w:space="0" w:color="auto"/>
        <w:left w:val="none" w:sz="0" w:space="0" w:color="auto"/>
        <w:bottom w:val="none" w:sz="0" w:space="0" w:color="auto"/>
        <w:right w:val="none" w:sz="0" w:space="0" w:color="auto"/>
      </w:divBdr>
    </w:div>
    <w:div w:id="1318654466">
      <w:bodyDiv w:val="1"/>
      <w:marLeft w:val="0"/>
      <w:marRight w:val="0"/>
      <w:marTop w:val="0"/>
      <w:marBottom w:val="0"/>
      <w:divBdr>
        <w:top w:val="none" w:sz="0" w:space="0" w:color="auto"/>
        <w:left w:val="none" w:sz="0" w:space="0" w:color="auto"/>
        <w:bottom w:val="none" w:sz="0" w:space="0" w:color="auto"/>
        <w:right w:val="none" w:sz="0" w:space="0" w:color="auto"/>
      </w:divBdr>
    </w:div>
    <w:div w:id="1329476772">
      <w:bodyDiv w:val="1"/>
      <w:marLeft w:val="0"/>
      <w:marRight w:val="0"/>
      <w:marTop w:val="0"/>
      <w:marBottom w:val="0"/>
      <w:divBdr>
        <w:top w:val="none" w:sz="0" w:space="0" w:color="auto"/>
        <w:left w:val="none" w:sz="0" w:space="0" w:color="auto"/>
        <w:bottom w:val="none" w:sz="0" w:space="0" w:color="auto"/>
        <w:right w:val="none" w:sz="0" w:space="0" w:color="auto"/>
      </w:divBdr>
    </w:div>
    <w:div w:id="1406684918">
      <w:bodyDiv w:val="1"/>
      <w:marLeft w:val="0"/>
      <w:marRight w:val="0"/>
      <w:marTop w:val="0"/>
      <w:marBottom w:val="0"/>
      <w:divBdr>
        <w:top w:val="none" w:sz="0" w:space="0" w:color="auto"/>
        <w:left w:val="none" w:sz="0" w:space="0" w:color="auto"/>
        <w:bottom w:val="none" w:sz="0" w:space="0" w:color="auto"/>
        <w:right w:val="none" w:sz="0" w:space="0" w:color="auto"/>
      </w:divBdr>
    </w:div>
    <w:div w:id="1487942349">
      <w:bodyDiv w:val="1"/>
      <w:marLeft w:val="0"/>
      <w:marRight w:val="0"/>
      <w:marTop w:val="0"/>
      <w:marBottom w:val="0"/>
      <w:divBdr>
        <w:top w:val="none" w:sz="0" w:space="0" w:color="auto"/>
        <w:left w:val="none" w:sz="0" w:space="0" w:color="auto"/>
        <w:bottom w:val="none" w:sz="0" w:space="0" w:color="auto"/>
        <w:right w:val="none" w:sz="0" w:space="0" w:color="auto"/>
      </w:divBdr>
    </w:div>
    <w:div w:id="1502895097">
      <w:bodyDiv w:val="1"/>
      <w:marLeft w:val="0"/>
      <w:marRight w:val="0"/>
      <w:marTop w:val="0"/>
      <w:marBottom w:val="0"/>
      <w:divBdr>
        <w:top w:val="none" w:sz="0" w:space="0" w:color="auto"/>
        <w:left w:val="none" w:sz="0" w:space="0" w:color="auto"/>
        <w:bottom w:val="none" w:sz="0" w:space="0" w:color="auto"/>
        <w:right w:val="none" w:sz="0" w:space="0" w:color="auto"/>
      </w:divBdr>
    </w:div>
    <w:div w:id="1603995320">
      <w:bodyDiv w:val="1"/>
      <w:marLeft w:val="0"/>
      <w:marRight w:val="0"/>
      <w:marTop w:val="0"/>
      <w:marBottom w:val="0"/>
      <w:divBdr>
        <w:top w:val="none" w:sz="0" w:space="0" w:color="auto"/>
        <w:left w:val="none" w:sz="0" w:space="0" w:color="auto"/>
        <w:bottom w:val="none" w:sz="0" w:space="0" w:color="auto"/>
        <w:right w:val="none" w:sz="0" w:space="0" w:color="auto"/>
      </w:divBdr>
    </w:div>
    <w:div w:id="1614556562">
      <w:bodyDiv w:val="1"/>
      <w:marLeft w:val="0"/>
      <w:marRight w:val="0"/>
      <w:marTop w:val="0"/>
      <w:marBottom w:val="0"/>
      <w:divBdr>
        <w:top w:val="none" w:sz="0" w:space="0" w:color="auto"/>
        <w:left w:val="none" w:sz="0" w:space="0" w:color="auto"/>
        <w:bottom w:val="none" w:sz="0" w:space="0" w:color="auto"/>
        <w:right w:val="none" w:sz="0" w:space="0" w:color="auto"/>
      </w:divBdr>
    </w:div>
    <w:div w:id="1685596162">
      <w:bodyDiv w:val="1"/>
      <w:marLeft w:val="0"/>
      <w:marRight w:val="0"/>
      <w:marTop w:val="0"/>
      <w:marBottom w:val="0"/>
      <w:divBdr>
        <w:top w:val="none" w:sz="0" w:space="0" w:color="auto"/>
        <w:left w:val="none" w:sz="0" w:space="0" w:color="auto"/>
        <w:bottom w:val="none" w:sz="0" w:space="0" w:color="auto"/>
        <w:right w:val="none" w:sz="0" w:space="0" w:color="auto"/>
      </w:divBdr>
    </w:div>
    <w:div w:id="1686592364">
      <w:bodyDiv w:val="1"/>
      <w:marLeft w:val="0"/>
      <w:marRight w:val="0"/>
      <w:marTop w:val="0"/>
      <w:marBottom w:val="0"/>
      <w:divBdr>
        <w:top w:val="none" w:sz="0" w:space="0" w:color="auto"/>
        <w:left w:val="none" w:sz="0" w:space="0" w:color="auto"/>
        <w:bottom w:val="none" w:sz="0" w:space="0" w:color="auto"/>
        <w:right w:val="none" w:sz="0" w:space="0" w:color="auto"/>
      </w:divBdr>
    </w:div>
    <w:div w:id="1698310220">
      <w:bodyDiv w:val="1"/>
      <w:marLeft w:val="0"/>
      <w:marRight w:val="0"/>
      <w:marTop w:val="0"/>
      <w:marBottom w:val="0"/>
      <w:divBdr>
        <w:top w:val="none" w:sz="0" w:space="0" w:color="auto"/>
        <w:left w:val="none" w:sz="0" w:space="0" w:color="auto"/>
        <w:bottom w:val="none" w:sz="0" w:space="0" w:color="auto"/>
        <w:right w:val="none" w:sz="0" w:space="0" w:color="auto"/>
      </w:divBdr>
    </w:div>
    <w:div w:id="1705325439">
      <w:bodyDiv w:val="1"/>
      <w:marLeft w:val="0"/>
      <w:marRight w:val="0"/>
      <w:marTop w:val="0"/>
      <w:marBottom w:val="0"/>
      <w:divBdr>
        <w:top w:val="none" w:sz="0" w:space="0" w:color="auto"/>
        <w:left w:val="none" w:sz="0" w:space="0" w:color="auto"/>
        <w:bottom w:val="none" w:sz="0" w:space="0" w:color="auto"/>
        <w:right w:val="none" w:sz="0" w:space="0" w:color="auto"/>
      </w:divBdr>
    </w:div>
    <w:div w:id="1737585097">
      <w:bodyDiv w:val="1"/>
      <w:marLeft w:val="0"/>
      <w:marRight w:val="0"/>
      <w:marTop w:val="0"/>
      <w:marBottom w:val="0"/>
      <w:divBdr>
        <w:top w:val="none" w:sz="0" w:space="0" w:color="auto"/>
        <w:left w:val="none" w:sz="0" w:space="0" w:color="auto"/>
        <w:bottom w:val="none" w:sz="0" w:space="0" w:color="auto"/>
        <w:right w:val="none" w:sz="0" w:space="0" w:color="auto"/>
      </w:divBdr>
    </w:div>
    <w:div w:id="1765027965">
      <w:bodyDiv w:val="1"/>
      <w:marLeft w:val="0"/>
      <w:marRight w:val="0"/>
      <w:marTop w:val="0"/>
      <w:marBottom w:val="0"/>
      <w:divBdr>
        <w:top w:val="none" w:sz="0" w:space="0" w:color="auto"/>
        <w:left w:val="none" w:sz="0" w:space="0" w:color="auto"/>
        <w:bottom w:val="none" w:sz="0" w:space="0" w:color="auto"/>
        <w:right w:val="none" w:sz="0" w:space="0" w:color="auto"/>
      </w:divBdr>
    </w:div>
    <w:div w:id="1794446674">
      <w:bodyDiv w:val="1"/>
      <w:marLeft w:val="0"/>
      <w:marRight w:val="0"/>
      <w:marTop w:val="0"/>
      <w:marBottom w:val="0"/>
      <w:divBdr>
        <w:top w:val="none" w:sz="0" w:space="0" w:color="auto"/>
        <w:left w:val="none" w:sz="0" w:space="0" w:color="auto"/>
        <w:bottom w:val="none" w:sz="0" w:space="0" w:color="auto"/>
        <w:right w:val="none" w:sz="0" w:space="0" w:color="auto"/>
      </w:divBdr>
    </w:div>
    <w:div w:id="1821539770">
      <w:bodyDiv w:val="1"/>
      <w:marLeft w:val="0"/>
      <w:marRight w:val="0"/>
      <w:marTop w:val="0"/>
      <w:marBottom w:val="0"/>
      <w:divBdr>
        <w:top w:val="none" w:sz="0" w:space="0" w:color="auto"/>
        <w:left w:val="none" w:sz="0" w:space="0" w:color="auto"/>
        <w:bottom w:val="none" w:sz="0" w:space="0" w:color="auto"/>
        <w:right w:val="none" w:sz="0" w:space="0" w:color="auto"/>
      </w:divBdr>
    </w:div>
    <w:div w:id="1972511490">
      <w:bodyDiv w:val="1"/>
      <w:marLeft w:val="0"/>
      <w:marRight w:val="0"/>
      <w:marTop w:val="0"/>
      <w:marBottom w:val="0"/>
      <w:divBdr>
        <w:top w:val="none" w:sz="0" w:space="0" w:color="auto"/>
        <w:left w:val="none" w:sz="0" w:space="0" w:color="auto"/>
        <w:bottom w:val="none" w:sz="0" w:space="0" w:color="auto"/>
        <w:right w:val="none" w:sz="0" w:space="0" w:color="auto"/>
      </w:divBdr>
    </w:div>
    <w:div w:id="2066684755">
      <w:bodyDiv w:val="1"/>
      <w:marLeft w:val="0"/>
      <w:marRight w:val="0"/>
      <w:marTop w:val="0"/>
      <w:marBottom w:val="0"/>
      <w:divBdr>
        <w:top w:val="none" w:sz="0" w:space="0" w:color="auto"/>
        <w:left w:val="none" w:sz="0" w:space="0" w:color="auto"/>
        <w:bottom w:val="none" w:sz="0" w:space="0" w:color="auto"/>
        <w:right w:val="none" w:sz="0" w:space="0" w:color="auto"/>
      </w:divBdr>
    </w:div>
    <w:div w:id="2105224892">
      <w:bodyDiv w:val="1"/>
      <w:marLeft w:val="0"/>
      <w:marRight w:val="0"/>
      <w:marTop w:val="0"/>
      <w:marBottom w:val="0"/>
      <w:divBdr>
        <w:top w:val="none" w:sz="0" w:space="0" w:color="auto"/>
        <w:left w:val="none" w:sz="0" w:space="0" w:color="auto"/>
        <w:bottom w:val="none" w:sz="0" w:space="0" w:color="auto"/>
        <w:right w:val="none" w:sz="0" w:space="0" w:color="auto"/>
      </w:divBdr>
    </w:div>
    <w:div w:id="2116122994">
      <w:bodyDiv w:val="1"/>
      <w:marLeft w:val="0"/>
      <w:marRight w:val="0"/>
      <w:marTop w:val="0"/>
      <w:marBottom w:val="0"/>
      <w:divBdr>
        <w:top w:val="none" w:sz="0" w:space="0" w:color="auto"/>
        <w:left w:val="none" w:sz="0" w:space="0" w:color="auto"/>
        <w:bottom w:val="none" w:sz="0" w:space="0" w:color="auto"/>
        <w:right w:val="none" w:sz="0" w:space="0" w:color="auto"/>
      </w:divBdr>
    </w:div>
    <w:div w:id="2124955557">
      <w:bodyDiv w:val="1"/>
      <w:marLeft w:val="0"/>
      <w:marRight w:val="0"/>
      <w:marTop w:val="0"/>
      <w:marBottom w:val="0"/>
      <w:divBdr>
        <w:top w:val="none" w:sz="0" w:space="0" w:color="auto"/>
        <w:left w:val="none" w:sz="0" w:space="0" w:color="auto"/>
        <w:bottom w:val="none" w:sz="0" w:space="0" w:color="auto"/>
        <w:right w:val="none" w:sz="0" w:space="0" w:color="auto"/>
      </w:divBdr>
    </w:div>
    <w:div w:id="21451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Ban17</b:Tag>
    <b:SourceType>JournalArticle</b:SourceType>
    <b:Guid>{756A828E-D15A-49F7-96FE-8D1586459CB0}</b:Guid>
    <b:Author>
      <b:Author>
        <b:NameList>
          <b:Person>
            <b:Last>Banks</b:Last>
            <b:First>W</b:First>
          </b:Person>
        </b:NameList>
      </b:Author>
    </b:Author>
    <b:Title>Cyber Espionage and Electronic Surveillance: Beyond the Media Coverage</b:Title>
    <b:JournalName>Emory Law Journal; 2017, Vol. 66 Issue 3</b:JournalName>
    <b:Year>2017</b:Year>
    <b:Pages>513-525</b:Pages>
    <b:RefOrder>7</b:RefOrder>
  </b:Source>
  <b:Source>
    <b:Tag>Eri18</b:Tag>
    <b:SourceType>JournalArticle</b:SourceType>
    <b:Guid>{1DD080EA-072B-4D8F-941C-AD51D218F19F}</b:Guid>
    <b:Author>
      <b:Author>
        <b:NameList>
          <b:Person>
            <b:Last>Erickson</b:Last>
            <b:First>A</b:First>
          </b:Person>
          <b:Person>
            <b:Last>Neilson</b:Last>
            <b:First>T</b:First>
          </b:Person>
        </b:NameList>
      </b:Author>
    </b:Author>
    <b:Title>CyberSecurity -- the No. 1 Threat Facing Manufacturers</b:Title>
    <b:JournalName>Industrial Management. Jul/Aug, Vol. 60 Issue 4, p24-27</b:JournalName>
    <b:Year>2018</b:Year>
    <b:Pages>24-27</b:Pages>
    <b:RefOrder>10</b:RefOrder>
  </b:Source>
  <b:Source>
    <b:Tag>Fis17</b:Tag>
    <b:SourceType>JournalArticle</b:SourceType>
    <b:Guid>{85A33371-196D-4E32-8740-3C1F6E0B76C9}</b:Guid>
    <b:Author>
      <b:Author>
        <b:NameList>
          <b:Person>
            <b:Last>Fischerkeller</b:Last>
            <b:First>M</b:First>
          </b:Person>
          <b:Person>
            <b:Last>Harknett</b:Last>
            <b:First>R</b:First>
          </b:Person>
        </b:NameList>
      </b:Author>
    </b:Author>
    <b:Title>Deterrence is Not a Credible Strategy for Cyberspace</b:Title>
    <b:JournalName>Orbis Volume 61, Issue 3</b:JournalName>
    <b:Year>217</b:Year>
    <b:Pages>381-393</b:Pages>
    <b:RefOrder>9</b:RefOrder>
  </b:Source>
  <b:Source>
    <b:Tag>Mat14</b:Tag>
    <b:SourceType>JournalArticle</b:SourceType>
    <b:Guid>{B3CC5836-EC5A-4A9A-B633-C295BBD3CED0}</b:Guid>
    <b:Author>
      <b:Author>
        <b:NameList>
          <b:Person>
            <b:Last>Matsubara</b:Last>
            <b:First>M</b:First>
          </b:Person>
        </b:NameList>
      </b:Author>
    </b:Author>
    <b:Title>Countering Cyber-Espionage and Sabotage </b:Title>
    <b:JournalName>RUSI Journal: Royal United Services Institute for Defence Studies, 159(1)</b:JournalName>
    <b:Year>2014</b:Year>
    <b:Pages>86-93</b:Pages>
    <b:RefOrder>3</b:RefOrder>
  </b:Source>
  <b:Source>
    <b:Tag>Ink15</b:Tag>
    <b:SourceType>JournalArticle</b:SourceType>
    <b:Guid>{728035D6-172F-4256-BC72-590AEB498177}</b:Guid>
    <b:Title>Cyber espionage. China's Cyber Power </b:Title>
    <b:JournalName>Adelphi Series Vol. 55</b:JournalName>
    <b:Year>2015</b:Year>
    <b:Pages>51-82</b:Pages>
    <b:Author>
      <b:Author>
        <b:NameList>
          <b:Person>
            <b:Last>Inkster</b:Last>
            <b:First>N</b:First>
          </b:Person>
        </b:NameList>
      </b:Author>
    </b:Author>
    <b:RefOrder>1</b:RefOrder>
  </b:Source>
  <b:Source>
    <b:Tag>Kov18</b:Tag>
    <b:SourceType>JournalArticle</b:SourceType>
    <b:Guid>{951C4878-EB5E-4B1E-98A3-2DFC67CE8642}</b:Guid>
    <b:Author>
      <b:Author>
        <b:NameList>
          <b:Person>
            <b:Last>Kovacs.1</b:Last>
          </b:Person>
        </b:NameList>
      </b:Author>
    </b:Author>
    <b:Title>Cyber Security Policy and Strategy in the European Union and NATO</b:Title>
    <b:JournalName>Revista Academiei Fortelor Terestre. Vol. 23 Issue 1</b:JournalName>
    <b:Year>2018</b:Year>
    <b:Pages>16-24</b:Pages>
    <b:RefOrder>4</b:RefOrder>
  </b:Source>
  <b:Source>
    <b:Tag>Kov181</b:Tag>
    <b:SourceType>JournalArticle</b:SourceType>
    <b:Guid>{FAD57C32-34DB-4D2B-B5EC-28F05D0355C3}</b:Guid>
    <b:Author>
      <b:Author>
        <b:NameList>
          <b:Person>
            <b:Last>Kovacs.2</b:Last>
          </b:Person>
        </b:NameList>
      </b:Author>
    </b:Author>
    <b:Title>National Cybersecurity as the Cornerstone of National Security</b:Title>
    <b:JournalName>Revista Academiei Fortelor Terestre. Vol. 23 Issue 2</b:JournalName>
    <b:Year>2018</b:Year>
    <b:Pages>113-120</b:Pages>
    <b:RefOrder>2</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8</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6</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5</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13</b:RefOrder>
  </b:Source>
  <b:Source>
    <b:Tag>Hen18</b:Tag>
    <b:SourceType>JournalArticle</b:SourceType>
    <b:Guid>{9844452A-46C6-4540-8862-7BDA0D950B00}</b:Guid>
    <b:Author>
      <b:Author>
        <b:NameList>
          <b:Person>
            <b:Last>Hennig</b:Last>
            <b:First>N</b:First>
          </b:Person>
        </b:NameList>
      </b:Author>
    </b:Author>
    <b:Title>Privacy and Security Online: Best Practices for Cybersecurity</b:Title>
    <b:JournalName>Library Technology Reports. April, Vol. 54 Issue 3</b:JournalName>
    <b:Year>2018</b:Year>
    <b:Pages>1-37</b:Pages>
    <b:RefOrder>14</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11</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12</b:RefOrder>
  </b:Source>
</b:Sources>
</file>

<file path=customXml/itemProps1.xml><?xml version="1.0" encoding="utf-8"?>
<ds:datastoreItem xmlns:ds="http://schemas.openxmlformats.org/officeDocument/2006/customXml" ds:itemID="{2F34C201-72F5-4331-8A4E-A262650EB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1677</TotalTime>
  <Pages>10</Pages>
  <Words>2405</Words>
  <Characters>13712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86</cp:revision>
  <dcterms:created xsi:type="dcterms:W3CDTF">2019-05-19T17:38:00Z</dcterms:created>
  <dcterms:modified xsi:type="dcterms:W3CDTF">2020-04-20T02:10:00Z</dcterms:modified>
</cp:coreProperties>
</file>