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1276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0080D14" w14:textId="3F4B06A4" w:rsidR="00026AC7" w:rsidRDefault="009E3994" w:rsidP="00026AC7">
      <w:pPr>
        <w:pStyle w:val="Heading1"/>
      </w:pPr>
      <w:r>
        <w:lastRenderedPageBreak/>
        <w:t>Global Security Risks</w:t>
      </w:r>
    </w:p>
    <w:p w14:paraId="22158E59" w14:textId="52602731" w:rsidR="00C30B91" w:rsidRDefault="0023632B" w:rsidP="00C30B91">
      <w:r>
        <w:tab/>
      </w:r>
      <w:r w:rsidR="00C30B91">
        <w:t>The latest sensation in the gig economy is Ride-Me, a mobile app that connects freelance drivers with riders.  After receiving a one billion dollar valuation, the platform seeks to expand into international markets, competing against global powerhouses like Uber and Lyft.  Moving a business onto the global stage introduces new risks that need to be understood and constrained.  For instance, foreign nations seek to protect their national sovereignty and impose complex legal restrictions on data storage and user privacy.  These requirements can increase the attack surface to espionage and intellectual property theft.  Inconsistency of compliance and regulation creates challenges as definitions of transparency vary between locale.  Organizations must be cognizant of the costs associated with mitigating these issues through people, process, and product solutions.</w:t>
      </w:r>
    </w:p>
    <w:p w14:paraId="0FA10AF8" w14:textId="719E7694" w:rsidR="00026AC7" w:rsidRDefault="00026AC7" w:rsidP="00C30B91">
      <w:pPr>
        <w:pStyle w:val="Heading1"/>
      </w:pPr>
      <w:r>
        <w:t>Section I: Understanding Risk</w:t>
      </w:r>
    </w:p>
    <w:p w14:paraId="3582CEB8" w14:textId="6002B7F4" w:rsidR="00026AC7" w:rsidRDefault="00026AC7" w:rsidP="00C30B91">
      <w:pPr>
        <w:pStyle w:val="Heading2"/>
      </w:pPr>
      <w:r>
        <w:t xml:space="preserve">Risks from the International </w:t>
      </w:r>
      <w:r w:rsidR="009622E7">
        <w:t>C</w:t>
      </w:r>
      <w:r>
        <w:t>ommunity</w:t>
      </w:r>
    </w:p>
    <w:p w14:paraId="2BEDE384" w14:textId="5A596A47" w:rsidR="00044A93" w:rsidRDefault="00032E83" w:rsidP="00351795">
      <w:r>
        <w:tab/>
      </w:r>
      <w:r w:rsidR="00DE5203" w:rsidRPr="00DE5203">
        <w:rPr>
          <w:b/>
          <w:bCs/>
        </w:rPr>
        <w:t>Cyberespionage.</w:t>
      </w:r>
      <w:r w:rsidR="0035266A">
        <w:rPr>
          <w:b/>
          <w:bCs/>
        </w:rPr>
        <w:t xml:space="preserve"> </w:t>
      </w:r>
      <w:r w:rsidR="00DE5203">
        <w:t xml:space="preserve"> </w:t>
      </w:r>
      <w:r w:rsidR="009622E7">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rsidR="009622E7">
            <w:fldChar w:fldCharType="begin"/>
          </w:r>
          <w:r w:rsidR="009622E7">
            <w:instrText xml:space="preserve"> CITATION Ben19 \l 1033 </w:instrText>
          </w:r>
          <w:r w:rsidR="009622E7">
            <w:fldChar w:fldCharType="separate"/>
          </w:r>
          <w:r w:rsidR="009622E7">
            <w:rPr>
              <w:noProof/>
            </w:rPr>
            <w:t xml:space="preserve"> (Bensinger, 2019)</w:t>
          </w:r>
          <w:r w:rsidR="009622E7">
            <w:fldChar w:fldCharType="end"/>
          </w:r>
        </w:sdtContent>
      </w:sdt>
      <w:r w:rsidR="009622E7">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International law does not prohibit these nation-states spying, Article 51 of the United Nations charter even allows it under the disguise of self-defense</w:t>
      </w:r>
      <w:sdt>
        <w:sdtPr>
          <w:id w:val="-1288509646"/>
          <w:citation/>
        </w:sdt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However, this perspective employs a very Western vie</w:t>
      </w:r>
      <w:r w:rsidR="003A5B56">
        <w:t>w</w:t>
      </w:r>
      <w:r w:rsidR="003A5B56" w:rsidRPr="003A5B56">
        <w:t xml:space="preserve">.  For socialist countries, the distinction </w:t>
      </w:r>
      <w:r w:rsidR="003A5B56" w:rsidRPr="003A5B56">
        <w:lastRenderedPageBreak/>
        <w:t xml:space="preserve">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21ADB45" w14:textId="12CC8F45" w:rsidR="00C27FC3" w:rsidRDefault="00DE5203" w:rsidP="00DE5203">
      <w:pPr>
        <w:ind w:firstLine="720"/>
      </w:pPr>
      <w:r>
        <w:rPr>
          <w:b/>
          <w:bCs/>
        </w:rPr>
        <w:t xml:space="preserve">Cyber sabotage.  </w:t>
      </w:r>
      <w:r w:rsidR="00351795">
        <w:t xml:space="preserve">Using technologies like ransomware, malicious software that encrypts digital devices, </w:t>
      </w:r>
      <w:r w:rsidR="00351795">
        <w:t>n</w:t>
      </w:r>
      <w:r w:rsidR="00351795">
        <w:t xml:space="preserve">efarious actors can force </w:t>
      </w:r>
      <w:r w:rsidR="00351795">
        <w:t>an</w:t>
      </w:r>
      <w:r w:rsidR="00351795">
        <w:t xml:space="preserve"> organization to purchase decryption</w:t>
      </w:r>
      <w:r w:rsidR="00351795">
        <w:t xml:space="preserve"> keys</w:t>
      </w:r>
      <w:sdt>
        <w:sdtPr>
          <w:id w:val="-1274085217"/>
          <w:citation/>
        </w:sdtPr>
        <w:sdtContent>
          <w:r w:rsidR="00351795">
            <w:fldChar w:fldCharType="begin"/>
          </w:r>
          <w:r w:rsidR="00351795">
            <w:instrText xml:space="preserve"> CITATION The17 \l 1033 </w:instrText>
          </w:r>
          <w:r w:rsidR="00351795">
            <w:fldChar w:fldCharType="separate"/>
          </w:r>
          <w:r w:rsidR="00351795">
            <w:rPr>
              <w:noProof/>
            </w:rPr>
            <w:t xml:space="preserve"> (Busdicker &amp; Upendra, 2017)</w:t>
          </w:r>
          <w:r w:rsidR="00351795">
            <w:fldChar w:fldCharType="end"/>
          </w:r>
        </w:sdtContent>
      </w:sdt>
      <w:r w:rsidR="00351795">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00351795" w:rsidRPr="00351795">
        <w:t xml:space="preserve"> </w:t>
      </w:r>
      <w:sdt>
        <w:sdtPr>
          <w:id w:val="-397291828"/>
          <w:citation/>
        </w:sdtPr>
        <w:sdtContent>
          <w:r w:rsidR="00351795">
            <w:fldChar w:fldCharType="begin"/>
          </w:r>
          <w:r w:rsidR="00351795">
            <w:instrText xml:space="preserve"> CITATION Fis17 \l 1033 </w:instrText>
          </w:r>
          <w:r w:rsidR="00351795">
            <w:fldChar w:fldCharType="separate"/>
          </w:r>
          <w:r w:rsidR="00351795">
            <w:rPr>
              <w:noProof/>
            </w:rPr>
            <w:t>(Fischerkeller &amp; Harknett, 217)</w:t>
          </w:r>
          <w:r w:rsidR="00351795">
            <w:fldChar w:fldCharType="end"/>
          </w:r>
        </w:sdtContent>
      </w:sdt>
      <w:r w:rsidR="00351795">
        <w:t xml:space="preserve">.  Technological solutions like deploying applications across multiple Public Cloud Service Provider (CSP) data centers can minimize the influence of DoS attacks.  </w:t>
      </w:r>
      <w:r w:rsidR="00351795">
        <w:t xml:space="preserve">However, these same </w:t>
      </w:r>
      <w:r w:rsidR="00351795">
        <w:t xml:space="preserve">legal </w:t>
      </w:r>
      <w:r w:rsidR="00351795">
        <w:t>protections do not uniformly exist across the globe</w:t>
      </w:r>
      <w:r w:rsidR="005070B5">
        <w:t>,</w:t>
      </w:r>
      <w:r w:rsidR="00351795">
        <w:t xml:space="preserve"> and regulations around data placement can limit the accessibility of </w:t>
      </w:r>
      <w:r w:rsidR="005070B5">
        <w:t xml:space="preserve">flexible </w:t>
      </w:r>
      <w:r w:rsidR="00351795">
        <w:t>fail-over solutions.</w:t>
      </w:r>
    </w:p>
    <w:p w14:paraId="4CA0F8BF" w14:textId="278F84FE" w:rsidR="00F81443" w:rsidRPr="00F81443" w:rsidRDefault="00F81443" w:rsidP="00DE5203">
      <w:pPr>
        <w:ind w:firstLine="720"/>
      </w:pPr>
      <w:r>
        <w:rPr>
          <w:b/>
          <w:bCs/>
        </w:rPr>
        <w:t>Subversion</w:t>
      </w:r>
      <w:r>
        <w:t>.  The international community does not agree on the strict definition of what constitutes a cyber-attack</w:t>
      </w:r>
      <w:sdt>
        <w:sdtPr>
          <w:id w:val="567532436"/>
          <w:citation/>
        </w:sdt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These differences influence auditing and compliance requirements between countries and prevent direct comparisons of policy or approach</w:t>
      </w:r>
      <w:sdt>
        <w:sdtPr>
          <w:id w:val="-1995171479"/>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w:t>
      </w:r>
    </w:p>
    <w:p w14:paraId="78170702" w14:textId="2879F781" w:rsidR="00026AC7" w:rsidRDefault="00026AC7" w:rsidP="00C30B91">
      <w:pPr>
        <w:pStyle w:val="Heading2"/>
      </w:pPr>
      <w:r>
        <w:t xml:space="preserve">Process for </w:t>
      </w:r>
      <w:r w:rsidR="009622E7">
        <w:t>E</w:t>
      </w:r>
      <w:r>
        <w:t xml:space="preserve">stablishing </w:t>
      </w:r>
      <w:r w:rsidR="009622E7">
        <w:t>R</w:t>
      </w:r>
      <w:r>
        <w:t>isk</w:t>
      </w:r>
    </w:p>
    <w:p w14:paraId="45A0B04F" w14:textId="46CFC5E0" w:rsidR="00C27FC3" w:rsidRDefault="00026AC7" w:rsidP="003A5B56">
      <w:pPr>
        <w:pStyle w:val="ListParagraph"/>
        <w:numPr>
          <w:ilvl w:val="0"/>
          <w:numId w:val="1"/>
        </w:numPr>
      </w:pPr>
      <w:r>
        <w:t>Geography</w:t>
      </w:r>
    </w:p>
    <w:p w14:paraId="2BE70894" w14:textId="4E3A09B4" w:rsidR="00C27FC3" w:rsidRDefault="00D60ED3" w:rsidP="003A5B56">
      <w:pPr>
        <w:pStyle w:val="ListParagraph"/>
        <w:numPr>
          <w:ilvl w:val="1"/>
          <w:numId w:val="1"/>
        </w:numPr>
      </w:pPr>
      <w:sdt>
        <w:sdtPr>
          <w:id w:val="-1875294391"/>
          <w:citation/>
        </w:sdtPr>
        <w:sdtContent>
          <w:r>
            <w:fldChar w:fldCharType="begin"/>
          </w:r>
          <w:r>
            <w:instrText xml:space="preserve"> CITATION Mos19 \l 1033 </w:instrText>
          </w:r>
          <w:r>
            <w:fldChar w:fldCharType="separate"/>
          </w:r>
          <w:r>
            <w:rPr>
              <w:noProof/>
            </w:rPr>
            <w:t>(Moss, 2019)</w:t>
          </w:r>
          <w:r>
            <w:fldChar w:fldCharType="end"/>
          </w:r>
        </w:sdtContent>
      </w:sdt>
      <w:r w:rsidR="00C27FC3">
        <w:t>Moss Blackhat</w:t>
      </w:r>
    </w:p>
    <w:p w14:paraId="1C4DC25C" w14:textId="469A8346" w:rsidR="00C27FC3" w:rsidRDefault="00D60ED3" w:rsidP="003A5B56">
      <w:pPr>
        <w:pStyle w:val="ListParagraph"/>
        <w:numPr>
          <w:ilvl w:val="1"/>
          <w:numId w:val="1"/>
        </w:numPr>
      </w:pPr>
      <w:sdt>
        <w:sdtPr>
          <w:id w:val="-1769687177"/>
          <w:citation/>
        </w:sdtPr>
        <w:sdtContent>
          <w:r>
            <w:fldChar w:fldCharType="begin"/>
          </w:r>
          <w:r>
            <w:instrText xml:space="preserve"> CITATION Ink15 \l 1033 </w:instrText>
          </w:r>
          <w:r>
            <w:fldChar w:fldCharType="separate"/>
          </w:r>
          <w:r>
            <w:rPr>
              <w:noProof/>
            </w:rPr>
            <w:t>(Inkster, 2015)</w:t>
          </w:r>
          <w:r>
            <w:fldChar w:fldCharType="end"/>
          </w:r>
        </w:sdtContent>
      </w:sdt>
      <w:r w:rsidR="00C27FC3">
        <w:t xml:space="preserve">Inkster </w:t>
      </w:r>
      <w:proofErr w:type="spellStart"/>
      <w:r w:rsidR="00C27FC3">
        <w:t>ChinaCyberPower</w:t>
      </w:r>
      <w:proofErr w:type="spellEnd"/>
    </w:p>
    <w:p w14:paraId="71A4C634" w14:textId="45BAC4CB" w:rsidR="00C27FC3" w:rsidRDefault="00C27FC3" w:rsidP="003A5B56">
      <w:pPr>
        <w:pStyle w:val="ListParagraph"/>
        <w:numPr>
          <w:ilvl w:val="0"/>
          <w:numId w:val="1"/>
        </w:numPr>
      </w:pPr>
      <w:r>
        <w:t>National Sovereignty</w:t>
      </w:r>
    </w:p>
    <w:p w14:paraId="291C8966" w14:textId="207ECF38" w:rsidR="00C27FC3" w:rsidRDefault="00D60ED3" w:rsidP="003A5B56">
      <w:pPr>
        <w:pStyle w:val="ListParagraph"/>
        <w:numPr>
          <w:ilvl w:val="1"/>
          <w:numId w:val="1"/>
        </w:numPr>
      </w:pPr>
      <w:sdt>
        <w:sdtPr>
          <w:id w:val="-1201848686"/>
          <w:citation/>
        </w:sdtPr>
        <w:sdtContent>
          <w:r>
            <w:fldChar w:fldCharType="begin"/>
          </w:r>
          <w:r>
            <w:instrText xml:space="preserve"> CITATION Fis17 \l 1033 </w:instrText>
          </w:r>
          <w:r>
            <w:fldChar w:fldCharType="separate"/>
          </w:r>
          <w:r>
            <w:rPr>
              <w:noProof/>
            </w:rPr>
            <w:t>(Fischerkeller &amp; Harknett, 217)</w:t>
          </w:r>
          <w:r>
            <w:fldChar w:fldCharType="end"/>
          </w:r>
        </w:sdtContent>
      </w:sdt>
      <w:proofErr w:type="spellStart"/>
      <w:r w:rsidR="00C27FC3">
        <w:t>Fischerkeller</w:t>
      </w:r>
      <w:proofErr w:type="spellEnd"/>
      <w:r w:rsidR="00C27FC3">
        <w:t xml:space="preserve"> – Deterrence</w:t>
      </w:r>
    </w:p>
    <w:p w14:paraId="55068096" w14:textId="19037649" w:rsidR="00C27FC3" w:rsidRDefault="00D60ED3" w:rsidP="003A5B56">
      <w:pPr>
        <w:pStyle w:val="ListParagraph"/>
        <w:numPr>
          <w:ilvl w:val="1"/>
          <w:numId w:val="1"/>
        </w:numPr>
      </w:pPr>
      <w:sdt>
        <w:sdtPr>
          <w:id w:val="839745541"/>
          <w:citation/>
        </w:sdtPr>
        <w:sdtContent>
          <w:r>
            <w:fldChar w:fldCharType="begin"/>
          </w:r>
          <w:r>
            <w:instrText xml:space="preserve">CITATION Kov18 \l 1033 </w:instrText>
          </w:r>
          <w:r>
            <w:fldChar w:fldCharType="separate"/>
          </w:r>
          <w:r>
            <w:rPr>
              <w:noProof/>
            </w:rPr>
            <w:t>(Kovacs.1, 2018)</w:t>
          </w:r>
          <w:r>
            <w:fldChar w:fldCharType="end"/>
          </w:r>
        </w:sdtContent>
      </w:sdt>
      <w:r w:rsidR="00C27FC3">
        <w:t xml:space="preserve">Kovac – </w:t>
      </w:r>
      <w:proofErr w:type="spellStart"/>
      <w:r w:rsidR="00C27FC3">
        <w:t>PolicyStrategyEuropean</w:t>
      </w:r>
      <w:proofErr w:type="spellEnd"/>
    </w:p>
    <w:p w14:paraId="2586D5C9" w14:textId="13CC999A" w:rsidR="00C27FC3" w:rsidRDefault="00D60ED3" w:rsidP="003A5B56">
      <w:pPr>
        <w:pStyle w:val="ListParagraph"/>
        <w:numPr>
          <w:ilvl w:val="1"/>
          <w:numId w:val="1"/>
        </w:numPr>
      </w:pPr>
      <w:sdt>
        <w:sdtPr>
          <w:id w:val="-2112194769"/>
          <w:citation/>
        </w:sdtPr>
        <w:sdtContent>
          <w:r>
            <w:fldChar w:fldCharType="begin"/>
          </w:r>
          <w:r>
            <w:instrText xml:space="preserve">CITATION Kov181 \l 1033 </w:instrText>
          </w:r>
          <w:r>
            <w:fldChar w:fldCharType="separate"/>
          </w:r>
          <w:r>
            <w:rPr>
              <w:noProof/>
            </w:rPr>
            <w:t>(Kovacs.2, 2018)</w:t>
          </w:r>
          <w:r>
            <w:fldChar w:fldCharType="end"/>
          </w:r>
        </w:sdtContent>
      </w:sdt>
      <w:r w:rsidR="00C27FC3">
        <w:t>Kovacs Cornerstone</w:t>
      </w:r>
    </w:p>
    <w:p w14:paraId="69EB9B38" w14:textId="670E1252" w:rsidR="00026AC7" w:rsidRDefault="00026AC7" w:rsidP="003A5B56">
      <w:pPr>
        <w:pStyle w:val="ListParagraph"/>
        <w:numPr>
          <w:ilvl w:val="0"/>
          <w:numId w:val="1"/>
        </w:numPr>
      </w:pPr>
      <w:r>
        <w:t>Legal Challenges</w:t>
      </w:r>
    </w:p>
    <w:p w14:paraId="21E1BDF7" w14:textId="4017005F" w:rsidR="00C27FC3" w:rsidRDefault="00D60ED3" w:rsidP="003A5B56">
      <w:pPr>
        <w:pStyle w:val="ListParagraph"/>
        <w:numPr>
          <w:ilvl w:val="1"/>
          <w:numId w:val="1"/>
        </w:numPr>
      </w:pPr>
      <w:sdt>
        <w:sdtPr>
          <w:id w:val="1289931267"/>
          <w:citation/>
        </w:sdtPr>
        <w:sdtContent>
          <w:r>
            <w:fldChar w:fldCharType="begin"/>
          </w:r>
          <w:r>
            <w:instrText xml:space="preserve"> CITATION Emi18 \l 1033 </w:instrText>
          </w:r>
          <w:r>
            <w:fldChar w:fldCharType="separate"/>
          </w:r>
          <w:r>
            <w:rPr>
              <w:noProof/>
            </w:rPr>
            <w:t>(Emilio, 2018)</w:t>
          </w:r>
          <w:r>
            <w:fldChar w:fldCharType="end"/>
          </w:r>
        </w:sdtContent>
      </w:sdt>
      <w:r w:rsidR="00C27FC3">
        <w:t xml:space="preserve">Emilio – </w:t>
      </w:r>
      <w:proofErr w:type="spellStart"/>
      <w:r w:rsidR="00C27FC3">
        <w:t>ChinaWarefare</w:t>
      </w:r>
      <w:proofErr w:type="spellEnd"/>
    </w:p>
    <w:p w14:paraId="1860F631" w14:textId="4E32AA8C" w:rsidR="00C27FC3" w:rsidRDefault="00D60ED3" w:rsidP="003A5B56">
      <w:pPr>
        <w:pStyle w:val="ListParagraph"/>
        <w:numPr>
          <w:ilvl w:val="1"/>
          <w:numId w:val="1"/>
        </w:numPr>
      </w:pPr>
      <w:sdt>
        <w:sdtPr>
          <w:id w:val="134308101"/>
          <w:citation/>
        </w:sdtPr>
        <w:sdtContent>
          <w:r>
            <w:fldChar w:fldCharType="begin"/>
          </w:r>
          <w:r>
            <w:instrText xml:space="preserve"> CITATION Kov18 \l 1033 </w:instrText>
          </w:r>
          <w:r>
            <w:fldChar w:fldCharType="separate"/>
          </w:r>
          <w:r>
            <w:rPr>
              <w:noProof/>
            </w:rPr>
            <w:t>(Kovacs.1, 2018)</w:t>
          </w:r>
          <w:r>
            <w:fldChar w:fldCharType="end"/>
          </w:r>
        </w:sdtContent>
      </w:sdt>
      <w:r w:rsidR="00C27FC3">
        <w:t xml:space="preserve">Kovac – </w:t>
      </w:r>
      <w:proofErr w:type="spellStart"/>
      <w:r w:rsidR="00C27FC3">
        <w:t>PolicyStrategyEuropean</w:t>
      </w:r>
      <w:proofErr w:type="spellEnd"/>
    </w:p>
    <w:p w14:paraId="6BD6BE05" w14:textId="3B28E655" w:rsidR="00C27FC3" w:rsidRDefault="00D60ED3" w:rsidP="003A5B56">
      <w:pPr>
        <w:pStyle w:val="ListParagraph"/>
        <w:numPr>
          <w:ilvl w:val="1"/>
          <w:numId w:val="1"/>
        </w:numPr>
      </w:pPr>
      <w:sdt>
        <w:sdtPr>
          <w:id w:val="1366251447"/>
          <w:citation/>
        </w:sdtPr>
        <w:sdtContent>
          <w:r>
            <w:fldChar w:fldCharType="begin"/>
          </w:r>
          <w:r>
            <w:instrText xml:space="preserve"> CITATION Mat14 \l 1033 </w:instrText>
          </w:r>
          <w:r>
            <w:fldChar w:fldCharType="separate"/>
          </w:r>
          <w:r>
            <w:rPr>
              <w:noProof/>
            </w:rPr>
            <w:t>(Matsubara, 2014)</w:t>
          </w:r>
          <w:r>
            <w:fldChar w:fldCharType="end"/>
          </w:r>
        </w:sdtContent>
      </w:sdt>
      <w:r w:rsidR="00C27FC3">
        <w:t xml:space="preserve">Matsubara </w:t>
      </w:r>
      <w:r>
        <w:t>–</w:t>
      </w:r>
      <w:r w:rsidR="00C27FC3">
        <w:t xml:space="preserve"> </w:t>
      </w:r>
      <w:proofErr w:type="spellStart"/>
      <w:r w:rsidR="00C27FC3">
        <w:t>CounteringCyber</w:t>
      </w:r>
      <w:proofErr w:type="spellEnd"/>
    </w:p>
    <w:p w14:paraId="690CBC4D" w14:textId="6B73D1BD" w:rsidR="00D60ED3" w:rsidRDefault="00D60ED3" w:rsidP="003A5B56">
      <w:pPr>
        <w:pStyle w:val="ListParagraph"/>
        <w:numPr>
          <w:ilvl w:val="1"/>
          <w:numId w:val="1"/>
        </w:numPr>
      </w:pPr>
      <w:sdt>
        <w:sdtPr>
          <w:id w:val="1872877583"/>
          <w:citation/>
        </w:sdtPr>
        <w:sdtContent>
          <w:r>
            <w:fldChar w:fldCharType="begin"/>
          </w:r>
          <w:r>
            <w:instrText xml:space="preserve"> CITATION Eme17 \l 1033 </w:instrText>
          </w:r>
          <w:r>
            <w:fldChar w:fldCharType="separate"/>
          </w:r>
          <w:r>
            <w:rPr>
              <w:noProof/>
            </w:rPr>
            <w:t>(Emery, 2017)</w:t>
          </w:r>
          <w:r>
            <w:fldChar w:fldCharType="end"/>
          </w:r>
        </w:sdtContent>
      </w:sdt>
      <w:r>
        <w:t xml:space="preserve"> – zero-day regulation</w:t>
      </w:r>
    </w:p>
    <w:p w14:paraId="16BD2FF3" w14:textId="6016F58B" w:rsidR="00026AC7" w:rsidRDefault="00026AC7" w:rsidP="00C30B91">
      <w:pPr>
        <w:pStyle w:val="Heading2"/>
      </w:pPr>
      <w:r>
        <w:t>Threats</w:t>
      </w:r>
    </w:p>
    <w:p w14:paraId="576FACA0" w14:textId="06F74C8A" w:rsidR="00C27FC3" w:rsidRDefault="00C27FC3" w:rsidP="003A5B56">
      <w:pPr>
        <w:pStyle w:val="ListParagraph"/>
        <w:numPr>
          <w:ilvl w:val="0"/>
          <w:numId w:val="1"/>
        </w:numPr>
      </w:pPr>
      <w:r>
        <w:t>Transparency, Compliance/Regulation</w:t>
      </w:r>
    </w:p>
    <w:p w14:paraId="583FF404" w14:textId="0A55480F" w:rsidR="00C27FC3" w:rsidRDefault="00D60ED3" w:rsidP="003A5B56">
      <w:pPr>
        <w:pStyle w:val="ListParagraph"/>
        <w:numPr>
          <w:ilvl w:val="1"/>
          <w:numId w:val="1"/>
        </w:numPr>
      </w:pPr>
      <w:sdt>
        <w:sdtPr>
          <w:id w:val="1543638423"/>
          <w:citation/>
        </w:sdtPr>
        <w:sdtContent>
          <w:r>
            <w:fldChar w:fldCharType="begin"/>
          </w:r>
          <w:r>
            <w:instrText xml:space="preserve"> CITATION Eri18 \l 1033 </w:instrText>
          </w:r>
          <w:r>
            <w:fldChar w:fldCharType="separate"/>
          </w:r>
          <w:r>
            <w:rPr>
              <w:noProof/>
            </w:rPr>
            <w:t>(Erickson &amp; Neilson, 2018)</w:t>
          </w:r>
          <w:r>
            <w:fldChar w:fldCharType="end"/>
          </w:r>
        </w:sdtContent>
      </w:sdt>
      <w:r w:rsidR="00C27FC3">
        <w:t xml:space="preserve">Erickson </w:t>
      </w:r>
      <w:proofErr w:type="spellStart"/>
      <w:r w:rsidR="00C27FC3">
        <w:t>CyberSecManufacturing</w:t>
      </w:r>
      <w:proofErr w:type="spellEnd"/>
    </w:p>
    <w:p w14:paraId="60AD81D6" w14:textId="600E8A94" w:rsidR="00026AC7" w:rsidRDefault="00026AC7" w:rsidP="003A5B56">
      <w:pPr>
        <w:pStyle w:val="ListParagraph"/>
        <w:numPr>
          <w:ilvl w:val="0"/>
          <w:numId w:val="1"/>
        </w:numPr>
      </w:pPr>
      <w:r>
        <w:t>State-sponsored actors</w:t>
      </w:r>
    </w:p>
    <w:p w14:paraId="28E7343F" w14:textId="10C16BBD" w:rsidR="00C27FC3" w:rsidRDefault="00D60ED3" w:rsidP="003A5B56">
      <w:pPr>
        <w:pStyle w:val="ListParagraph"/>
        <w:numPr>
          <w:ilvl w:val="1"/>
          <w:numId w:val="1"/>
        </w:numPr>
      </w:pPr>
      <w:sdt>
        <w:sdtPr>
          <w:id w:val="-1899271478"/>
          <w:citation/>
        </w:sdtPr>
        <w:sdtContent>
          <w:r>
            <w:fldChar w:fldCharType="begin"/>
          </w:r>
          <w:r>
            <w:instrText xml:space="preserve"> CITATION Kov181 \l 1033 </w:instrText>
          </w:r>
          <w:r>
            <w:fldChar w:fldCharType="separate"/>
          </w:r>
          <w:r>
            <w:rPr>
              <w:noProof/>
            </w:rPr>
            <w:t>(Kovacs.2, 2018)</w:t>
          </w:r>
          <w:r>
            <w:fldChar w:fldCharType="end"/>
          </w:r>
        </w:sdtContent>
      </w:sdt>
      <w:r w:rsidR="00C27FC3">
        <w:t>Culture (public v private) – Kovac Cornerstone</w:t>
      </w:r>
    </w:p>
    <w:p w14:paraId="65095B5B" w14:textId="03E5871C" w:rsidR="00A57C11" w:rsidRDefault="00D60ED3" w:rsidP="003A5B56">
      <w:pPr>
        <w:pStyle w:val="ListParagraph"/>
        <w:numPr>
          <w:ilvl w:val="1"/>
          <w:numId w:val="1"/>
        </w:numPr>
      </w:pPr>
      <w:sdt>
        <w:sdtPr>
          <w:id w:val="356402977"/>
          <w:citation/>
        </w:sdtPr>
        <w:sdtContent>
          <w:r>
            <w:fldChar w:fldCharType="begin"/>
          </w:r>
          <w:r>
            <w:instrText xml:space="preserve"> CITATION Ink15 \l 1033 </w:instrText>
          </w:r>
          <w:r>
            <w:fldChar w:fldCharType="separate"/>
          </w:r>
          <w:r>
            <w:rPr>
              <w:noProof/>
            </w:rPr>
            <w:t>(Inkster, 2015)</w:t>
          </w:r>
          <w:r>
            <w:fldChar w:fldCharType="end"/>
          </w:r>
        </w:sdtContent>
      </w:sdt>
      <w:r w:rsidR="00A57C11">
        <w:t xml:space="preserve">Inkster - </w:t>
      </w:r>
      <w:proofErr w:type="spellStart"/>
      <w:r w:rsidR="00A57C11">
        <w:t>ChinaCyberPower</w:t>
      </w:r>
      <w:proofErr w:type="spellEnd"/>
    </w:p>
    <w:p w14:paraId="18439636" w14:textId="359725A9" w:rsidR="00026AC7" w:rsidRDefault="00026AC7" w:rsidP="003A5B56">
      <w:pPr>
        <w:pStyle w:val="ListParagraph"/>
        <w:numPr>
          <w:ilvl w:val="0"/>
          <w:numId w:val="1"/>
        </w:numPr>
      </w:pPr>
      <w:r>
        <w:t>Zero-day attacks</w:t>
      </w:r>
    </w:p>
    <w:p w14:paraId="349A9D7D" w14:textId="0F9E96C1" w:rsidR="00C27FC3" w:rsidRDefault="00D60ED3" w:rsidP="003A5B56">
      <w:pPr>
        <w:pStyle w:val="ListParagraph"/>
        <w:numPr>
          <w:ilvl w:val="1"/>
          <w:numId w:val="1"/>
        </w:numPr>
      </w:pPr>
      <w:sdt>
        <w:sdtPr>
          <w:id w:val="-1335600462"/>
          <w:citation/>
        </w:sdtPr>
        <w:sdtContent>
          <w:r>
            <w:fldChar w:fldCharType="begin"/>
          </w:r>
          <w:r>
            <w:instrText xml:space="preserve"> CITATION Eme17 \l 1033 </w:instrText>
          </w:r>
          <w:r>
            <w:fldChar w:fldCharType="separate"/>
          </w:r>
          <w:r>
            <w:rPr>
              <w:noProof/>
            </w:rPr>
            <w:t>(Emery, 2017)</w:t>
          </w:r>
          <w:r>
            <w:fldChar w:fldCharType="end"/>
          </w:r>
        </w:sdtContent>
      </w:sdt>
      <w:r w:rsidR="00C27FC3">
        <w:t>Emery zero</w:t>
      </w:r>
      <w:r w:rsidR="00A57C11">
        <w:t>-</w:t>
      </w:r>
      <w:r w:rsidR="00C27FC3">
        <w:t>day</w:t>
      </w:r>
    </w:p>
    <w:p w14:paraId="35670917" w14:textId="43B9008F" w:rsidR="00C27FC3" w:rsidRDefault="00C27FC3" w:rsidP="003A5B56">
      <w:pPr>
        <w:pStyle w:val="ListParagraph"/>
        <w:numPr>
          <w:ilvl w:val="0"/>
          <w:numId w:val="1"/>
        </w:numPr>
      </w:pPr>
      <w:r>
        <w:t>Erickson – Manufacturing Ra</w:t>
      </w:r>
      <w:r w:rsidR="00A57C11">
        <w:t>nsom</w:t>
      </w:r>
      <w:r>
        <w:t>ware</w:t>
      </w:r>
    </w:p>
    <w:p w14:paraId="795D5CF5" w14:textId="15A75B8D" w:rsidR="00026AC7" w:rsidRDefault="00026AC7" w:rsidP="00C30B91">
      <w:pPr>
        <w:pStyle w:val="Heading1"/>
      </w:pPr>
      <w:r>
        <w:t>Section II: Mitigating Risk</w:t>
      </w:r>
    </w:p>
    <w:p w14:paraId="506FDFE0" w14:textId="3BEEAF39" w:rsidR="00026AC7" w:rsidRDefault="00026AC7" w:rsidP="00C30B91">
      <w:pPr>
        <w:pStyle w:val="Heading2"/>
      </w:pPr>
      <w:r>
        <w:t>People</w:t>
      </w:r>
    </w:p>
    <w:p w14:paraId="7595E4D0" w14:textId="2B575726" w:rsidR="00C27FC3" w:rsidRDefault="00C27FC3" w:rsidP="003A5B56">
      <w:pPr>
        <w:pStyle w:val="ListParagraph"/>
        <w:numPr>
          <w:ilvl w:val="1"/>
          <w:numId w:val="1"/>
        </w:numPr>
      </w:pPr>
      <w:r>
        <w:t>Erickson – ownership, top-down mandates</w:t>
      </w:r>
    </w:p>
    <w:p w14:paraId="6D91EC5E" w14:textId="302971ED" w:rsidR="00026AC7" w:rsidRDefault="00026AC7" w:rsidP="00C30B91">
      <w:pPr>
        <w:pStyle w:val="Heading2"/>
      </w:pPr>
      <w:r>
        <w:t>Process</w:t>
      </w:r>
    </w:p>
    <w:p w14:paraId="41045608" w14:textId="50B7278B" w:rsidR="00C27FC3" w:rsidRDefault="00C27FC3" w:rsidP="003A5B56">
      <w:pPr>
        <w:pStyle w:val="ListParagraph"/>
        <w:numPr>
          <w:ilvl w:val="1"/>
          <w:numId w:val="1"/>
        </w:numPr>
      </w:pPr>
      <w:proofErr w:type="spellStart"/>
      <w:r>
        <w:t>Busdicker</w:t>
      </w:r>
      <w:proofErr w:type="spellEnd"/>
      <w:r>
        <w:t>;</w:t>
      </w:r>
      <w:r w:rsidR="00A57C11">
        <w:t xml:space="preserve"> </w:t>
      </w:r>
      <w:r>
        <w:t>Upendra Medical Devices</w:t>
      </w:r>
    </w:p>
    <w:p w14:paraId="2F7ACCBD" w14:textId="55135281" w:rsidR="00026AC7" w:rsidRDefault="00026AC7" w:rsidP="00C30B91">
      <w:pPr>
        <w:pStyle w:val="Heading2"/>
      </w:pPr>
      <w:r>
        <w:t>Products</w:t>
      </w:r>
    </w:p>
    <w:p w14:paraId="182B9B22" w14:textId="354FCF0C" w:rsidR="00D60ED3" w:rsidRDefault="00D60ED3" w:rsidP="003A5B56">
      <w:pPr>
        <w:pStyle w:val="ListParagraph"/>
        <w:numPr>
          <w:ilvl w:val="1"/>
          <w:numId w:val="1"/>
        </w:numPr>
      </w:pPr>
      <w:sdt>
        <w:sdtPr>
          <w:id w:val="1436029124"/>
          <w:citation/>
        </w:sdtPr>
        <w:sdtContent>
          <w:r>
            <w:fldChar w:fldCharType="begin"/>
          </w:r>
          <w:r>
            <w:instrText xml:space="preserve"> CITATION Ban17 \l 1033 </w:instrText>
          </w:r>
          <w:r>
            <w:fldChar w:fldCharType="separate"/>
          </w:r>
          <w:r>
            <w:rPr>
              <w:noProof/>
            </w:rPr>
            <w:t>(Banks, 2017)</w:t>
          </w:r>
          <w:r>
            <w:fldChar w:fldCharType="end"/>
          </w:r>
        </w:sdtContent>
      </w:sdt>
      <w:r>
        <w:t xml:space="preserve"> be more like </w:t>
      </w:r>
      <w:proofErr w:type="spellStart"/>
      <w:r>
        <w:t>isis</w:t>
      </w:r>
      <w:proofErr w:type="spellEnd"/>
      <w:r>
        <w:t xml:space="preserve"> and encrypt</w:t>
      </w:r>
    </w:p>
    <w:p w14:paraId="615102AB" w14:textId="18BDA747" w:rsidR="00C27FC3" w:rsidRDefault="00D60ED3" w:rsidP="003A5B56">
      <w:pPr>
        <w:pStyle w:val="ListParagraph"/>
        <w:numPr>
          <w:ilvl w:val="1"/>
          <w:numId w:val="1"/>
        </w:numPr>
      </w:pPr>
      <w:sdt>
        <w:sdtPr>
          <w:id w:val="1836877432"/>
          <w:citation/>
        </w:sdtPr>
        <w:sdtContent>
          <w:r>
            <w:fldChar w:fldCharType="begin"/>
          </w:r>
          <w:r>
            <w:instrText xml:space="preserve"> CITATION Cho17 \l 1033 </w:instrText>
          </w:r>
          <w:r>
            <w:fldChar w:fldCharType="separate"/>
          </w:r>
          <w:r>
            <w:rPr>
              <w:noProof/>
            </w:rPr>
            <w:t>(Choi, 2017)</w:t>
          </w:r>
          <w:r>
            <w:fldChar w:fldCharType="end"/>
          </w:r>
        </w:sdtContent>
      </w:sdt>
      <w:r w:rsidR="00C27FC3">
        <w:t xml:space="preserve">Choi </w:t>
      </w:r>
      <w:proofErr w:type="spellStart"/>
      <w:r w:rsidR="00C27FC3">
        <w:t>QuantumNetworking</w:t>
      </w:r>
      <w:proofErr w:type="spellEnd"/>
    </w:p>
    <w:p w14:paraId="77E6004D" w14:textId="3328A89A" w:rsidR="00026AC7" w:rsidRDefault="00026AC7" w:rsidP="00C30B91">
      <w:pPr>
        <w:pStyle w:val="Heading1"/>
      </w:pPr>
      <w:r>
        <w:t>Section III: Budgeting Resources</w:t>
      </w:r>
    </w:p>
    <w:p w14:paraId="39D8F509" w14:textId="721D74DB" w:rsidR="00026AC7" w:rsidRDefault="00026AC7" w:rsidP="00C30B91">
      <w:pPr>
        <w:pStyle w:val="Heading2"/>
      </w:pPr>
      <w:r>
        <w:t>What does it take/cost</w:t>
      </w:r>
    </w:p>
    <w:p w14:paraId="5DEE362E" w14:textId="65869FAB" w:rsidR="00C27FC3" w:rsidRDefault="00D60ED3" w:rsidP="003A5B56">
      <w:pPr>
        <w:pStyle w:val="ListParagraph"/>
        <w:numPr>
          <w:ilvl w:val="1"/>
          <w:numId w:val="1"/>
        </w:numPr>
      </w:pPr>
      <w:sdt>
        <w:sdtPr>
          <w:id w:val="1837501964"/>
          <w:citation/>
        </w:sdtPr>
        <w:sdtContent>
          <w:r>
            <w:fldChar w:fldCharType="begin"/>
          </w:r>
          <w:r>
            <w:instrText xml:space="preserve"> CITATION Fis17 \l 1033 </w:instrText>
          </w:r>
          <w:r>
            <w:fldChar w:fldCharType="separate"/>
          </w:r>
          <w:r>
            <w:rPr>
              <w:noProof/>
            </w:rPr>
            <w:t>(Fischerkeller &amp; Harknett, 217)</w:t>
          </w:r>
          <w:r>
            <w:fldChar w:fldCharType="end"/>
          </w:r>
        </w:sdtContent>
      </w:sdt>
      <w:proofErr w:type="spellStart"/>
      <w:r w:rsidR="00C27FC3">
        <w:t>Fischerkeller</w:t>
      </w:r>
      <w:proofErr w:type="spellEnd"/>
      <w:r w:rsidR="00C27FC3">
        <w:t xml:space="preserve"> – Deterrence</w:t>
      </w:r>
    </w:p>
    <w:p w14:paraId="6F18F35C" w14:textId="3F3E3F45" w:rsidR="00C27FC3" w:rsidRDefault="00D60ED3" w:rsidP="003A5B56">
      <w:pPr>
        <w:pStyle w:val="ListParagraph"/>
        <w:numPr>
          <w:ilvl w:val="1"/>
          <w:numId w:val="1"/>
        </w:numPr>
      </w:pPr>
      <w:sdt>
        <w:sdtPr>
          <w:id w:val="328494430"/>
          <w:citation/>
        </w:sdtPr>
        <w:sdtContent>
          <w:r>
            <w:fldChar w:fldCharType="begin"/>
          </w:r>
          <w:r>
            <w:instrText xml:space="preserve"> CITATION The17 \l 1033 </w:instrText>
          </w:r>
          <w:r>
            <w:fldChar w:fldCharType="separate"/>
          </w:r>
          <w:r>
            <w:rPr>
              <w:noProof/>
            </w:rPr>
            <w:t>(Busdicker &amp; Upendra, 2017)</w:t>
          </w:r>
          <w:r>
            <w:fldChar w:fldCharType="end"/>
          </w:r>
        </w:sdtContent>
      </w:sdt>
      <w:proofErr w:type="spellStart"/>
      <w:r w:rsidR="00C27FC3">
        <w:t>Busdicker</w:t>
      </w:r>
      <w:proofErr w:type="spellEnd"/>
      <w:r w:rsidR="00C27FC3">
        <w:t xml:space="preserve"> – awareness training</w:t>
      </w:r>
    </w:p>
    <w:p w14:paraId="71C18AB2" w14:textId="704B645A" w:rsidR="00A57C11" w:rsidRDefault="00D60ED3" w:rsidP="003A5B56">
      <w:pPr>
        <w:pStyle w:val="ListParagraph"/>
        <w:numPr>
          <w:ilvl w:val="1"/>
          <w:numId w:val="1"/>
        </w:numPr>
      </w:pPr>
      <w:sdt>
        <w:sdtPr>
          <w:id w:val="-745491952"/>
          <w:citation/>
        </w:sdtPr>
        <w:sdtContent>
          <w:r>
            <w:fldChar w:fldCharType="begin"/>
          </w:r>
          <w:r>
            <w:instrText xml:space="preserve"> CITATION Emi18 \l 1033 </w:instrText>
          </w:r>
          <w:r>
            <w:fldChar w:fldCharType="separate"/>
          </w:r>
          <w:r>
            <w:rPr>
              <w:noProof/>
            </w:rPr>
            <w:t>(Emilio, 2018)</w:t>
          </w:r>
          <w:r>
            <w:fldChar w:fldCharType="end"/>
          </w:r>
        </w:sdtContent>
      </w:sdt>
      <w:r w:rsidR="00A57C11">
        <w:t xml:space="preserve">Emilio – </w:t>
      </w:r>
      <w:proofErr w:type="spellStart"/>
      <w:r w:rsidR="00A57C11">
        <w:t>ChinaWarefare</w:t>
      </w:r>
      <w:proofErr w:type="spellEnd"/>
      <w:r w:rsidR="00A57C11">
        <w:t xml:space="preserve"> meet on battlefronts</w:t>
      </w:r>
    </w:p>
    <w:p w14:paraId="63E24EBC" w14:textId="580E7FD6" w:rsidR="00026AC7" w:rsidRPr="00026AC7" w:rsidRDefault="00026AC7" w:rsidP="00C30B91">
      <w:pPr>
        <w:pStyle w:val="Heading1"/>
      </w:pPr>
      <w:r>
        <w:t>Conclusion</w:t>
      </w:r>
    </w:p>
    <w:sectPr w:rsidR="00026AC7" w:rsidRPr="00026AC7"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EC262" w14:textId="77777777" w:rsidR="00612767" w:rsidRDefault="00612767" w:rsidP="0082223F">
      <w:pPr>
        <w:spacing w:line="240" w:lineRule="auto"/>
      </w:pPr>
      <w:r>
        <w:separator/>
      </w:r>
    </w:p>
  </w:endnote>
  <w:endnote w:type="continuationSeparator" w:id="0">
    <w:p w14:paraId="23C29B7E" w14:textId="77777777" w:rsidR="00612767" w:rsidRDefault="0061276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ACDEB" w14:textId="77777777" w:rsidR="00612767" w:rsidRDefault="00612767" w:rsidP="0082223F">
      <w:pPr>
        <w:spacing w:line="240" w:lineRule="auto"/>
      </w:pPr>
      <w:r>
        <w:separator/>
      </w:r>
    </w:p>
  </w:footnote>
  <w:footnote w:type="continuationSeparator" w:id="0">
    <w:p w14:paraId="26252019" w14:textId="77777777" w:rsidR="00612767" w:rsidRDefault="0061276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6AC7"/>
    <w:rsid w:val="00032E83"/>
    <w:rsid w:val="00036708"/>
    <w:rsid w:val="00036F58"/>
    <w:rsid w:val="00044A93"/>
    <w:rsid w:val="00170177"/>
    <w:rsid w:val="00183597"/>
    <w:rsid w:val="0023632B"/>
    <w:rsid w:val="002806B7"/>
    <w:rsid w:val="00351795"/>
    <w:rsid w:val="0035266A"/>
    <w:rsid w:val="003A5B56"/>
    <w:rsid w:val="003E650E"/>
    <w:rsid w:val="003F4714"/>
    <w:rsid w:val="00401D65"/>
    <w:rsid w:val="004223E8"/>
    <w:rsid w:val="004A784B"/>
    <w:rsid w:val="005070B5"/>
    <w:rsid w:val="005B7079"/>
    <w:rsid w:val="005E2B13"/>
    <w:rsid w:val="00612767"/>
    <w:rsid w:val="006D793E"/>
    <w:rsid w:val="0073677D"/>
    <w:rsid w:val="0082223F"/>
    <w:rsid w:val="008B5129"/>
    <w:rsid w:val="009622E7"/>
    <w:rsid w:val="009A757D"/>
    <w:rsid w:val="009E3994"/>
    <w:rsid w:val="00A57C11"/>
    <w:rsid w:val="00C27FC3"/>
    <w:rsid w:val="00C30B91"/>
    <w:rsid w:val="00C73692"/>
    <w:rsid w:val="00C93BB7"/>
    <w:rsid w:val="00CB25E9"/>
    <w:rsid w:val="00D60ED3"/>
    <w:rsid w:val="00D75C7B"/>
    <w:rsid w:val="00D85C7B"/>
    <w:rsid w:val="00DE2224"/>
    <w:rsid w:val="00DE5203"/>
    <w:rsid w:val="00ED3713"/>
    <w:rsid w:val="00F8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Mos19</b:Tag>
    <b:SourceType>ConferenceProceedings</b:SourceType>
    <b:Guid>{F218FBE1-F3F0-473C-A1E7-5F84843BFD99}</b:Guid>
    <b:Title>Blackhat USA Opening</b:Title>
    <b:Year>2019</b:Year>
    <b:Author>
      <b:Author>
        <b:NameList>
          <b:Person>
            <b:Last>Moss</b:Last>
            <b:First>J</b:First>
          </b:Person>
        </b:NameList>
      </b:Author>
    </b:Author>
    <b:RefOrder>7</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3</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13</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5</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6</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8</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9</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10</b:RefOrder>
  </b:Source>
  <b:Source>
    <b:Tag>Emi18</b:Tag>
    <b:SourceType>JournalArticle</b:SourceType>
    <b:Guid>{966D91A7-D006-4767-8C88-0246482900A1}</b:Guid>
    <b:Author>
      <b:Author>
        <b:NameList>
          <b:Person>
            <b:Last>Emilio</b:Last>
            <b:First>I</b:First>
          </b:Person>
        </b:NameList>
      </b:Author>
    </b:Author>
    <b:Title>China's Three Warfares Strategy Mitigates Fallout From Cyber Espionage Activities</b:Title>
    <b:JournalName>Industrial Management. Jul/Aug, Vol. 60 Issue 4</b:JournalName>
    <b:Year>2018</b:Year>
    <b:Pages>24-27</b:Pages>
    <b:RefOrder>11</b:RefOrder>
  </b:Source>
  <b:Source>
    <b:Tag>Eme17</b:Tag>
    <b:SourceType>JournalArticle</b:SourceType>
    <b:Guid>{74F5F86A-2EDB-4824-AD73-C8861BF85E1F}</b:Guid>
    <b:Author>
      <b:Author>
        <b:NameList>
          <b:Person>
            <b:Last>Emery</b:Last>
            <b:First>A</b:First>
          </b:Person>
        </b:NameList>
      </b:Author>
    </b:Author>
    <b:Title>Zero-Day Responsibility: the Benefits of a Safe Harbor for Cybersecurity Research</b:Title>
    <b:JournalName>Jurimetrics: The Journal of Law, Science &amp; Technology. Summer, Vol. 57 Issue 4</b:JournalName>
    <b:Year>2017</b:Year>
    <b:Pages>483-503</b:Pages>
    <b:RefOrder>12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b:RefOrder>
  </b:Source>
  <b:Source>
    <b:Tag>Cho17</b:Tag>
    <b:SourceType>JournalArticle</b:SourceType>
    <b:Guid>{029C22EA-CA13-4F96-AC6F-4DFC7F31285F}</b:Guid>
    <b:Author>
      <b:Author>
        <b:NameList>
          <b:Person>
            <b:Last>Choi</b:Last>
          </b:Person>
        </b:NameList>
      </b:Author>
    </b:Author>
    <b:Title>Unhackable quantum networks take to space</b:Title>
    <b:JournalName>IEEE Spectrum. Volume: 54 , Issue: 8 , August</b:JournalName>
    <b:Year>2017</b:Year>
    <b:Pages>12-13</b:Pages>
    <b:RefOrder>14</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2</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1</b:RefOrder>
  </b:Source>
</b:Sources>
</file>

<file path=customXml/itemProps1.xml><?xml version="1.0" encoding="utf-8"?>
<ds:datastoreItem xmlns:ds="http://schemas.openxmlformats.org/officeDocument/2006/customXml" ds:itemID="{8ECDD762-4B03-415A-9DB4-326D688F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5</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2020-04-19T17:40:00Z</dcterms:modified>
</cp:coreProperties>
</file>