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E4291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A4A66E6" w:rsidR="0082223F" w:rsidRDefault="0082223F" w:rsidP="0082223F">
      <w:pPr>
        <w:pStyle w:val="Title"/>
      </w:pPr>
      <w:r>
        <w:t xml:space="preserve">Section </w:t>
      </w:r>
      <w:r w:rsidR="004F387C">
        <w:t>2</w:t>
      </w:r>
      <w:r>
        <w:t xml:space="preserve">: Week </w:t>
      </w:r>
      <w:r w:rsidR="004F387C">
        <w:t>5</w:t>
      </w:r>
      <w:r>
        <w:t xml:space="preserve">: </w:t>
      </w:r>
      <w:r w:rsidR="004F387C">
        <w:t>Appraise Risk Analysis, Frameworks, and Models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55FDD784" w:rsidR="00CB25E9" w:rsidRDefault="004F387C" w:rsidP="004F387C">
      <w:pPr>
        <w:jc w:val="center"/>
      </w:pPr>
      <w:r>
        <w:t>May 3</w:t>
      </w:r>
      <w:r w:rsidRPr="004F387C">
        <w:rPr>
          <w:vertAlign w:val="superscript"/>
        </w:rPr>
        <w:t>rd</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sdt>
      <w:sdtPr>
        <w:id w:val="580104362"/>
        <w:docPartObj>
          <w:docPartGallery w:val="Table of Contents"/>
          <w:docPartUnique/>
        </w:docPartObj>
      </w:sdtPr>
      <w:sdtEndPr>
        <w:rPr>
          <w:rFonts w:ascii="Times New Roman" w:eastAsiaTheme="minorHAnsi" w:hAnsi="Times New Roman" w:cs="Times New Roman"/>
          <w:b/>
          <w:bCs/>
          <w:noProof/>
          <w:color w:val="auto"/>
          <w:sz w:val="24"/>
          <w:szCs w:val="24"/>
        </w:rPr>
      </w:sdtEndPr>
      <w:sdtContent>
        <w:p w14:paraId="2ECE2FDD" w14:textId="445FC884" w:rsidR="00F17932" w:rsidRDefault="00F17932" w:rsidP="00F17932">
          <w:pPr>
            <w:pStyle w:val="TOCHeading"/>
            <w:jc w:val="center"/>
            <w:rPr>
              <w:rStyle w:val="Heading1Char"/>
              <w:color w:val="auto"/>
            </w:rPr>
          </w:pPr>
          <w:r w:rsidRPr="00F17932">
            <w:rPr>
              <w:rStyle w:val="Heading1Char"/>
              <w:color w:val="auto"/>
            </w:rPr>
            <w:t>Table of Contents</w:t>
          </w:r>
        </w:p>
        <w:p w14:paraId="299C5C00" w14:textId="77777777" w:rsidR="00F17932" w:rsidRPr="00F17932" w:rsidRDefault="00F17932" w:rsidP="00F17932"/>
        <w:p w14:paraId="472BA09E" w14:textId="2E53D509" w:rsidR="00F17932" w:rsidRDefault="00F17932">
          <w:pPr>
            <w:pStyle w:val="TOC1"/>
            <w:tabs>
              <w:tab w:val="right" w:leader="dot" w:pos="9350"/>
            </w:tabs>
            <w:rPr>
              <w:noProof/>
            </w:rPr>
          </w:pPr>
          <w:r>
            <w:fldChar w:fldCharType="begin"/>
          </w:r>
          <w:r>
            <w:instrText xml:space="preserve"> TOC \o "1-3" \h \z \u </w:instrText>
          </w:r>
          <w:r>
            <w:fldChar w:fldCharType="separate"/>
          </w:r>
          <w:hyperlink w:anchor="_Toc39424886" w:history="1">
            <w:r w:rsidRPr="00C50CAB">
              <w:rPr>
                <w:rStyle w:val="Hyperlink"/>
                <w:noProof/>
              </w:rPr>
              <w:t>Appraise Risk Analysis, Frameworks, and Models</w:t>
            </w:r>
            <w:r>
              <w:rPr>
                <w:noProof/>
                <w:webHidden/>
              </w:rPr>
              <w:tab/>
            </w:r>
            <w:r>
              <w:rPr>
                <w:noProof/>
                <w:webHidden/>
              </w:rPr>
              <w:fldChar w:fldCharType="begin"/>
            </w:r>
            <w:r>
              <w:rPr>
                <w:noProof/>
                <w:webHidden/>
              </w:rPr>
              <w:instrText xml:space="preserve"> PAGEREF _Toc39424886 \h </w:instrText>
            </w:r>
            <w:r>
              <w:rPr>
                <w:noProof/>
                <w:webHidden/>
              </w:rPr>
            </w:r>
            <w:r>
              <w:rPr>
                <w:noProof/>
                <w:webHidden/>
              </w:rPr>
              <w:fldChar w:fldCharType="separate"/>
            </w:r>
            <w:r w:rsidR="00EE6A41">
              <w:rPr>
                <w:noProof/>
                <w:webHidden/>
              </w:rPr>
              <w:t>2</w:t>
            </w:r>
            <w:r>
              <w:rPr>
                <w:noProof/>
                <w:webHidden/>
              </w:rPr>
              <w:fldChar w:fldCharType="end"/>
            </w:r>
          </w:hyperlink>
        </w:p>
        <w:p w14:paraId="6FBD99AC" w14:textId="39B689A8" w:rsidR="00F17932" w:rsidRDefault="00F17932">
          <w:pPr>
            <w:pStyle w:val="TOC1"/>
            <w:tabs>
              <w:tab w:val="right" w:leader="dot" w:pos="9350"/>
            </w:tabs>
            <w:rPr>
              <w:noProof/>
            </w:rPr>
          </w:pPr>
          <w:hyperlink w:anchor="_Toc39424887" w:history="1">
            <w:r w:rsidRPr="00C50CAB">
              <w:rPr>
                <w:rStyle w:val="Hyperlink"/>
                <w:noProof/>
              </w:rPr>
              <w:t>What influences risks to the Hi-Tech</w:t>
            </w:r>
            <w:r>
              <w:rPr>
                <w:noProof/>
                <w:webHidden/>
              </w:rPr>
              <w:tab/>
            </w:r>
            <w:r>
              <w:rPr>
                <w:noProof/>
                <w:webHidden/>
              </w:rPr>
              <w:fldChar w:fldCharType="begin"/>
            </w:r>
            <w:r>
              <w:rPr>
                <w:noProof/>
                <w:webHidden/>
              </w:rPr>
              <w:instrText xml:space="preserve"> PAGEREF _Toc39424887 \h </w:instrText>
            </w:r>
            <w:r>
              <w:rPr>
                <w:noProof/>
                <w:webHidden/>
              </w:rPr>
            </w:r>
            <w:r>
              <w:rPr>
                <w:noProof/>
                <w:webHidden/>
              </w:rPr>
              <w:fldChar w:fldCharType="separate"/>
            </w:r>
            <w:r w:rsidR="00EE6A41">
              <w:rPr>
                <w:noProof/>
                <w:webHidden/>
              </w:rPr>
              <w:t>3</w:t>
            </w:r>
            <w:r>
              <w:rPr>
                <w:noProof/>
                <w:webHidden/>
              </w:rPr>
              <w:fldChar w:fldCharType="end"/>
            </w:r>
          </w:hyperlink>
        </w:p>
        <w:p w14:paraId="57BD583D" w14:textId="646D9D4E" w:rsidR="00F17932" w:rsidRDefault="00F17932">
          <w:pPr>
            <w:pStyle w:val="TOC2"/>
            <w:tabs>
              <w:tab w:val="right" w:leader="dot" w:pos="9350"/>
            </w:tabs>
            <w:rPr>
              <w:noProof/>
            </w:rPr>
          </w:pPr>
          <w:hyperlink w:anchor="_Toc39424888" w:history="1">
            <w:r w:rsidRPr="00C50CAB">
              <w:rPr>
                <w:rStyle w:val="Hyperlink"/>
                <w:noProof/>
              </w:rPr>
              <w:t>External Influences</w:t>
            </w:r>
            <w:r>
              <w:rPr>
                <w:noProof/>
                <w:webHidden/>
              </w:rPr>
              <w:tab/>
            </w:r>
            <w:r>
              <w:rPr>
                <w:noProof/>
                <w:webHidden/>
              </w:rPr>
              <w:fldChar w:fldCharType="begin"/>
            </w:r>
            <w:r>
              <w:rPr>
                <w:noProof/>
                <w:webHidden/>
              </w:rPr>
              <w:instrText xml:space="preserve"> PAGEREF _Toc39424888 \h </w:instrText>
            </w:r>
            <w:r>
              <w:rPr>
                <w:noProof/>
                <w:webHidden/>
              </w:rPr>
            </w:r>
            <w:r>
              <w:rPr>
                <w:noProof/>
                <w:webHidden/>
              </w:rPr>
              <w:fldChar w:fldCharType="separate"/>
            </w:r>
            <w:r w:rsidR="00EE6A41">
              <w:rPr>
                <w:noProof/>
                <w:webHidden/>
              </w:rPr>
              <w:t>3</w:t>
            </w:r>
            <w:r>
              <w:rPr>
                <w:noProof/>
                <w:webHidden/>
              </w:rPr>
              <w:fldChar w:fldCharType="end"/>
            </w:r>
          </w:hyperlink>
        </w:p>
        <w:p w14:paraId="15EF06A3" w14:textId="06B9FA3D" w:rsidR="00F17932" w:rsidRDefault="00F17932">
          <w:pPr>
            <w:pStyle w:val="TOC2"/>
            <w:tabs>
              <w:tab w:val="right" w:leader="dot" w:pos="9350"/>
            </w:tabs>
            <w:rPr>
              <w:noProof/>
            </w:rPr>
          </w:pPr>
          <w:hyperlink w:anchor="_Toc39424889" w:history="1">
            <w:r w:rsidRPr="00C50CAB">
              <w:rPr>
                <w:rStyle w:val="Hyperlink"/>
                <w:noProof/>
              </w:rPr>
              <w:t>Internal Influences</w:t>
            </w:r>
            <w:r>
              <w:rPr>
                <w:noProof/>
                <w:webHidden/>
              </w:rPr>
              <w:tab/>
            </w:r>
            <w:r>
              <w:rPr>
                <w:noProof/>
                <w:webHidden/>
              </w:rPr>
              <w:fldChar w:fldCharType="begin"/>
            </w:r>
            <w:r>
              <w:rPr>
                <w:noProof/>
                <w:webHidden/>
              </w:rPr>
              <w:instrText xml:space="preserve"> PAGEREF _Toc39424889 \h </w:instrText>
            </w:r>
            <w:r>
              <w:rPr>
                <w:noProof/>
                <w:webHidden/>
              </w:rPr>
            </w:r>
            <w:r>
              <w:rPr>
                <w:noProof/>
                <w:webHidden/>
              </w:rPr>
              <w:fldChar w:fldCharType="separate"/>
            </w:r>
            <w:r w:rsidR="00EE6A41">
              <w:rPr>
                <w:noProof/>
                <w:webHidden/>
              </w:rPr>
              <w:t>4</w:t>
            </w:r>
            <w:r>
              <w:rPr>
                <w:noProof/>
                <w:webHidden/>
              </w:rPr>
              <w:fldChar w:fldCharType="end"/>
            </w:r>
          </w:hyperlink>
        </w:p>
        <w:p w14:paraId="0DDE52F7" w14:textId="4E7582C7" w:rsidR="00F17932" w:rsidRDefault="00F17932">
          <w:pPr>
            <w:pStyle w:val="TOC1"/>
            <w:tabs>
              <w:tab w:val="right" w:leader="dot" w:pos="9350"/>
            </w:tabs>
            <w:rPr>
              <w:noProof/>
            </w:rPr>
          </w:pPr>
          <w:hyperlink w:anchor="_Toc39424890" w:history="1">
            <w:r w:rsidRPr="00C50CAB">
              <w:rPr>
                <w:rStyle w:val="Hyperlink"/>
                <w:noProof/>
              </w:rPr>
              <w:t>How to approach these risks</w:t>
            </w:r>
            <w:r>
              <w:rPr>
                <w:noProof/>
                <w:webHidden/>
              </w:rPr>
              <w:tab/>
            </w:r>
            <w:r>
              <w:rPr>
                <w:noProof/>
                <w:webHidden/>
              </w:rPr>
              <w:fldChar w:fldCharType="begin"/>
            </w:r>
            <w:r>
              <w:rPr>
                <w:noProof/>
                <w:webHidden/>
              </w:rPr>
              <w:instrText xml:space="preserve"> PAGEREF _Toc39424890 \h </w:instrText>
            </w:r>
            <w:r>
              <w:rPr>
                <w:noProof/>
                <w:webHidden/>
              </w:rPr>
            </w:r>
            <w:r>
              <w:rPr>
                <w:noProof/>
                <w:webHidden/>
              </w:rPr>
              <w:fldChar w:fldCharType="separate"/>
            </w:r>
            <w:r w:rsidR="00EE6A41">
              <w:rPr>
                <w:noProof/>
                <w:webHidden/>
              </w:rPr>
              <w:t>5</w:t>
            </w:r>
            <w:r>
              <w:rPr>
                <w:noProof/>
                <w:webHidden/>
              </w:rPr>
              <w:fldChar w:fldCharType="end"/>
            </w:r>
          </w:hyperlink>
        </w:p>
        <w:p w14:paraId="2521869A" w14:textId="2B2617B2" w:rsidR="00F17932" w:rsidRDefault="00F17932">
          <w:pPr>
            <w:pStyle w:val="TOC2"/>
            <w:tabs>
              <w:tab w:val="right" w:leader="dot" w:pos="9350"/>
            </w:tabs>
            <w:rPr>
              <w:noProof/>
            </w:rPr>
          </w:pPr>
          <w:hyperlink w:anchor="_Toc39424891" w:history="1">
            <w:r w:rsidRPr="00C50CAB">
              <w:rPr>
                <w:rStyle w:val="Hyperlink"/>
                <w:noProof/>
              </w:rPr>
              <w:t>Standards and Frameworks</w:t>
            </w:r>
            <w:r>
              <w:rPr>
                <w:noProof/>
                <w:webHidden/>
              </w:rPr>
              <w:tab/>
            </w:r>
            <w:r>
              <w:rPr>
                <w:noProof/>
                <w:webHidden/>
              </w:rPr>
              <w:fldChar w:fldCharType="begin"/>
            </w:r>
            <w:r>
              <w:rPr>
                <w:noProof/>
                <w:webHidden/>
              </w:rPr>
              <w:instrText xml:space="preserve"> PAGEREF _Toc39424891 \h </w:instrText>
            </w:r>
            <w:r>
              <w:rPr>
                <w:noProof/>
                <w:webHidden/>
              </w:rPr>
            </w:r>
            <w:r>
              <w:rPr>
                <w:noProof/>
                <w:webHidden/>
              </w:rPr>
              <w:fldChar w:fldCharType="separate"/>
            </w:r>
            <w:r w:rsidR="00EE6A41">
              <w:rPr>
                <w:noProof/>
                <w:webHidden/>
              </w:rPr>
              <w:t>5</w:t>
            </w:r>
            <w:r>
              <w:rPr>
                <w:noProof/>
                <w:webHidden/>
              </w:rPr>
              <w:fldChar w:fldCharType="end"/>
            </w:r>
          </w:hyperlink>
        </w:p>
        <w:p w14:paraId="1235969E" w14:textId="7A469CF4" w:rsidR="00F17932" w:rsidRDefault="00F17932">
          <w:pPr>
            <w:pStyle w:val="TOC2"/>
            <w:tabs>
              <w:tab w:val="right" w:leader="dot" w:pos="9350"/>
            </w:tabs>
            <w:rPr>
              <w:noProof/>
            </w:rPr>
          </w:pPr>
          <w:hyperlink w:anchor="_Toc39424892" w:history="1">
            <w:r w:rsidRPr="00C50CAB">
              <w:rPr>
                <w:rStyle w:val="Hyperlink"/>
                <w:noProof/>
              </w:rPr>
              <w:t>Balancing Guidance vs. Mandate</w:t>
            </w:r>
            <w:r>
              <w:rPr>
                <w:noProof/>
                <w:webHidden/>
              </w:rPr>
              <w:tab/>
            </w:r>
            <w:r>
              <w:rPr>
                <w:noProof/>
                <w:webHidden/>
              </w:rPr>
              <w:fldChar w:fldCharType="begin"/>
            </w:r>
            <w:r>
              <w:rPr>
                <w:noProof/>
                <w:webHidden/>
              </w:rPr>
              <w:instrText xml:space="preserve"> PAGEREF _Toc39424892 \h </w:instrText>
            </w:r>
            <w:r>
              <w:rPr>
                <w:noProof/>
                <w:webHidden/>
              </w:rPr>
            </w:r>
            <w:r>
              <w:rPr>
                <w:noProof/>
                <w:webHidden/>
              </w:rPr>
              <w:fldChar w:fldCharType="separate"/>
            </w:r>
            <w:r w:rsidR="00EE6A41">
              <w:rPr>
                <w:noProof/>
                <w:webHidden/>
              </w:rPr>
              <w:t>6</w:t>
            </w:r>
            <w:r>
              <w:rPr>
                <w:noProof/>
                <w:webHidden/>
              </w:rPr>
              <w:fldChar w:fldCharType="end"/>
            </w:r>
          </w:hyperlink>
        </w:p>
        <w:p w14:paraId="2CDFE89E" w14:textId="5C5F10E8" w:rsidR="00F17932" w:rsidRDefault="00F17932">
          <w:pPr>
            <w:pStyle w:val="TOC2"/>
            <w:tabs>
              <w:tab w:val="right" w:leader="dot" w:pos="9350"/>
            </w:tabs>
            <w:rPr>
              <w:noProof/>
            </w:rPr>
          </w:pPr>
          <w:hyperlink w:anchor="_Toc39424893" w:history="1">
            <w:r w:rsidRPr="00C50CAB">
              <w:rPr>
                <w:rStyle w:val="Hyperlink"/>
                <w:noProof/>
              </w:rPr>
              <w:t>Considering Framework Influencers</w:t>
            </w:r>
            <w:r>
              <w:rPr>
                <w:noProof/>
                <w:webHidden/>
              </w:rPr>
              <w:tab/>
            </w:r>
            <w:r>
              <w:rPr>
                <w:noProof/>
                <w:webHidden/>
              </w:rPr>
              <w:fldChar w:fldCharType="begin"/>
            </w:r>
            <w:r>
              <w:rPr>
                <w:noProof/>
                <w:webHidden/>
              </w:rPr>
              <w:instrText xml:space="preserve"> PAGEREF _Toc39424893 \h </w:instrText>
            </w:r>
            <w:r>
              <w:rPr>
                <w:noProof/>
                <w:webHidden/>
              </w:rPr>
            </w:r>
            <w:r>
              <w:rPr>
                <w:noProof/>
                <w:webHidden/>
              </w:rPr>
              <w:fldChar w:fldCharType="separate"/>
            </w:r>
            <w:r w:rsidR="00EE6A41">
              <w:rPr>
                <w:noProof/>
                <w:webHidden/>
              </w:rPr>
              <w:t>6</w:t>
            </w:r>
            <w:r>
              <w:rPr>
                <w:noProof/>
                <w:webHidden/>
              </w:rPr>
              <w:fldChar w:fldCharType="end"/>
            </w:r>
          </w:hyperlink>
        </w:p>
        <w:p w14:paraId="24EBB83D" w14:textId="34538C45" w:rsidR="00F17932" w:rsidRDefault="00F17932">
          <w:pPr>
            <w:pStyle w:val="TOC2"/>
            <w:tabs>
              <w:tab w:val="right" w:leader="dot" w:pos="9350"/>
            </w:tabs>
            <w:rPr>
              <w:noProof/>
            </w:rPr>
          </w:pPr>
          <w:hyperlink w:anchor="_Toc39424894" w:history="1">
            <w:r w:rsidRPr="00C50CAB">
              <w:rPr>
                <w:rStyle w:val="Hyperlink"/>
                <w:noProof/>
              </w:rPr>
              <w:t>Appropriate laws</w:t>
            </w:r>
            <w:r>
              <w:rPr>
                <w:noProof/>
                <w:webHidden/>
              </w:rPr>
              <w:tab/>
            </w:r>
            <w:r>
              <w:rPr>
                <w:noProof/>
                <w:webHidden/>
              </w:rPr>
              <w:fldChar w:fldCharType="begin"/>
            </w:r>
            <w:r>
              <w:rPr>
                <w:noProof/>
                <w:webHidden/>
              </w:rPr>
              <w:instrText xml:space="preserve"> PAGEREF _Toc39424894 \h </w:instrText>
            </w:r>
            <w:r>
              <w:rPr>
                <w:noProof/>
                <w:webHidden/>
              </w:rPr>
            </w:r>
            <w:r>
              <w:rPr>
                <w:noProof/>
                <w:webHidden/>
              </w:rPr>
              <w:fldChar w:fldCharType="separate"/>
            </w:r>
            <w:r w:rsidR="00EE6A41">
              <w:rPr>
                <w:noProof/>
                <w:webHidden/>
              </w:rPr>
              <w:t>7</w:t>
            </w:r>
            <w:r>
              <w:rPr>
                <w:noProof/>
                <w:webHidden/>
              </w:rPr>
              <w:fldChar w:fldCharType="end"/>
            </w:r>
          </w:hyperlink>
        </w:p>
        <w:p w14:paraId="0207B08A" w14:textId="1C3AEBBF" w:rsidR="00F17932" w:rsidRDefault="00F17932">
          <w:pPr>
            <w:pStyle w:val="TOC1"/>
            <w:tabs>
              <w:tab w:val="right" w:leader="dot" w:pos="9350"/>
            </w:tabs>
            <w:rPr>
              <w:noProof/>
            </w:rPr>
          </w:pPr>
          <w:hyperlink w:anchor="_Toc39424895" w:history="1">
            <w:r w:rsidRPr="00C50CAB">
              <w:rPr>
                <w:rStyle w:val="Hyperlink"/>
                <w:noProof/>
              </w:rPr>
              <w:t>Us</w:t>
            </w:r>
            <w:r>
              <w:rPr>
                <w:rStyle w:val="Hyperlink"/>
                <w:noProof/>
              </w:rPr>
              <w:t>ing</w:t>
            </w:r>
            <w:r w:rsidRPr="00C50CAB">
              <w:rPr>
                <w:rStyle w:val="Hyperlink"/>
                <w:noProof/>
              </w:rPr>
              <w:t xml:space="preserve"> an established framework</w:t>
            </w:r>
            <w:r>
              <w:rPr>
                <w:noProof/>
                <w:webHidden/>
              </w:rPr>
              <w:tab/>
            </w:r>
            <w:r>
              <w:rPr>
                <w:noProof/>
                <w:webHidden/>
              </w:rPr>
              <w:fldChar w:fldCharType="begin"/>
            </w:r>
            <w:r>
              <w:rPr>
                <w:noProof/>
                <w:webHidden/>
              </w:rPr>
              <w:instrText xml:space="preserve"> PAGEREF _Toc39424895 \h </w:instrText>
            </w:r>
            <w:r>
              <w:rPr>
                <w:noProof/>
                <w:webHidden/>
              </w:rPr>
            </w:r>
            <w:r>
              <w:rPr>
                <w:noProof/>
                <w:webHidden/>
              </w:rPr>
              <w:fldChar w:fldCharType="separate"/>
            </w:r>
            <w:r w:rsidR="00EE6A41">
              <w:rPr>
                <w:noProof/>
                <w:webHidden/>
              </w:rPr>
              <w:t>8</w:t>
            </w:r>
            <w:r>
              <w:rPr>
                <w:noProof/>
                <w:webHidden/>
              </w:rPr>
              <w:fldChar w:fldCharType="end"/>
            </w:r>
          </w:hyperlink>
        </w:p>
        <w:p w14:paraId="7C0C5055" w14:textId="1EE6C5DE" w:rsidR="00F17932" w:rsidRDefault="00F17932">
          <w:pPr>
            <w:pStyle w:val="TOC1"/>
            <w:tabs>
              <w:tab w:val="right" w:leader="dot" w:pos="9350"/>
            </w:tabs>
            <w:rPr>
              <w:noProof/>
            </w:rPr>
          </w:pPr>
          <w:hyperlink w:anchor="_Toc39424896" w:history="1">
            <w:r w:rsidRPr="00C50CAB">
              <w:rPr>
                <w:rStyle w:val="Hyperlink"/>
                <w:bCs/>
                <w:noProof/>
              </w:rPr>
              <w:t>References</w:t>
            </w:r>
            <w:r>
              <w:rPr>
                <w:noProof/>
                <w:webHidden/>
              </w:rPr>
              <w:tab/>
            </w:r>
            <w:r>
              <w:rPr>
                <w:noProof/>
                <w:webHidden/>
              </w:rPr>
              <w:fldChar w:fldCharType="begin"/>
            </w:r>
            <w:r>
              <w:rPr>
                <w:noProof/>
                <w:webHidden/>
              </w:rPr>
              <w:instrText xml:space="preserve"> PAGEREF _Toc39424896 \h </w:instrText>
            </w:r>
            <w:r>
              <w:rPr>
                <w:noProof/>
                <w:webHidden/>
              </w:rPr>
            </w:r>
            <w:r>
              <w:rPr>
                <w:noProof/>
                <w:webHidden/>
              </w:rPr>
              <w:fldChar w:fldCharType="separate"/>
            </w:r>
            <w:r w:rsidR="00EE6A41">
              <w:rPr>
                <w:noProof/>
                <w:webHidden/>
              </w:rPr>
              <w:t>9</w:t>
            </w:r>
            <w:r>
              <w:rPr>
                <w:noProof/>
                <w:webHidden/>
              </w:rPr>
              <w:fldChar w:fldCharType="end"/>
            </w:r>
          </w:hyperlink>
        </w:p>
        <w:p w14:paraId="370F06DB" w14:textId="70BF3837" w:rsidR="00F17932" w:rsidRDefault="00F17932">
          <w:r>
            <w:rPr>
              <w:b/>
              <w:bCs/>
              <w:noProof/>
            </w:rPr>
            <w:fldChar w:fldCharType="end"/>
          </w:r>
        </w:p>
      </w:sdtContent>
    </w:sdt>
    <w:p w14:paraId="10C61047" w14:textId="77777777" w:rsidR="00F17932" w:rsidRDefault="00F17932">
      <w:pPr>
        <w:rPr>
          <w:b/>
        </w:rPr>
      </w:pPr>
      <w:r>
        <w:br w:type="page"/>
      </w:r>
    </w:p>
    <w:p w14:paraId="17A23B19" w14:textId="47AE9CE6" w:rsidR="0082223F" w:rsidRDefault="004F387C" w:rsidP="005B7079">
      <w:pPr>
        <w:pStyle w:val="Heading1"/>
      </w:pPr>
      <w:bookmarkStart w:id="0" w:name="_Toc39424886"/>
      <w:r>
        <w:lastRenderedPageBreak/>
        <w:t>Appraise Risk Analysis, Frameworks, and Models</w:t>
      </w:r>
      <w:bookmarkEnd w:id="0"/>
    </w:p>
    <w:p w14:paraId="0E371E6F" w14:textId="0D8374C3" w:rsidR="006E6CED" w:rsidRDefault="006E6CED" w:rsidP="005132B0">
      <w:pPr>
        <w:ind w:firstLine="720"/>
      </w:pPr>
      <w:r>
        <w:t>Hi-Tech Manufacturing</w:t>
      </w:r>
      <w:r>
        <w:t xml:space="preserve"> (HTM)</w:t>
      </w:r>
      <w:r>
        <w:t xml:space="preserve"> operates electronic car </w:t>
      </w:r>
      <w:proofErr w:type="gramStart"/>
      <w:r>
        <w:t>assemblies</w:t>
      </w:r>
      <w:proofErr w:type="gramEnd"/>
      <w:r>
        <w:t xml:space="preserve"> </w:t>
      </w:r>
      <w:r>
        <w:t>plants across North America, Europe, and Asia.  Their proprietary technologies provide a strategic advantage that international competitors desire to acquire.  Since HTM has been unwilling to license these solutions, the business continuously fights forced acquisition across many battlefields.  These arenas include targeted attacks against employees, social media smear campaigns, malicious assaults against the digital infrastructure, and espionage attacks against the physical plants.  Additionally, internal sources create risks to the institution through a spectrum of malicious and negligent behaviors, such as an employee interact</w:t>
      </w:r>
      <w:r w:rsidR="00234A5E">
        <w:t>ing</w:t>
      </w:r>
      <w:r>
        <w:t xml:space="preserve"> with malware</w:t>
      </w:r>
      <w:r w:rsidR="00234A5E">
        <w:t xml:space="preserve"> that </w:t>
      </w:r>
      <w:r>
        <w:t>spreads across the network.  Team members might also lack security awareness and training, causing them to misapply safe</w:t>
      </w:r>
      <w:r w:rsidR="00234A5E">
        <w:t>ty</w:t>
      </w:r>
      <w:r>
        <w:t xml:space="preserve"> equipment and processes.  Regardless of the origin of the risk, organizations need to ensure their integrity, confidentiality, and availability, or it faces a disruption delivering their mission and objectives.  Addressing these challenges requires a risk management framework that iteratively identifies, assesses, and then constrains the blast radius of decisions.  Technicians will eventually </w:t>
      </w:r>
      <w:proofErr w:type="gramStart"/>
      <w:r>
        <w:t>fat-finger</w:t>
      </w:r>
      <w:proofErr w:type="gramEnd"/>
      <w:r>
        <w:t xml:space="preserve"> a database command, </w:t>
      </w:r>
      <w:r w:rsidR="00234A5E">
        <w:t>what</w:t>
      </w:r>
      <w:r>
        <w:t xml:space="preserve"> controls </w:t>
      </w:r>
      <w:r w:rsidR="00234A5E">
        <w:t xml:space="preserve">exist to </w:t>
      </w:r>
      <w:r>
        <w:t xml:space="preserve">prevent the cascade </w:t>
      </w:r>
      <w:r w:rsidR="00234A5E">
        <w:t xml:space="preserve">of failures or enable recovering </w:t>
      </w:r>
      <w:r>
        <w:t xml:space="preserve">the previous state?  These scenarios are a matter of </w:t>
      </w:r>
      <w:r w:rsidR="00343A3B">
        <w:t>'</w:t>
      </w:r>
      <w:r>
        <w:t>when-not-if,</w:t>
      </w:r>
      <w:r w:rsidR="00343A3B">
        <w:t>'</w:t>
      </w:r>
      <w:r>
        <w:t xml:space="preserve"> and choosing to acknowledge these issues upfront allows HTM to choose the battlefield.  The approach to handling these concerns needs a basis within academic and industry best practices.  For instance, the Nation Institute of Standards and Technology (NIST)</w:t>
      </w:r>
      <w:r w:rsidR="004A369B">
        <w:t xml:space="preserve"> provides </w:t>
      </w:r>
      <w:r>
        <w:t xml:space="preserve">the Cybersecurity Framework. </w:t>
      </w:r>
      <w:r w:rsidR="00F01C28">
        <w:t>NIST</w:t>
      </w:r>
      <w:r w:rsidR="00343A3B">
        <w:t>'</w:t>
      </w:r>
      <w:r>
        <w:t>s guidance allows the institution to adopt different risk profiles so that the implementation is neither too hot nor too cold.</w:t>
      </w:r>
      <w:r w:rsidR="0096601E">
        <w:t xml:space="preserve">  After weighing the cost-benefits of acceptable risks, a formal review of those decisions needs to occur on a given cadence, ensuring those decisions are still valid.</w:t>
      </w:r>
    </w:p>
    <w:p w14:paraId="34F7605A" w14:textId="356F3685" w:rsidR="00A44932" w:rsidRDefault="00A44932" w:rsidP="00562CF7">
      <w:pPr>
        <w:pStyle w:val="Heading1"/>
      </w:pPr>
      <w:bookmarkStart w:id="1" w:name="_Toc39424887"/>
      <w:r>
        <w:lastRenderedPageBreak/>
        <w:t xml:space="preserve">What </w:t>
      </w:r>
      <w:r w:rsidR="0097534B">
        <w:t xml:space="preserve">influences </w:t>
      </w:r>
      <w:r>
        <w:t xml:space="preserve">risks to the </w:t>
      </w:r>
      <w:r w:rsidR="0097534B">
        <w:t>Hi-Tech</w:t>
      </w:r>
      <w:bookmarkEnd w:id="1"/>
    </w:p>
    <w:p w14:paraId="629D8D1C" w14:textId="29E84289" w:rsidR="0097534B" w:rsidRDefault="008A6911" w:rsidP="0097534B">
      <w:r>
        <w:tab/>
        <w:t>When an organization begins with technological solutions, they are likely to devise incomplete protection strategies</w:t>
      </w:r>
      <w:sdt>
        <w:sdtPr>
          <w:id w:val="-1862664852"/>
          <w:citation/>
        </w:sdtPr>
        <w:sdtContent>
          <w:r>
            <w:fldChar w:fldCharType="begin"/>
          </w:r>
          <w:r w:rsidR="00F03455">
            <w:instrText xml:space="preserve">CITATION Ste18 \l 1033 </w:instrText>
          </w:r>
          <w:r>
            <w:fldChar w:fldCharType="separate"/>
          </w:r>
          <w:r w:rsidR="00F03455">
            <w:rPr>
              <w:noProof/>
            </w:rPr>
            <w:t xml:space="preserve"> (Stevens, 2018)</w:t>
          </w:r>
          <w:r>
            <w:fldChar w:fldCharType="end"/>
          </w:r>
        </w:sdtContent>
      </w:sdt>
      <w:r>
        <w:t>.  Instead, Hi-Tech needs to methodically begin with identifying and classifying what internal and external factors create the risk, then determine an appropriate response</w:t>
      </w:r>
      <w:sdt>
        <w:sdtPr>
          <w:id w:val="-1176340642"/>
          <w:citation/>
        </w:sdtPr>
        <w:sdtContent>
          <w:r>
            <w:fldChar w:fldCharType="begin"/>
          </w:r>
          <w:r w:rsidR="004B78E1">
            <w:instrText xml:space="preserve">CITATION Bas18 \l 1033 </w:instrText>
          </w:r>
          <w:r>
            <w:fldChar w:fldCharType="separate"/>
          </w:r>
          <w:r w:rsidR="004B78E1">
            <w:rPr>
              <w:noProof/>
            </w:rPr>
            <w:t xml:space="preserve"> (Baskerville, Rowe, &amp; Wolff, 2018)</w:t>
          </w:r>
          <w:r>
            <w:fldChar w:fldCharType="end"/>
          </w:r>
        </w:sdtContent>
      </w:sdt>
      <w:r>
        <w:t>.  Due to resource constraints, it is not possible to address all issues under every scenario.  The classification results can act as a mechanism for prioritizing the concerns and recognizing any non-starters upfront.</w:t>
      </w:r>
    </w:p>
    <w:p w14:paraId="02DBB218" w14:textId="07B36131" w:rsidR="00A44932" w:rsidRDefault="000445BD" w:rsidP="00562CF7">
      <w:pPr>
        <w:pStyle w:val="Heading2"/>
      </w:pPr>
      <w:bookmarkStart w:id="2" w:name="_Toc39424888"/>
      <w:r>
        <w:t>External Influences</w:t>
      </w:r>
      <w:bookmarkEnd w:id="2"/>
      <w:r>
        <w:t xml:space="preserve"> </w:t>
      </w:r>
    </w:p>
    <w:p w14:paraId="0C03768F" w14:textId="08FC1E50" w:rsidR="008A6911" w:rsidRDefault="008A6911" w:rsidP="0009506D">
      <w:r>
        <w:tab/>
        <w:t>External influences come from systems and actors that are outside of Hi-Tech</w:t>
      </w:r>
      <w:r w:rsidR="00343A3B">
        <w:t>'</w:t>
      </w:r>
      <w:r>
        <w:t xml:space="preserve">s control.  For instance, the Internet is like </w:t>
      </w:r>
      <w:r w:rsidR="00343A3B">
        <w:t>"</w:t>
      </w:r>
      <w:r>
        <w:t>the American Wild West – a place of little regulation and considerable opportunity and danger</w:t>
      </w:r>
      <w:sdt>
        <w:sdtPr>
          <w:id w:val="1037248304"/>
          <w:citation/>
        </w:sdtPr>
        <w:sdtContent>
          <w:r>
            <w:fldChar w:fldCharType="begin"/>
          </w:r>
          <w:r>
            <w:instrText xml:space="preserve">CITATION Qui15 \p 116 \l 1033 </w:instrText>
          </w:r>
          <w:r>
            <w:fldChar w:fldCharType="separate"/>
          </w:r>
          <w:r w:rsidR="00F03455">
            <w:rPr>
              <w:noProof/>
            </w:rPr>
            <w:t xml:space="preserve"> (Quigley, Burns, &amp; Stallard, 2015, p. 116)</w:t>
          </w:r>
          <w:r>
            <w:fldChar w:fldCharType="end"/>
          </w:r>
        </w:sdtContent>
      </w:sdt>
      <w:r>
        <w:t>.</w:t>
      </w:r>
      <w:r w:rsidR="00343A3B">
        <w:t>"</w:t>
      </w:r>
      <w:r>
        <w:t xml:space="preserve"> Across this frontier are websites that distribute malware and attempt to steal credentials.  Corporate digital resources must also operate within this hostile world and repel penetration scans and denial of service attacks.  Malicious actors do not stop at the firewall and using physical espionage tactics in order to gain entry into the factories and office buildings</w:t>
      </w:r>
      <w:sdt>
        <w:sdtPr>
          <w:id w:val="-475686452"/>
          <w:citation/>
        </w:sdtPr>
        <w:sdtContent>
          <w:r>
            <w:fldChar w:fldCharType="begin"/>
          </w:r>
          <w:r>
            <w:instrText xml:space="preserve"> CITATION FBI15 \l 1033 </w:instrText>
          </w:r>
          <w:r>
            <w:fldChar w:fldCharType="separate"/>
          </w:r>
          <w:r w:rsidR="00F03455">
            <w:rPr>
              <w:noProof/>
            </w:rPr>
            <w:t xml:space="preserve"> (FBI, 2015)</w:t>
          </w:r>
          <w:r>
            <w:fldChar w:fldCharType="end"/>
          </w:r>
        </w:sdtContent>
      </w:sdt>
      <w:r>
        <w:t>.</w:t>
      </w:r>
      <w:r w:rsidR="0009506D">
        <w:t xml:space="preserve">  The business also needs to be aware of external factors that come from foreign markets, as other nations make trade-offs between government, societal, and international actor</w:t>
      </w:r>
      <w:r w:rsidR="00343A3B">
        <w:t>'</w:t>
      </w:r>
      <w:r w:rsidR="0009506D">
        <w:t>s rights</w:t>
      </w:r>
      <w:sdt>
        <w:sdtPr>
          <w:id w:val="1543642668"/>
          <w:citation/>
        </w:sdtPr>
        <w:sdtContent>
          <w:r w:rsidR="00DE028E">
            <w:fldChar w:fldCharType="begin"/>
          </w:r>
          <w:r w:rsidR="00F03455">
            <w:instrText xml:space="preserve">CITATION Kov183 \l 1033 </w:instrText>
          </w:r>
          <w:r w:rsidR="00DE028E">
            <w:fldChar w:fldCharType="separate"/>
          </w:r>
          <w:r w:rsidR="00F03455">
            <w:rPr>
              <w:noProof/>
            </w:rPr>
            <w:t xml:space="preserve"> (Kovacs L. , 2018)</w:t>
          </w:r>
          <w:r w:rsidR="00DE028E">
            <w:fldChar w:fldCharType="end"/>
          </w:r>
        </w:sdtContent>
      </w:sdt>
      <w:r w:rsidR="0009506D">
        <w:t>.</w:t>
      </w:r>
      <w:r w:rsidR="00DE028E">
        <w:t xml:space="preserve">  Those environments can require additional protections for their citizens or take a laisse-fair approach to intellectual property.  These foreign policy decisions can dictate what offerings are advisable to those markets.  Specific authoritarian governments, such as Russia and China, have taken the position that stealing private sector secrets is a prerequisite to ensuring their sovereignty</w:t>
      </w:r>
      <w:sdt>
        <w:sdtPr>
          <w:id w:val="-1778477693"/>
          <w:citation/>
        </w:sdtPr>
        <w:sdtContent>
          <w:r w:rsidR="00DE028E">
            <w:fldChar w:fldCharType="begin"/>
          </w:r>
          <w:r w:rsidR="00DE028E">
            <w:instrText xml:space="preserve"> CITATION Kre19 \l 1033 </w:instrText>
          </w:r>
          <w:r w:rsidR="00DE028E">
            <w:fldChar w:fldCharType="separate"/>
          </w:r>
          <w:r w:rsidR="00F03455">
            <w:rPr>
              <w:noProof/>
            </w:rPr>
            <w:t xml:space="preserve"> (Krebs, 2019)</w:t>
          </w:r>
          <w:r w:rsidR="00DE028E">
            <w:fldChar w:fldCharType="end"/>
          </w:r>
        </w:sdtContent>
      </w:sdt>
      <w:r w:rsidR="00DE028E">
        <w:t>.</w:t>
      </w:r>
      <w:r w:rsidR="00DE028E" w:rsidRPr="00DE028E">
        <w:t xml:space="preserve"> </w:t>
      </w:r>
      <w:r w:rsidR="004A369B">
        <w:t xml:space="preserve"> </w:t>
      </w:r>
      <w:r w:rsidR="00DE028E">
        <w:t xml:space="preserve">Partial mitigation solutions exist for many </w:t>
      </w:r>
      <w:r w:rsidR="004A369B">
        <w:t xml:space="preserve">of these </w:t>
      </w:r>
      <w:r w:rsidR="00DE028E">
        <w:t>aspects</w:t>
      </w:r>
      <w:r w:rsidR="00E83A1E">
        <w:t>—h</w:t>
      </w:r>
      <w:r w:rsidR="004A369B">
        <w:t>owever,</w:t>
      </w:r>
      <w:r w:rsidR="00DE028E">
        <w:t xml:space="preserve"> a ten-foot wall does not stop a twelve-foot ladder.</w:t>
      </w:r>
    </w:p>
    <w:p w14:paraId="6606F054" w14:textId="105C66A5" w:rsidR="006608F1" w:rsidRDefault="006608F1" w:rsidP="006608F1">
      <w:pPr>
        <w:pStyle w:val="Heading2"/>
      </w:pPr>
      <w:bookmarkStart w:id="3" w:name="_Toc39424889"/>
      <w:r>
        <w:lastRenderedPageBreak/>
        <w:t>Internal Influences</w:t>
      </w:r>
      <w:bookmarkEnd w:id="3"/>
    </w:p>
    <w:p w14:paraId="0C5E4838" w14:textId="2D234F9B" w:rsidR="00E06CB6" w:rsidRPr="00A1662A" w:rsidRDefault="008A6911" w:rsidP="00A1662A">
      <w:pPr>
        <w:ind w:firstLine="720"/>
      </w:pPr>
      <w:r>
        <w:t xml:space="preserve">Internal influences come from </w:t>
      </w:r>
      <w:proofErr w:type="spellStart"/>
      <w:r>
        <w:t>employes</w:t>
      </w:r>
      <w:proofErr w:type="spellEnd"/>
      <w:r>
        <w:t xml:space="preserve"> and venders as they perform various aspects of their role.  It can be challenging to monitor the compliance of these persons because they routinely access sensitive systems.  For instance, the branch manager and assistant manager have access to the office safe.  If one of them decides to steal from the company, the other </w:t>
      </w:r>
      <w:r w:rsidR="0009506D">
        <w:t>hopefully</w:t>
      </w:r>
      <w:r>
        <w:t xml:space="preserve"> notice</w:t>
      </w:r>
      <w:r w:rsidR="0009506D">
        <w:t>s</w:t>
      </w:r>
      <w:r>
        <w:t xml:space="preserve"> and report</w:t>
      </w:r>
      <w:r w:rsidR="0009506D">
        <w:t>s</w:t>
      </w:r>
      <w:r>
        <w:t xml:space="preserve"> the issue.  However, when both trusted employees collude</w:t>
      </w:r>
      <w:r w:rsidR="00666A3D">
        <w:t>,</w:t>
      </w:r>
      <w:r>
        <w:t xml:space="preserve"> then the issue could continue for years undetected.</w:t>
      </w:r>
      <w:r w:rsidR="0009506D">
        <w:t xml:space="preserve">  The recent film, Bad Education (2020), recalls such an incident in New York</w:t>
      </w:r>
      <w:r w:rsidR="00343A3B">
        <w:t>'</w:t>
      </w:r>
      <w:r w:rsidR="0009506D">
        <w:t xml:space="preserve">s </w:t>
      </w:r>
      <w:proofErr w:type="spellStart"/>
      <w:r w:rsidR="0009506D">
        <w:t>Rosyln</w:t>
      </w:r>
      <w:proofErr w:type="spellEnd"/>
      <w:r w:rsidR="0009506D">
        <w:t xml:space="preserve"> school district, resulting in the theft of 11.5 million dollars.  Erroneous behavior also plays a crucial role in creating </w:t>
      </w:r>
      <w:r w:rsidR="0094589D">
        <w:t xml:space="preserve">internal risk factors, such as employees not wearing safety equipment or tricked into interacting with a malicious resource (e.g., spam).  There </w:t>
      </w:r>
      <w:proofErr w:type="gramStart"/>
      <w:r w:rsidR="0094589D">
        <w:t>are</w:t>
      </w:r>
      <w:proofErr w:type="gramEnd"/>
      <w:r w:rsidR="0094589D">
        <w:t xml:space="preserve"> also negligent mishandling of process that could </w:t>
      </w:r>
      <w:r w:rsidR="0094589D">
        <w:t>extend beyond private litigation to include a decrease in employee confidence and stain the public reputation of the business</w:t>
      </w:r>
      <w:r w:rsidR="0094589D">
        <w:t>. Consider the ensuing ripple to Hi-Tech, if an assembly worker lost an arm</w:t>
      </w:r>
      <w:r w:rsidR="00E83A1E">
        <w:t>,</w:t>
      </w:r>
      <w:r w:rsidR="0094589D">
        <w:t xml:space="preserve"> or </w:t>
      </w:r>
      <w:r w:rsidR="00E83A1E">
        <w:t xml:space="preserve">the business leaks their </w:t>
      </w:r>
      <w:r w:rsidR="0094589D">
        <w:t>Personally Identifiable Information (PII)</w:t>
      </w:r>
      <w:r w:rsidR="0094589D">
        <w:t>.  These preventable accidents linger in the minds of staff and create hesitation</w:t>
      </w:r>
      <w:r w:rsidR="00E06CB6">
        <w:t xml:space="preserve"> to trust the organization</w:t>
      </w:r>
      <w:r w:rsidR="0094589D">
        <w:t>.</w:t>
      </w:r>
      <w:r w:rsidR="0094589D">
        <w:t xml:space="preserve">  </w:t>
      </w:r>
      <w:r w:rsidR="00E06CB6">
        <w:t xml:space="preserve">In more extreme situations, these mistrusting deeds can incentive the employee to seek retribution either from lowering quality </w:t>
      </w:r>
      <w:proofErr w:type="gramStart"/>
      <w:r w:rsidR="00E06CB6">
        <w:t>and</w:t>
      </w:r>
      <w:proofErr w:type="gramEnd"/>
      <w:r w:rsidR="00E06CB6">
        <w:t xml:space="preserve"> performance to outright theft.  After all, if the business will not take care of me, then why I should take care of them?</w:t>
      </w:r>
      <w:r w:rsidR="00A1662A">
        <w:t xml:space="preserve">  </w:t>
      </w:r>
      <w:r w:rsidR="0072418E">
        <w:t>There are numerous actors and assets at stake across these different risk sources.  The business needs to consider both the criticality and how replaceable those resources are in the grand scheme.  At the top of this list are the health and safety of employees, secrecy of intellectual property, and the ability to continue operations.</w:t>
      </w:r>
    </w:p>
    <w:p w14:paraId="0112A852" w14:textId="77777777" w:rsidR="0072418E" w:rsidRDefault="0072418E">
      <w:pPr>
        <w:rPr>
          <w:b/>
        </w:rPr>
      </w:pPr>
      <w:r>
        <w:br w:type="page"/>
      </w:r>
    </w:p>
    <w:p w14:paraId="47276340" w14:textId="3954B0E2" w:rsidR="00A44932" w:rsidRDefault="00A44932" w:rsidP="00562CF7">
      <w:pPr>
        <w:pStyle w:val="Heading1"/>
      </w:pPr>
      <w:bookmarkStart w:id="4" w:name="_Toc39424890"/>
      <w:r>
        <w:lastRenderedPageBreak/>
        <w:t>How to approach these risks</w:t>
      </w:r>
      <w:bookmarkEnd w:id="4"/>
    </w:p>
    <w:p w14:paraId="7D210593" w14:textId="77B7335B" w:rsidR="005248EA" w:rsidRDefault="00C213CB" w:rsidP="00D679E1">
      <w:pPr>
        <w:ind w:firstLine="720"/>
      </w:pPr>
      <w:r>
        <w:t xml:space="preserve">Next, Hi-Tech needs to decide how they will </w:t>
      </w:r>
      <w:r w:rsidR="005248EA">
        <w:t xml:space="preserve">approach risk </w:t>
      </w:r>
      <w:r w:rsidR="00FE5CC8">
        <w:t xml:space="preserve">either through </w:t>
      </w:r>
      <w:r>
        <w:t>self-protect, self-insurance, risk transfer, or avoidance</w:t>
      </w:r>
      <w:sdt>
        <w:sdtPr>
          <w:id w:val="474336741"/>
          <w:citation/>
        </w:sdtPr>
        <w:sdtContent>
          <w:r>
            <w:fldChar w:fldCharType="begin"/>
          </w:r>
          <w:r w:rsidR="004B78E1">
            <w:instrText xml:space="preserve">CITATION Bas18 \l 1033 </w:instrText>
          </w:r>
          <w:r>
            <w:fldChar w:fldCharType="separate"/>
          </w:r>
          <w:r w:rsidR="004B78E1">
            <w:rPr>
              <w:noProof/>
            </w:rPr>
            <w:t xml:space="preserve"> (Baskerville, Rowe, &amp; Wolff, 2018)</w:t>
          </w:r>
          <w:r>
            <w:fldChar w:fldCharType="end"/>
          </w:r>
        </w:sdtContent>
      </w:sdt>
      <w:r>
        <w:t>.</w:t>
      </w:r>
      <w:r w:rsidR="005248EA">
        <w:t xml:space="preserve">  Table 1 contains definitions and examples of </w:t>
      </w:r>
      <w:r w:rsidR="002C774C">
        <w:t>when these different decisions are most relevant.</w:t>
      </w:r>
    </w:p>
    <w:p w14:paraId="6D3A779A" w14:textId="276C7385" w:rsidR="005248EA" w:rsidRDefault="005248EA" w:rsidP="005248EA">
      <w:pPr>
        <w:pStyle w:val="Caption"/>
      </w:pPr>
      <w:r>
        <w:t xml:space="preserve">Table </w:t>
      </w:r>
      <w:fldSimple w:instr=" SEQ Table \* ARABIC ">
        <w:r>
          <w:rPr>
            <w:noProof/>
          </w:rPr>
          <w:t>1</w:t>
        </w:r>
      </w:fldSimple>
      <w:r>
        <w:t>: Approaches to Risk</w:t>
      </w:r>
    </w:p>
    <w:tbl>
      <w:tblPr>
        <w:tblStyle w:val="GridTable4"/>
        <w:tblW w:w="0" w:type="auto"/>
        <w:tblLook w:val="04A0" w:firstRow="1" w:lastRow="0" w:firstColumn="1" w:lastColumn="0" w:noHBand="0" w:noVBand="1"/>
      </w:tblPr>
      <w:tblGrid>
        <w:gridCol w:w="1576"/>
        <w:gridCol w:w="2453"/>
        <w:gridCol w:w="950"/>
        <w:gridCol w:w="1330"/>
        <w:gridCol w:w="3041"/>
      </w:tblGrid>
      <w:tr w:rsidR="00E83A1E" w14:paraId="2D47CB5F" w14:textId="77777777" w:rsidTr="00E83A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58077DAB" w14:textId="247BE1CC" w:rsidR="00E83A1E" w:rsidRDefault="00E83A1E" w:rsidP="005248EA">
            <w:pPr>
              <w:jc w:val="center"/>
            </w:pPr>
            <w:r>
              <w:t>Approach</w:t>
            </w:r>
          </w:p>
        </w:tc>
        <w:tc>
          <w:tcPr>
            <w:tcW w:w="2458" w:type="dxa"/>
          </w:tcPr>
          <w:p w14:paraId="326CED00" w14:textId="3249E5DC"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Description</w:t>
            </w:r>
          </w:p>
        </w:tc>
        <w:tc>
          <w:tcPr>
            <w:tcW w:w="950" w:type="dxa"/>
          </w:tcPr>
          <w:p w14:paraId="67B48334" w14:textId="4429ECD2"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Impact</w:t>
            </w:r>
          </w:p>
        </w:tc>
        <w:tc>
          <w:tcPr>
            <w:tcW w:w="1330" w:type="dxa"/>
          </w:tcPr>
          <w:p w14:paraId="4F63FFE0" w14:textId="6208E19B"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Likelihood</w:t>
            </w:r>
          </w:p>
        </w:tc>
        <w:tc>
          <w:tcPr>
            <w:tcW w:w="3047" w:type="dxa"/>
          </w:tcPr>
          <w:p w14:paraId="17CCF7B6" w14:textId="3E39EDC9" w:rsidR="00E83A1E" w:rsidRDefault="00E83A1E" w:rsidP="005248EA">
            <w:pPr>
              <w:jc w:val="center"/>
              <w:cnfStyle w:val="100000000000" w:firstRow="1" w:lastRow="0" w:firstColumn="0" w:lastColumn="0" w:oddVBand="0" w:evenVBand="0" w:oddHBand="0" w:evenHBand="0" w:firstRowFirstColumn="0" w:firstRowLastColumn="0" w:lastRowFirstColumn="0" w:lastRowLastColumn="0"/>
            </w:pPr>
            <w:r>
              <w:t>Example</w:t>
            </w:r>
          </w:p>
        </w:tc>
      </w:tr>
      <w:tr w:rsidR="00E83A1E" w14:paraId="6F87A6F7" w14:textId="77777777" w:rsidTr="00E8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3651D594" w14:textId="15D39CE8" w:rsidR="00E83A1E" w:rsidRDefault="00E83A1E" w:rsidP="005248EA">
            <w:r>
              <w:t>Self-Protection</w:t>
            </w:r>
          </w:p>
        </w:tc>
        <w:tc>
          <w:tcPr>
            <w:tcW w:w="2458" w:type="dxa"/>
          </w:tcPr>
          <w:p w14:paraId="60FD502F" w14:textId="77777777" w:rsidR="00E83A1E" w:rsidRDefault="00E83A1E" w:rsidP="00E83A1E">
            <w:pPr>
              <w:cnfStyle w:val="000000100000" w:firstRow="0" w:lastRow="0" w:firstColumn="0" w:lastColumn="0" w:oddVBand="0" w:evenVBand="0" w:oddHBand="1" w:evenHBand="0" w:firstRowFirstColumn="0" w:firstRowLastColumn="0" w:lastRowFirstColumn="0" w:lastRowLastColumn="0"/>
            </w:pPr>
            <w:r>
              <w:t>Using processes, training, or technologies to control risk</w:t>
            </w:r>
          </w:p>
          <w:p w14:paraId="7C7B4EFA" w14:textId="3A9D9F8E" w:rsidR="00E83A1E" w:rsidRDefault="00E83A1E" w:rsidP="00E83A1E">
            <w:pPr>
              <w:cnfStyle w:val="000000100000" w:firstRow="0" w:lastRow="0" w:firstColumn="0" w:lastColumn="0" w:oddVBand="0" w:evenVBand="0" w:oddHBand="1" w:evenHBand="0" w:firstRowFirstColumn="0" w:firstRowLastColumn="0" w:lastRowFirstColumn="0" w:lastRowLastColumn="0"/>
            </w:pPr>
          </w:p>
        </w:tc>
        <w:tc>
          <w:tcPr>
            <w:tcW w:w="950" w:type="dxa"/>
          </w:tcPr>
          <w:p w14:paraId="75C7A92C" w14:textId="7C478854" w:rsidR="00E83A1E" w:rsidRDefault="00E83A1E" w:rsidP="00E83A1E">
            <w:pPr>
              <w:cnfStyle w:val="000000100000" w:firstRow="0" w:lastRow="0" w:firstColumn="0" w:lastColumn="0" w:oddVBand="0" w:evenVBand="0" w:oddHBand="1" w:evenHBand="0" w:firstRowFirstColumn="0" w:firstRowLastColumn="0" w:lastRowFirstColumn="0" w:lastRowLastColumn="0"/>
            </w:pPr>
            <w:r>
              <w:t>Low</w:t>
            </w:r>
          </w:p>
        </w:tc>
        <w:tc>
          <w:tcPr>
            <w:tcW w:w="1330" w:type="dxa"/>
          </w:tcPr>
          <w:p w14:paraId="49B6B8D9" w14:textId="0BFB1692" w:rsidR="00E83A1E" w:rsidRDefault="00E83A1E" w:rsidP="00E83A1E">
            <w:pPr>
              <w:cnfStyle w:val="000000100000" w:firstRow="0" w:lastRow="0" w:firstColumn="0" w:lastColumn="0" w:oddVBand="0" w:evenVBand="0" w:oddHBand="1" w:evenHBand="0" w:firstRowFirstColumn="0" w:firstRowLastColumn="0" w:lastRowFirstColumn="0" w:lastRowLastColumn="0"/>
            </w:pPr>
            <w:r>
              <w:t>High</w:t>
            </w:r>
          </w:p>
        </w:tc>
        <w:tc>
          <w:tcPr>
            <w:tcW w:w="3047" w:type="dxa"/>
          </w:tcPr>
          <w:p w14:paraId="1A38A164" w14:textId="4A5C15A2"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 xml:space="preserve">Firewalls </w:t>
            </w:r>
          </w:p>
          <w:p w14:paraId="21B29CBE" w14:textId="77777777"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Anti-virus software</w:t>
            </w:r>
          </w:p>
          <w:p w14:paraId="2191C036" w14:textId="22A246C5"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Compliance training</w:t>
            </w:r>
          </w:p>
        </w:tc>
      </w:tr>
      <w:tr w:rsidR="00E83A1E" w14:paraId="33EB3DE8" w14:textId="77777777" w:rsidTr="00E83A1E">
        <w:tc>
          <w:tcPr>
            <w:cnfStyle w:val="001000000000" w:firstRow="0" w:lastRow="0" w:firstColumn="1" w:lastColumn="0" w:oddVBand="0" w:evenVBand="0" w:oddHBand="0" w:evenHBand="0" w:firstRowFirstColumn="0" w:firstRowLastColumn="0" w:lastRowFirstColumn="0" w:lastRowLastColumn="0"/>
            <w:tcW w:w="1565" w:type="dxa"/>
          </w:tcPr>
          <w:p w14:paraId="7DB1997C" w14:textId="19098AEE" w:rsidR="00E83A1E" w:rsidRDefault="00E83A1E" w:rsidP="005248EA">
            <w:r>
              <w:t>Self-Insurance</w:t>
            </w:r>
          </w:p>
        </w:tc>
        <w:tc>
          <w:tcPr>
            <w:tcW w:w="2458" w:type="dxa"/>
          </w:tcPr>
          <w:p w14:paraId="1BAC389E" w14:textId="77777777" w:rsidR="00E83A1E" w:rsidRDefault="00E83A1E" w:rsidP="00E83A1E">
            <w:pPr>
              <w:cnfStyle w:val="000000000000" w:firstRow="0" w:lastRow="0" w:firstColumn="0" w:lastColumn="0" w:oddVBand="0" w:evenVBand="0" w:oddHBand="0" w:evenHBand="0" w:firstRowFirstColumn="0" w:firstRowLastColumn="0" w:lastRowFirstColumn="0" w:lastRowLastColumn="0"/>
            </w:pPr>
            <w:r>
              <w:t>Establishing reserves encase of an emergency</w:t>
            </w:r>
          </w:p>
          <w:p w14:paraId="215A15DF" w14:textId="1D913FB2" w:rsidR="00E83A1E" w:rsidRDefault="00E83A1E" w:rsidP="00E83A1E">
            <w:pPr>
              <w:cnfStyle w:val="000000000000" w:firstRow="0" w:lastRow="0" w:firstColumn="0" w:lastColumn="0" w:oddVBand="0" w:evenVBand="0" w:oddHBand="0" w:evenHBand="0" w:firstRowFirstColumn="0" w:firstRowLastColumn="0" w:lastRowFirstColumn="0" w:lastRowLastColumn="0"/>
            </w:pPr>
          </w:p>
        </w:tc>
        <w:tc>
          <w:tcPr>
            <w:tcW w:w="950" w:type="dxa"/>
          </w:tcPr>
          <w:p w14:paraId="52144E91" w14:textId="63FE4551" w:rsidR="00E83A1E" w:rsidRDefault="00E83A1E" w:rsidP="00E83A1E">
            <w:pPr>
              <w:cnfStyle w:val="000000000000" w:firstRow="0" w:lastRow="0" w:firstColumn="0" w:lastColumn="0" w:oddVBand="0" w:evenVBand="0" w:oddHBand="0" w:evenHBand="0" w:firstRowFirstColumn="0" w:firstRowLastColumn="0" w:lastRowFirstColumn="0" w:lastRowLastColumn="0"/>
            </w:pPr>
            <w:r>
              <w:t>Low</w:t>
            </w:r>
          </w:p>
        </w:tc>
        <w:tc>
          <w:tcPr>
            <w:tcW w:w="1330" w:type="dxa"/>
          </w:tcPr>
          <w:p w14:paraId="46EC7EC0" w14:textId="1731DBC3" w:rsidR="00E83A1E" w:rsidRDefault="00E83A1E" w:rsidP="00E83A1E">
            <w:pPr>
              <w:cnfStyle w:val="000000000000" w:firstRow="0" w:lastRow="0" w:firstColumn="0" w:lastColumn="0" w:oddVBand="0" w:evenVBand="0" w:oddHBand="0" w:evenHBand="0" w:firstRowFirstColumn="0" w:firstRowLastColumn="0" w:lastRowFirstColumn="0" w:lastRowLastColumn="0"/>
            </w:pPr>
            <w:r>
              <w:t>Low</w:t>
            </w:r>
          </w:p>
        </w:tc>
        <w:tc>
          <w:tcPr>
            <w:tcW w:w="3047" w:type="dxa"/>
          </w:tcPr>
          <w:p w14:paraId="205BDD76" w14:textId="01DE443D"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Cash reserves</w:t>
            </w:r>
          </w:p>
          <w:p w14:paraId="1805DC90" w14:textId="0529EA72"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Maintaining excess raw materials</w:t>
            </w:r>
          </w:p>
        </w:tc>
      </w:tr>
      <w:tr w:rsidR="00E83A1E" w14:paraId="19778F7C" w14:textId="77777777" w:rsidTr="00E83A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65" w:type="dxa"/>
          </w:tcPr>
          <w:p w14:paraId="1453C6A5" w14:textId="4F5ABF84" w:rsidR="00E83A1E" w:rsidRDefault="00E83A1E" w:rsidP="005248EA">
            <w:r>
              <w:t>Risk Transference</w:t>
            </w:r>
          </w:p>
        </w:tc>
        <w:tc>
          <w:tcPr>
            <w:tcW w:w="2458" w:type="dxa"/>
          </w:tcPr>
          <w:p w14:paraId="6CF86E4C" w14:textId="1630263E" w:rsidR="00E83A1E" w:rsidRDefault="00E83A1E" w:rsidP="00E83A1E">
            <w:pPr>
              <w:cnfStyle w:val="000000100000" w:firstRow="0" w:lastRow="0" w:firstColumn="0" w:lastColumn="0" w:oddVBand="0" w:evenVBand="0" w:oddHBand="1" w:evenHBand="0" w:firstRowFirstColumn="0" w:firstRowLastColumn="0" w:lastRowFirstColumn="0" w:lastRowLastColumn="0"/>
            </w:pPr>
            <w:r>
              <w:t>Compensating a third-party to accept the risk</w:t>
            </w:r>
          </w:p>
        </w:tc>
        <w:tc>
          <w:tcPr>
            <w:tcW w:w="950" w:type="dxa"/>
          </w:tcPr>
          <w:p w14:paraId="3A5AB9B0" w14:textId="73F3BF19" w:rsidR="00E83A1E" w:rsidRDefault="00E83A1E" w:rsidP="00E83A1E">
            <w:pPr>
              <w:cnfStyle w:val="000000100000" w:firstRow="0" w:lastRow="0" w:firstColumn="0" w:lastColumn="0" w:oddVBand="0" w:evenVBand="0" w:oddHBand="1" w:evenHBand="0" w:firstRowFirstColumn="0" w:firstRowLastColumn="0" w:lastRowFirstColumn="0" w:lastRowLastColumn="0"/>
            </w:pPr>
            <w:r>
              <w:t>High</w:t>
            </w:r>
          </w:p>
        </w:tc>
        <w:tc>
          <w:tcPr>
            <w:tcW w:w="1330" w:type="dxa"/>
          </w:tcPr>
          <w:p w14:paraId="6EF378A9" w14:textId="5F528DE7" w:rsidR="00E83A1E" w:rsidRDefault="00E83A1E" w:rsidP="00E83A1E">
            <w:pPr>
              <w:cnfStyle w:val="000000100000" w:firstRow="0" w:lastRow="0" w:firstColumn="0" w:lastColumn="0" w:oddVBand="0" w:evenVBand="0" w:oddHBand="1" w:evenHBand="0" w:firstRowFirstColumn="0" w:firstRowLastColumn="0" w:lastRowFirstColumn="0" w:lastRowLastColumn="0"/>
            </w:pPr>
            <w:r>
              <w:t>Low</w:t>
            </w:r>
          </w:p>
        </w:tc>
        <w:tc>
          <w:tcPr>
            <w:tcW w:w="3047" w:type="dxa"/>
          </w:tcPr>
          <w:p w14:paraId="2F1D962F" w14:textId="79C75421"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Insurance</w:t>
            </w:r>
          </w:p>
          <w:p w14:paraId="11AC48F5" w14:textId="2B7B2A96" w:rsidR="00E83A1E" w:rsidRDefault="00E83A1E" w:rsidP="005248EA">
            <w:pPr>
              <w:pStyle w:val="ListParagraph"/>
              <w:numPr>
                <w:ilvl w:val="0"/>
                <w:numId w:val="2"/>
              </w:numPr>
              <w:cnfStyle w:val="000000100000" w:firstRow="0" w:lastRow="0" w:firstColumn="0" w:lastColumn="0" w:oddVBand="0" w:evenVBand="0" w:oddHBand="1" w:evenHBand="0" w:firstRowFirstColumn="0" w:firstRowLastColumn="0" w:lastRowFirstColumn="0" w:lastRowLastColumn="0"/>
            </w:pPr>
            <w:r>
              <w:t>third-party consultants</w:t>
            </w:r>
          </w:p>
        </w:tc>
      </w:tr>
      <w:tr w:rsidR="00E83A1E" w14:paraId="4AC40019" w14:textId="77777777" w:rsidTr="00E83A1E">
        <w:tc>
          <w:tcPr>
            <w:cnfStyle w:val="001000000000" w:firstRow="0" w:lastRow="0" w:firstColumn="1" w:lastColumn="0" w:oddVBand="0" w:evenVBand="0" w:oddHBand="0" w:evenHBand="0" w:firstRowFirstColumn="0" w:firstRowLastColumn="0" w:lastRowFirstColumn="0" w:lastRowLastColumn="0"/>
            <w:tcW w:w="1565" w:type="dxa"/>
          </w:tcPr>
          <w:p w14:paraId="500991E8" w14:textId="294A3D02" w:rsidR="00E83A1E" w:rsidRDefault="00E83A1E" w:rsidP="005248EA">
            <w:r>
              <w:t>Avoidance</w:t>
            </w:r>
          </w:p>
        </w:tc>
        <w:tc>
          <w:tcPr>
            <w:tcW w:w="2458" w:type="dxa"/>
          </w:tcPr>
          <w:p w14:paraId="1A2F5DB5" w14:textId="57911EA3" w:rsidR="00E83A1E" w:rsidRDefault="00E83A1E" w:rsidP="00E83A1E">
            <w:pPr>
              <w:cnfStyle w:val="000000000000" w:firstRow="0" w:lastRow="0" w:firstColumn="0" w:lastColumn="0" w:oddVBand="0" w:evenVBand="0" w:oddHBand="0" w:evenHBand="0" w:firstRowFirstColumn="0" w:firstRowLastColumn="0" w:lastRowFirstColumn="0" w:lastRowLastColumn="0"/>
            </w:pPr>
            <w:r>
              <w:t>Refusing to engage in the high-risk scenario</w:t>
            </w:r>
          </w:p>
        </w:tc>
        <w:tc>
          <w:tcPr>
            <w:tcW w:w="950" w:type="dxa"/>
          </w:tcPr>
          <w:p w14:paraId="1A1E8318" w14:textId="688DB838" w:rsidR="00E83A1E" w:rsidRDefault="00E83A1E" w:rsidP="00E83A1E">
            <w:pPr>
              <w:cnfStyle w:val="000000000000" w:firstRow="0" w:lastRow="0" w:firstColumn="0" w:lastColumn="0" w:oddVBand="0" w:evenVBand="0" w:oddHBand="0" w:evenHBand="0" w:firstRowFirstColumn="0" w:firstRowLastColumn="0" w:lastRowFirstColumn="0" w:lastRowLastColumn="0"/>
            </w:pPr>
            <w:r>
              <w:t>High</w:t>
            </w:r>
          </w:p>
        </w:tc>
        <w:tc>
          <w:tcPr>
            <w:tcW w:w="1330" w:type="dxa"/>
          </w:tcPr>
          <w:p w14:paraId="0BE12CD1" w14:textId="4617B6BA" w:rsidR="00E83A1E" w:rsidRDefault="00E83A1E" w:rsidP="00E83A1E">
            <w:pPr>
              <w:cnfStyle w:val="000000000000" w:firstRow="0" w:lastRow="0" w:firstColumn="0" w:lastColumn="0" w:oddVBand="0" w:evenVBand="0" w:oddHBand="0" w:evenHBand="0" w:firstRowFirstColumn="0" w:firstRowLastColumn="0" w:lastRowFirstColumn="0" w:lastRowLastColumn="0"/>
            </w:pPr>
            <w:r>
              <w:t>High</w:t>
            </w:r>
          </w:p>
        </w:tc>
        <w:tc>
          <w:tcPr>
            <w:tcW w:w="3047" w:type="dxa"/>
          </w:tcPr>
          <w:p w14:paraId="4AD65179" w14:textId="0D68E335"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Not supporting the scenario</w:t>
            </w:r>
          </w:p>
          <w:p w14:paraId="262A95DD" w14:textId="3F81C3A1" w:rsidR="00E83A1E" w:rsidRDefault="00E83A1E" w:rsidP="005248EA">
            <w:pPr>
              <w:pStyle w:val="ListParagraph"/>
              <w:numPr>
                <w:ilvl w:val="0"/>
                <w:numId w:val="2"/>
              </w:numPr>
              <w:cnfStyle w:val="000000000000" w:firstRow="0" w:lastRow="0" w:firstColumn="0" w:lastColumn="0" w:oddVBand="0" w:evenVBand="0" w:oddHBand="0" w:evenHBand="0" w:firstRowFirstColumn="0" w:firstRowLastColumn="0" w:lastRowFirstColumn="0" w:lastRowLastColumn="0"/>
            </w:pPr>
            <w:r>
              <w:t>Redesigning manufacturing processes (e.g., build domestic assemble remote)</w:t>
            </w:r>
          </w:p>
        </w:tc>
      </w:tr>
    </w:tbl>
    <w:p w14:paraId="05CD3551" w14:textId="01CB3F3F" w:rsidR="005248EA" w:rsidRDefault="005248EA" w:rsidP="005248EA"/>
    <w:p w14:paraId="6D45FA8C" w14:textId="065080B6" w:rsidR="005B321F" w:rsidRDefault="005B321F" w:rsidP="005B321F">
      <w:pPr>
        <w:pStyle w:val="Heading2"/>
      </w:pPr>
      <w:bookmarkStart w:id="5" w:name="_Toc39424891"/>
      <w:r>
        <w:t>Standards and Frameworks</w:t>
      </w:r>
      <w:bookmarkEnd w:id="5"/>
    </w:p>
    <w:p w14:paraId="48902B7B" w14:textId="0BEFE825" w:rsidR="00E211DD" w:rsidRDefault="0072418E" w:rsidP="00FE5CC8">
      <w:r>
        <w:tab/>
        <w:t xml:space="preserve">There is an abundance of standards and frameworks available to determine </w:t>
      </w:r>
      <w:r w:rsidR="00FE5CC8">
        <w:t>if decisions are being made consistently across the industry.  Four common incarnations are the Risk Management Framework (RMF), ISO2700x, NIST Cybersecurity Framework, and COBIT v5.</w:t>
      </w:r>
      <w:r w:rsidR="00E211DD">
        <w:t xml:space="preserve">  Each of these </w:t>
      </w:r>
      <w:r w:rsidR="00E83A1E">
        <w:t>approaches</w:t>
      </w:r>
      <w:r w:rsidR="00E211DD">
        <w:t xml:space="preserve"> follows a similar cycle of plan-act-assess</w:t>
      </w:r>
      <w:r w:rsidR="00E83A1E">
        <w:t>-revise</w:t>
      </w:r>
      <w:r w:rsidR="00E211DD">
        <w:t xml:space="preserve"> across different aspects of the stack (e.g., authentication, authorization, and auditing).</w:t>
      </w:r>
      <w:r w:rsidR="00F01C28">
        <w:t xml:space="preserve">  However</w:t>
      </w:r>
      <w:r w:rsidR="00E83A1E">
        <w:t>,</w:t>
      </w:r>
      <w:r w:rsidR="00F01C28">
        <w:t xml:space="preserve"> there are differences between the degree of enforcement versus guidance.  The origin of the standard also has a significant influence on the framework designers</w:t>
      </w:r>
      <w:r w:rsidR="00343A3B">
        <w:t>'</w:t>
      </w:r>
      <w:r w:rsidR="00F01C28">
        <w:t xml:space="preserve"> perspective, such as COBIT deriving from</w:t>
      </w:r>
      <w:r w:rsidR="00E83A1E">
        <w:t xml:space="preserve"> IT auditing then expanding with</w:t>
      </w:r>
      <w:r w:rsidR="00F01C28">
        <w:t xml:space="preserve"> industry commonalities.</w:t>
      </w:r>
    </w:p>
    <w:p w14:paraId="6B01D513" w14:textId="52F853CD" w:rsidR="00E211DD" w:rsidRDefault="00E211DD" w:rsidP="00E211DD">
      <w:pPr>
        <w:pStyle w:val="Heading2"/>
      </w:pPr>
      <w:bookmarkStart w:id="6" w:name="_Toc39424892"/>
      <w:r>
        <w:lastRenderedPageBreak/>
        <w:t>Balancing Guidance vs. Mandate</w:t>
      </w:r>
      <w:bookmarkEnd w:id="6"/>
    </w:p>
    <w:p w14:paraId="48743855" w14:textId="23670425" w:rsidR="00FE5CC8" w:rsidRDefault="00FE5CC8" w:rsidP="00E211DD">
      <w:pPr>
        <w:ind w:firstLine="720"/>
      </w:pPr>
      <w:r>
        <w:t xml:space="preserve">While each of these </w:t>
      </w:r>
      <w:r w:rsidR="002C67BE">
        <w:t>frameworks</w:t>
      </w:r>
      <w:r>
        <w:t xml:space="preserve"> </w:t>
      </w:r>
      <w:r w:rsidR="002C67BE">
        <w:t xml:space="preserve">possesses </w:t>
      </w:r>
      <w:r w:rsidR="00903981">
        <w:t xml:space="preserve">a </w:t>
      </w:r>
      <w:r w:rsidR="002C67BE">
        <w:t>similar structure</w:t>
      </w:r>
      <w:r>
        <w:t>, they differ in terms of prescriptive guidance versus generalizations.</w:t>
      </w:r>
      <w:r w:rsidR="00E211DD">
        <w:t xml:space="preserve">  </w:t>
      </w:r>
      <w:r>
        <w:t>For instance, ISO2700x has stringent requirements that necessitate a cultural shift for many businesses, and this is difficult to scale to an enterprise environment</w:t>
      </w:r>
      <w:sdt>
        <w:sdtPr>
          <w:id w:val="2115399420"/>
          <w:citation/>
        </w:sdtPr>
        <w:sdtContent>
          <w:r>
            <w:fldChar w:fldCharType="begin"/>
          </w:r>
          <w:r>
            <w:instrText xml:space="preserve"> CITATION Gil11 \l 1033 </w:instrText>
          </w:r>
          <w:r>
            <w:fldChar w:fldCharType="separate"/>
          </w:r>
          <w:r w:rsidR="00F03455">
            <w:rPr>
              <w:noProof/>
            </w:rPr>
            <w:t xml:space="preserve"> (Gillies, 2011)</w:t>
          </w:r>
          <w:r>
            <w:fldChar w:fldCharType="end"/>
          </w:r>
        </w:sdtContent>
      </w:sdt>
      <w:r>
        <w:t>.  In contrast, the NIST Cybersecurity Framework describes various common scenarios then offers a good, better, best approach for the implementors</w:t>
      </w:r>
      <w:sdt>
        <w:sdtPr>
          <w:id w:val="613792373"/>
          <w:citation/>
        </w:sdtPr>
        <w:sdtContent>
          <w:r>
            <w:fldChar w:fldCharType="begin"/>
          </w:r>
          <w:r>
            <w:instrText xml:space="preserve">CITATION Gro18 \l 1033 </w:instrText>
          </w:r>
          <w:r>
            <w:fldChar w:fldCharType="separate"/>
          </w:r>
          <w:r w:rsidR="00F03455">
            <w:rPr>
              <w:noProof/>
            </w:rPr>
            <w:t xml:space="preserve"> (Grohmann, 2018)</w:t>
          </w:r>
          <w:r>
            <w:fldChar w:fldCharType="end"/>
          </w:r>
        </w:sdtContent>
      </w:sdt>
      <w:r>
        <w:t>.  While there is a time and place for everything, introducing schedule risk to inflight commitments through abrupt policy change will always encounter political push back</w:t>
      </w:r>
      <w:sdt>
        <w:sdtPr>
          <w:id w:val="1326631952"/>
          <w:citation/>
        </w:sdtPr>
        <w:sdtContent>
          <w:r>
            <w:fldChar w:fldCharType="begin"/>
          </w:r>
          <w:r w:rsidR="00F03455">
            <w:instrText xml:space="preserve">CITATION Dai19 \l 1033 </w:instrText>
          </w:r>
          <w:r>
            <w:fldChar w:fldCharType="separate"/>
          </w:r>
          <w:r w:rsidR="00F03455">
            <w:rPr>
              <w:noProof/>
            </w:rPr>
            <w:t xml:space="preserve"> (Dai Zovi, 2019)</w:t>
          </w:r>
          <w:r>
            <w:fldChar w:fldCharType="end"/>
          </w:r>
        </w:sdtContent>
      </w:sdt>
      <w:r>
        <w:t>.</w:t>
      </w:r>
      <w:r w:rsidRPr="00FE5CC8">
        <w:t xml:space="preserve"> </w:t>
      </w:r>
      <w:r>
        <w:t xml:space="preserve">  </w:t>
      </w:r>
      <w:r>
        <w:t xml:space="preserve">For many businesses like HTM, having the flexibility to adopt a framework and then iteratively mature their processes </w:t>
      </w:r>
      <w:r>
        <w:t>over time reduces that risk</w:t>
      </w:r>
      <w:r w:rsidR="00903981">
        <w:t xml:space="preserve"> and</w:t>
      </w:r>
      <w:r>
        <w:t xml:space="preserve"> </w:t>
      </w:r>
      <w:r>
        <w:t>is</w:t>
      </w:r>
      <w:r w:rsidR="00903981">
        <w:t xml:space="preserve"> an</w:t>
      </w:r>
      <w:r>
        <w:t xml:space="preserve"> easier sell to leadership.</w:t>
      </w:r>
      <w:r>
        <w:t xml:space="preserve">  </w:t>
      </w:r>
      <w:r w:rsidR="008312A7">
        <w:t xml:space="preserve">Arguably, </w:t>
      </w:r>
      <w:r>
        <w:t xml:space="preserve">this is not the utopian </w:t>
      </w:r>
      <w:r w:rsidR="008312A7">
        <w:t xml:space="preserve">course </w:t>
      </w:r>
      <w:r>
        <w:t>during the interim</w:t>
      </w:r>
      <w:r w:rsidR="008312A7">
        <w:t xml:space="preserve">. However, movement </w:t>
      </w:r>
      <w:r>
        <w:t>in the right direction is better than no action.</w:t>
      </w:r>
    </w:p>
    <w:p w14:paraId="35C59B6A" w14:textId="520346E5" w:rsidR="00E211DD" w:rsidRDefault="00E211DD" w:rsidP="00E211DD">
      <w:pPr>
        <w:pStyle w:val="Heading2"/>
      </w:pPr>
      <w:bookmarkStart w:id="7" w:name="_Toc39424893"/>
      <w:r>
        <w:t>Considering Framework Influencers</w:t>
      </w:r>
      <w:bookmarkEnd w:id="7"/>
    </w:p>
    <w:p w14:paraId="62C39BCD" w14:textId="719DACC6" w:rsidR="00E211DD" w:rsidRPr="00E211DD" w:rsidRDefault="00E211DD" w:rsidP="00E211DD">
      <w:r>
        <w:tab/>
      </w:r>
      <w:r w:rsidR="00F01C28">
        <w:t xml:space="preserve">Frameworks like (COBIT)—Control Objective for Information and Information Related Technologies—does not officially use academic theory, but does contain </w:t>
      </w:r>
      <w:r w:rsidR="00F01C28">
        <w:t>many concepts from Principal-Agent Theory (PAT) and Stakeholder Theory (SHT)</w:t>
      </w:r>
      <w:r w:rsidR="00F01C28">
        <w:t xml:space="preserve"> to describe the everyday successes from practitioners</w:t>
      </w:r>
      <w:sdt>
        <w:sdtPr>
          <w:id w:val="145867051"/>
          <w:citation/>
        </w:sdtPr>
        <w:sdtContent>
          <w:r w:rsidR="00F01C28">
            <w:fldChar w:fldCharType="begin"/>
          </w:r>
          <w:r w:rsidR="00F01C28">
            <w:instrText xml:space="preserve"> CITATION Dev15 \l 1033 </w:instrText>
          </w:r>
          <w:r w:rsidR="00F01C28">
            <w:fldChar w:fldCharType="separate"/>
          </w:r>
          <w:r w:rsidR="00F03455">
            <w:rPr>
              <w:noProof/>
            </w:rPr>
            <w:t xml:space="preserve"> (Devos &amp; Van de Ginste, 2015)</w:t>
          </w:r>
          <w:r w:rsidR="00F01C28">
            <w:fldChar w:fldCharType="end"/>
          </w:r>
        </w:sdtContent>
      </w:sdt>
      <w:r w:rsidR="00F01C28">
        <w:t>.  This outcome makes sense, given that practitioners are typically working within corporate settings where PAT and SHT are typical</w:t>
      </w:r>
      <w:r w:rsidR="00903981">
        <w:t>.  Also</w:t>
      </w:r>
      <w:r w:rsidR="00603C7E">
        <w:t>,</w:t>
      </w:r>
      <w:r w:rsidR="00903981">
        <w:t xml:space="preserve"> </w:t>
      </w:r>
      <w:r w:rsidR="00F01C28">
        <w:t>security engineers culturally tend to gravitate toward hands-on solutions rather than formal academic theory</w:t>
      </w:r>
      <w:sdt>
        <w:sdtPr>
          <w:id w:val="-622306669"/>
          <w:citation/>
        </w:sdtPr>
        <w:sdtContent>
          <w:r w:rsidR="00F01C28">
            <w:fldChar w:fldCharType="begin"/>
          </w:r>
          <w:r w:rsidR="00F01C28">
            <w:instrText xml:space="preserve"> CITATION Shi18 \l 1033 </w:instrText>
          </w:r>
          <w:r w:rsidR="00F01C28">
            <w:fldChar w:fldCharType="separate"/>
          </w:r>
          <w:r w:rsidR="00F03455">
            <w:rPr>
              <w:noProof/>
            </w:rPr>
            <w:t xml:space="preserve"> (Shires, 2018)</w:t>
          </w:r>
          <w:r w:rsidR="00F01C28">
            <w:fldChar w:fldCharType="end"/>
          </w:r>
        </w:sdtContent>
      </w:sdt>
      <w:r w:rsidR="00F01C28">
        <w:t xml:space="preserve">.  Comparably, RMF comes from the department of defense, which requires rigorous controls access that enforces access to information.  The standard </w:t>
      </w:r>
      <w:r w:rsidR="004B7DA9">
        <w:t xml:space="preserve">can be </w:t>
      </w:r>
      <w:r w:rsidR="00F01C28">
        <w:t>paired with the Operational Test Program Set (OTPS) to provide a checklist of assertions and expectations of acquired products</w:t>
      </w:r>
      <w:sdt>
        <w:sdtPr>
          <w:id w:val="-969975187"/>
          <w:citation/>
        </w:sdtPr>
        <w:sdtContent>
          <w:r w:rsidR="00F01C28">
            <w:fldChar w:fldCharType="begin"/>
          </w:r>
          <w:r w:rsidR="00F03455">
            <w:instrText xml:space="preserve">CITATION Com16 \l 1033 </w:instrText>
          </w:r>
          <w:r w:rsidR="00F01C28">
            <w:fldChar w:fldCharType="separate"/>
          </w:r>
          <w:r w:rsidR="00F03455">
            <w:rPr>
              <w:noProof/>
            </w:rPr>
            <w:t xml:space="preserve"> (Combass &amp; Shilling, 2016)</w:t>
          </w:r>
          <w:r w:rsidR="00F01C28">
            <w:fldChar w:fldCharType="end"/>
          </w:r>
        </w:sdtContent>
      </w:sdt>
      <w:r w:rsidR="00F01C28">
        <w:t xml:space="preserve">.  While there are </w:t>
      </w:r>
      <w:r w:rsidR="00F01C28">
        <w:lastRenderedPageBreak/>
        <w:t xml:space="preserve">strengths to both solutions, it is unlikely that either addresses all scenarios equally.  </w:t>
      </w:r>
      <w:proofErr w:type="gramStart"/>
      <w:r w:rsidR="00F01C28">
        <w:t>Similar to</w:t>
      </w:r>
      <w:proofErr w:type="gramEnd"/>
      <w:r w:rsidR="00F01C28">
        <w:t xml:space="preserve"> NIST versus ISO, there needs to be considerations around the organizational culture and the degree of expected formality.</w:t>
      </w:r>
    </w:p>
    <w:p w14:paraId="731C4628" w14:textId="5CE22B8F" w:rsidR="00A44932" w:rsidRDefault="00A44932" w:rsidP="00562CF7">
      <w:pPr>
        <w:pStyle w:val="Heading2"/>
      </w:pPr>
      <w:bookmarkStart w:id="8" w:name="_Toc39424894"/>
      <w:r>
        <w:t>Appropriate laws</w:t>
      </w:r>
      <w:bookmarkEnd w:id="8"/>
    </w:p>
    <w:p w14:paraId="45F19FE3" w14:textId="0C8F6575" w:rsidR="00894B87" w:rsidRPr="00CC79FE" w:rsidRDefault="00440423" w:rsidP="00CC79FE">
      <w:r>
        <w:tab/>
        <w:t xml:space="preserve">In specific situations, the business needs to choose certain standards and maturity levels to meet </w:t>
      </w:r>
      <w:r w:rsidR="004B7DA9">
        <w:t xml:space="preserve">the </w:t>
      </w:r>
      <w:r>
        <w:t>expectations of regulat</w:t>
      </w:r>
      <w:r w:rsidR="004B7DA9">
        <w:t>ors</w:t>
      </w:r>
      <w:r>
        <w:t xml:space="preserve">, customers, and partners.  Before Hi-Tech can access the European market, they need to demonstrate their products and services meet the needs of the General Data Protection Regulation (GDPR).  This law provides legislatures with the teeth they require to come after any organization that does not </w:t>
      </w:r>
      <w:r w:rsidR="004B7DA9">
        <w:t xml:space="preserve">(1) </w:t>
      </w:r>
      <w:r>
        <w:t xml:space="preserve">respect user privacy or </w:t>
      </w:r>
      <w:r w:rsidR="004B7DA9">
        <w:t xml:space="preserve">(2) </w:t>
      </w:r>
      <w:r>
        <w:t>recognizes that user data belongs to that person</w:t>
      </w:r>
      <w:sdt>
        <w:sdtPr>
          <w:id w:val="-369534346"/>
          <w:citation/>
        </w:sdtPr>
        <w:sdtContent>
          <w:r>
            <w:fldChar w:fldCharType="begin"/>
          </w:r>
          <w:r w:rsidR="00F03455">
            <w:instrText xml:space="preserve">CITATION Kov184 \l 1033 </w:instrText>
          </w:r>
          <w:r>
            <w:fldChar w:fldCharType="separate"/>
          </w:r>
          <w:r w:rsidR="00F03455">
            <w:rPr>
              <w:noProof/>
            </w:rPr>
            <w:t xml:space="preserve"> (Kovacs, 2018)</w:t>
          </w:r>
          <w:r>
            <w:fldChar w:fldCharType="end"/>
          </w:r>
        </w:sdtContent>
      </w:sdt>
      <w:r>
        <w:t>.  Outside of the digital space, manufacturing organization</w:t>
      </w:r>
      <w:r w:rsidR="004B7DA9">
        <w:t>s</w:t>
      </w:r>
      <w:r>
        <w:t xml:space="preserve"> also needs to meet the </w:t>
      </w:r>
      <w:r w:rsidR="004B7DA9">
        <w:t xml:space="preserve">employee safety </w:t>
      </w:r>
      <w:r>
        <w:t>standards of the Occupational Safety and Health Administration (OSHA</w:t>
      </w:r>
      <w:r w:rsidR="004B7DA9">
        <w:t>)</w:t>
      </w:r>
      <w:r>
        <w:t>.  Legal expectations also apply to the final product in terms of being socially responsible (e.g., environmental) and reliable (e.g., acceptable service level).  When Volkswagen failed to meet these social contracts, there was a backlash of class action lawsuits and fines that total excess of thirteen billion dollars</w:t>
      </w:r>
      <w:sdt>
        <w:sdtPr>
          <w:id w:val="1791855162"/>
          <w:citation/>
        </w:sdtPr>
        <w:sdtContent>
          <w:r>
            <w:fldChar w:fldCharType="begin"/>
          </w:r>
          <w:r>
            <w:instrText xml:space="preserve"> CITATION Fer19 \l 1033 </w:instrText>
          </w:r>
          <w:r>
            <w:fldChar w:fldCharType="separate"/>
          </w:r>
          <w:r w:rsidR="00F03455">
            <w:rPr>
              <w:noProof/>
            </w:rPr>
            <w:t xml:space="preserve"> (Ferris &amp; Rosenfeld, 2019)</w:t>
          </w:r>
          <w:r>
            <w:fldChar w:fldCharType="end"/>
          </w:r>
        </w:sdtContent>
      </w:sdt>
      <w:r>
        <w:t>.  Hi-Tech needs to avoid these penalties by working with legal counsel, operating in a socially responsible manner, and purchasing insurance.</w:t>
      </w:r>
      <w:r w:rsidR="00CC79FE">
        <w:t xml:space="preserve">  </w:t>
      </w:r>
      <w:proofErr w:type="gramStart"/>
      <w:r w:rsidR="00894B87">
        <w:t>Many</w:t>
      </w:r>
      <w:proofErr w:type="gramEnd"/>
      <w:r w:rsidR="00894B87">
        <w:t xml:space="preserve"> frameworks and standards provide puzzle pieces and expect the organization to make them fit.  This approach can require the </w:t>
      </w:r>
      <w:r w:rsidR="004B7DA9">
        <w:t>business</w:t>
      </w:r>
      <w:r w:rsidR="00894B87">
        <w:t xml:space="preserve"> to get out the scissors and mutilate either </w:t>
      </w:r>
      <w:r w:rsidR="004B7DA9">
        <w:t xml:space="preserve">(a) </w:t>
      </w:r>
      <w:r w:rsidR="00894B87">
        <w:t xml:space="preserve">their existing processes or </w:t>
      </w:r>
      <w:r w:rsidR="004B7DA9">
        <w:t xml:space="preserve">(b) </w:t>
      </w:r>
      <w:r w:rsidR="00894B87">
        <w:t xml:space="preserve">the standard itself.  </w:t>
      </w:r>
      <w:r w:rsidR="00894B87">
        <w:t>However</w:t>
      </w:r>
      <w:r w:rsidR="00894B87">
        <w:t>, the objective of a framework is to meet the needs of the organization, not the other way.  This perspective most closely aligns with the NIST Cybersecurity Framework and its good, better, best mentality through risk profiles.</w:t>
      </w:r>
    </w:p>
    <w:p w14:paraId="27E4B615" w14:textId="77777777" w:rsidR="00CC79FE" w:rsidRDefault="00CC79FE">
      <w:pPr>
        <w:rPr>
          <w:b/>
        </w:rPr>
      </w:pPr>
      <w:r>
        <w:br w:type="page"/>
      </w:r>
    </w:p>
    <w:p w14:paraId="6A730289" w14:textId="0AE16E48" w:rsidR="00894B87" w:rsidRDefault="00A44932" w:rsidP="00894B87">
      <w:pPr>
        <w:pStyle w:val="Heading1"/>
      </w:pPr>
      <w:bookmarkStart w:id="9" w:name="_Toc39424895"/>
      <w:r>
        <w:lastRenderedPageBreak/>
        <w:t>Us</w:t>
      </w:r>
      <w:r w:rsidR="00A65A10">
        <w:t>ing</w:t>
      </w:r>
      <w:r>
        <w:t xml:space="preserve"> </w:t>
      </w:r>
      <w:r w:rsidR="00562CF7">
        <w:t xml:space="preserve">an </w:t>
      </w:r>
      <w:r>
        <w:t>established framework</w:t>
      </w:r>
      <w:bookmarkEnd w:id="9"/>
    </w:p>
    <w:p w14:paraId="5AE6A819" w14:textId="437FB5D0" w:rsidR="0083064D" w:rsidRDefault="0083064D" w:rsidP="0083064D">
      <w:r>
        <w:tab/>
        <w:t xml:space="preserve">Hi-Tech needs to use the chosen framework to protect the corporate resources and end-user privacy, in a manner that aligns with regulatory and social norms.  These scenarios include data governance, vendor management, cost management, </w:t>
      </w:r>
      <w:r>
        <w:t>organizational culture</w:t>
      </w:r>
      <w:r>
        <w:t>, and artificial intelligence</w:t>
      </w:r>
      <w:sdt>
        <w:sdtPr>
          <w:id w:val="631214832"/>
          <w:citation/>
        </w:sdtPr>
        <w:sdtContent>
          <w:r>
            <w:fldChar w:fldCharType="begin"/>
          </w:r>
          <w:r>
            <w:instrText xml:space="preserve"> CITATION Lan18 \l 1033 </w:instrText>
          </w:r>
          <w:r>
            <w:fldChar w:fldCharType="separate"/>
          </w:r>
          <w:r w:rsidR="00F03455">
            <w:rPr>
              <w:noProof/>
            </w:rPr>
            <w:t xml:space="preserve"> (Lanz, 2018)</w:t>
          </w:r>
          <w:r>
            <w:fldChar w:fldCharType="end"/>
          </w:r>
        </w:sdtContent>
      </w:sdt>
      <w:r>
        <w:t>.  For each of these cross-cutting concerns, a feedback loop must apply reasonable protections and mechanisms to detect, respond, and recover when those mitigations fail</w:t>
      </w:r>
      <w:sdt>
        <w:sdtPr>
          <w:id w:val="1381901371"/>
          <w:citation/>
        </w:sdtPr>
        <w:sdtContent>
          <w:r>
            <w:fldChar w:fldCharType="begin"/>
          </w:r>
          <w:r>
            <w:instrText xml:space="preserve"> CITATION Gro18 \l 1033 </w:instrText>
          </w:r>
          <w:r>
            <w:fldChar w:fldCharType="separate"/>
          </w:r>
          <w:r w:rsidR="00F03455">
            <w:rPr>
              <w:noProof/>
            </w:rPr>
            <w:t xml:space="preserve"> (Grohmann, 2018)</w:t>
          </w:r>
          <w:r>
            <w:fldChar w:fldCharType="end"/>
          </w:r>
        </w:sdtContent>
      </w:sdt>
      <w:r>
        <w:t xml:space="preserve">.  When constraining risk within the guidance of the framework, it is not </w:t>
      </w:r>
      <w:proofErr w:type="gramStart"/>
      <w:r>
        <w:t>sufficient</w:t>
      </w:r>
      <w:proofErr w:type="gramEnd"/>
      <w:r>
        <w:t xml:space="preserve"> to set-it-and-forget. Instead, periodic assessments need to revisit the security decisions and confirm they still meet the maturity standards of Hi-Tech</w:t>
      </w:r>
      <w:sdt>
        <w:sdtPr>
          <w:id w:val="783777388"/>
          <w:citation/>
        </w:sdtPr>
        <w:sdtContent>
          <w:r>
            <w:fldChar w:fldCharType="begin"/>
          </w:r>
          <w:r w:rsidR="00F03455">
            <w:instrText xml:space="preserve">CITATION Com16 \l 1033 </w:instrText>
          </w:r>
          <w:r>
            <w:fldChar w:fldCharType="separate"/>
          </w:r>
          <w:r w:rsidR="00F03455">
            <w:rPr>
              <w:noProof/>
            </w:rPr>
            <w:t xml:space="preserve"> (Combass &amp; Shilling, 2016)</w:t>
          </w:r>
          <w:r>
            <w:fldChar w:fldCharType="end"/>
          </w:r>
        </w:sdtContent>
      </w:sdt>
      <w:r>
        <w:t>.  For instance, using the 56-bit Data Encryption Standard (DES) to protect the confidentiality of documents was an industry-wide standard.  However, as M</w:t>
      </w:r>
      <w:r w:rsidRPr="0083064D">
        <w:t>oore</w:t>
      </w:r>
      <w:r w:rsidR="00343A3B">
        <w:t>'</w:t>
      </w:r>
      <w:r w:rsidRPr="0083064D">
        <w:t>s law</w:t>
      </w:r>
      <w:r>
        <w:t xml:space="preserve"> took hold and the </w:t>
      </w:r>
      <w:r w:rsidR="005A1847">
        <w:t xml:space="preserve">more performant </w:t>
      </w:r>
      <w:r>
        <w:t xml:space="preserve">computing </w:t>
      </w:r>
      <w:r w:rsidR="005A1847">
        <w:t xml:space="preserve">resources rose </w:t>
      </w:r>
      <w:r>
        <w:t xml:space="preserve">caused a </w:t>
      </w:r>
      <w:proofErr w:type="spellStart"/>
      <w:r>
        <w:t>supersedence</w:t>
      </w:r>
      <w:proofErr w:type="spellEnd"/>
      <w:r>
        <w:t xml:space="preserve"> with Message Digest v5 (MD5), then Secure Hashing Algorithm (SHA</w:t>
      </w:r>
      <w:r w:rsidR="00A70699">
        <w:t>-3</w:t>
      </w:r>
      <w:r>
        <w:t>).  Similar changes occur across the value-chain as the attack surface continues to evolve.  While the term cybersecurity tends to draw the mind toward computer systems, it is critical to remember that computers are only a tool to execute a business process.  Replacing the technology with pen and paper would not make Hi-Tech</w:t>
      </w:r>
      <w:r w:rsidR="00343A3B">
        <w:t>'</w:t>
      </w:r>
      <w:r>
        <w:t>s intellectual proprietary any less valuable, nor does it discourage attempts at forced acquisition</w:t>
      </w:r>
      <w:sdt>
        <w:sdtPr>
          <w:id w:val="493233150"/>
          <w:citation/>
        </w:sdtPr>
        <w:sdtContent>
          <w:r>
            <w:fldChar w:fldCharType="begin"/>
          </w:r>
          <w:r w:rsidR="00F03455">
            <w:instrText xml:space="preserve">CITATION Ste18 \l 1033 </w:instrText>
          </w:r>
          <w:r>
            <w:fldChar w:fldCharType="separate"/>
          </w:r>
          <w:r w:rsidR="00F03455">
            <w:rPr>
              <w:noProof/>
            </w:rPr>
            <w:t xml:space="preserve"> (Stevens, 2018)</w:t>
          </w:r>
          <w:r>
            <w:fldChar w:fldCharType="end"/>
          </w:r>
        </w:sdtContent>
      </w:sdt>
      <w:r>
        <w:t>.  Hi-Tech needs to apply the framework equally across people and process to constrain the risk of negligence and malicious intent.  Analogous to encryption standards, employees change and evolve too.  Perhaps the feedback loop needs to assess employee privileges on a regular cadence, such as part of an annual review.  If that team member is going through a divorce, financially bankrupt, or similar life-event, then maybe the potential blast radius of their decisions necessitates further containment.</w:t>
      </w:r>
    </w:p>
    <w:bookmarkStart w:id="10" w:name="_Toc39424896" w:displacedByCustomXml="next"/>
    <w:sdt>
      <w:sdtPr>
        <w:id w:val="63537041"/>
        <w:docPartObj>
          <w:docPartGallery w:val="Bibliographies"/>
          <w:docPartUnique/>
        </w:docPartObj>
      </w:sdtPr>
      <w:sdtEndPr>
        <w:rPr>
          <w:b w:val="0"/>
        </w:rPr>
      </w:sdtEndPr>
      <w:sdtContent>
        <w:p w14:paraId="71AD6372" w14:textId="2271C6CF" w:rsidR="00343A3B" w:rsidRPr="006337A0" w:rsidRDefault="00343A3B">
          <w:pPr>
            <w:pStyle w:val="Heading1"/>
            <w:rPr>
              <w:b w:val="0"/>
              <w:bCs/>
            </w:rPr>
          </w:pPr>
          <w:r w:rsidRPr="006337A0">
            <w:rPr>
              <w:b w:val="0"/>
              <w:bCs/>
            </w:rPr>
            <w:t>References</w:t>
          </w:r>
          <w:bookmarkEnd w:id="10"/>
        </w:p>
        <w:sdt>
          <w:sdtPr>
            <w:id w:val="-573587230"/>
            <w:bibliography/>
          </w:sdtPr>
          <w:sdtContent>
            <w:p w14:paraId="39A69685" w14:textId="4A3A1C79" w:rsidR="00F03455" w:rsidRDefault="00343A3B" w:rsidP="00F03455">
              <w:pPr>
                <w:pStyle w:val="Bibliography"/>
                <w:ind w:left="720" w:hanging="720"/>
                <w:rPr>
                  <w:noProof/>
                </w:rPr>
              </w:pPr>
              <w:r>
                <w:fldChar w:fldCharType="begin"/>
              </w:r>
              <w:r>
                <w:instrText xml:space="preserve"> BIBLIOGRAPHY </w:instrText>
              </w:r>
              <w:r>
                <w:fldChar w:fldCharType="separate"/>
              </w:r>
              <w:r w:rsidR="00F03455">
                <w:rPr>
                  <w:noProof/>
                </w:rPr>
                <w:t>Baskerville, R., Rowe, F., &amp; Wolff, F. (2</w:t>
              </w:r>
              <w:r w:rsidR="004B78E1">
                <w:rPr>
                  <w:noProof/>
                </w:rPr>
                <w:t>0</w:t>
              </w:r>
              <w:r w:rsidR="00F03455">
                <w:rPr>
                  <w:noProof/>
                </w:rPr>
                <w:t xml:space="preserve">18). Integration of information systems and cybersecurity countermeasures. </w:t>
              </w:r>
              <w:r w:rsidR="00F03455">
                <w:rPr>
                  <w:i/>
                  <w:iCs/>
                  <w:noProof/>
                </w:rPr>
                <w:t>SIGMIS Database. Volume 49</w:t>
              </w:r>
              <w:r w:rsidR="00F03455">
                <w:rPr>
                  <w:noProof/>
                </w:rPr>
                <w:t>, 33-52. doi:https://doi.org/10.1145/3184444.3184448.</w:t>
              </w:r>
            </w:p>
            <w:p w14:paraId="46E941CF" w14:textId="77777777" w:rsidR="00F03455" w:rsidRDefault="00F03455" w:rsidP="00F03455">
              <w:pPr>
                <w:pStyle w:val="Bibliography"/>
                <w:ind w:left="720" w:hanging="720"/>
                <w:rPr>
                  <w:noProof/>
                </w:rPr>
              </w:pPr>
              <w:r>
                <w:rPr>
                  <w:noProof/>
                </w:rPr>
                <w:t xml:space="preserve">Combass, T., &amp; Shilling, A. (2016). Integrating cybersecurity into NAVAIR OTPS acquisition. </w:t>
              </w:r>
              <w:r>
                <w:rPr>
                  <w:i/>
                  <w:iCs/>
                  <w:noProof/>
                </w:rPr>
                <w:t>IEEE AUTOTESTCON</w:t>
              </w:r>
              <w:r>
                <w:rPr>
                  <w:noProof/>
                </w:rPr>
                <w:t>, (pp. 1-5). Anaheim, CA. doi:https://doi-org.proxy1.ncu.edu/10.1109/AUTEST.2016.7589632</w:t>
              </w:r>
            </w:p>
            <w:p w14:paraId="7D8E85B3" w14:textId="77777777" w:rsidR="00F03455" w:rsidRDefault="00F03455" w:rsidP="00F03455">
              <w:pPr>
                <w:pStyle w:val="Bibliography"/>
                <w:ind w:left="720" w:hanging="720"/>
                <w:rPr>
                  <w:noProof/>
                </w:rPr>
              </w:pPr>
              <w:r>
                <w:rPr>
                  <w:noProof/>
                </w:rPr>
                <w:t xml:space="preserve">Dai Zovi, D. (2019). Every Security Team is a Software Team Now. </w:t>
              </w:r>
              <w:r>
                <w:rPr>
                  <w:i/>
                  <w:iCs/>
                  <w:noProof/>
                </w:rPr>
                <w:t>Blackhat USA.</w:t>
              </w:r>
              <w:r>
                <w:rPr>
                  <w:noProof/>
                </w:rPr>
                <w:t xml:space="preserve"> Black Hat. Retrieved May 2020, from https://www.youtube.com/watch?v=8armE3Wz0jk</w:t>
              </w:r>
            </w:p>
            <w:p w14:paraId="5FAC2C9F" w14:textId="445B44D1" w:rsidR="00F03455" w:rsidRDefault="00F03455" w:rsidP="00F03455">
              <w:pPr>
                <w:pStyle w:val="Bibliography"/>
                <w:ind w:left="720" w:hanging="720"/>
                <w:rPr>
                  <w:noProof/>
                </w:rPr>
              </w:pPr>
              <w:r>
                <w:rPr>
                  <w:noProof/>
                </w:rPr>
                <w:t xml:space="preserve">Devos, J., &amp; Van de Ginste, K. (2015). Towards a Theoretical Foundation of IT Governance - The COBIT 5 case. </w:t>
              </w:r>
              <w:r>
                <w:rPr>
                  <w:i/>
                  <w:iCs/>
                  <w:noProof/>
                </w:rPr>
                <w:t>Electronic Journal of Information Systems Evaluation, 18</w:t>
              </w:r>
              <w:r>
                <w:rPr>
                  <w:noProof/>
                </w:rPr>
                <w:t>(2). Retrieved May 2nd, 2020, from https://search-ebscohost-com.proxy1.ncu.edu/login.aspx?direct=true&amp;db=edb&amp;AN=109261833&amp;site=eds-live</w:t>
              </w:r>
            </w:p>
            <w:p w14:paraId="6B38AEB2" w14:textId="7FEED2C3" w:rsidR="00F03455" w:rsidRDefault="00F03455" w:rsidP="00F03455">
              <w:pPr>
                <w:pStyle w:val="Bibliography"/>
                <w:ind w:left="720" w:hanging="720"/>
                <w:rPr>
                  <w:noProof/>
                </w:rPr>
              </w:pPr>
              <w:r>
                <w:rPr>
                  <w:noProof/>
                </w:rPr>
                <w:t xml:space="preserve">FBI. (2015, July 23rd). </w:t>
              </w:r>
              <w:r>
                <w:rPr>
                  <w:i/>
                  <w:iCs/>
                  <w:noProof/>
                </w:rPr>
                <w:t>The Company Man: Protecting America's secrets</w:t>
              </w:r>
              <w:r>
                <w:rPr>
                  <w:noProof/>
                </w:rPr>
                <w:t>. Retrieved from YouTube: https://www.youtube.com/watch?v=Gy_6HwujAtU</w:t>
              </w:r>
            </w:p>
            <w:p w14:paraId="7892C1D2" w14:textId="34D147DC" w:rsidR="00F03455" w:rsidRDefault="00F03455" w:rsidP="00F03455">
              <w:pPr>
                <w:pStyle w:val="Bibliography"/>
                <w:ind w:left="720" w:hanging="720"/>
                <w:rPr>
                  <w:noProof/>
                </w:rPr>
              </w:pPr>
              <w:r>
                <w:rPr>
                  <w:noProof/>
                </w:rPr>
                <w:t xml:space="preserve">Ferris, R., &amp; Rosenfeld, E. (2019, March 15th). </w:t>
              </w:r>
              <w:r>
                <w:rPr>
                  <w:i/>
                  <w:iCs/>
                  <w:noProof/>
                </w:rPr>
                <w:t>SEC charges Volkswagen and its former CEO with defrauding investors</w:t>
              </w:r>
              <w:r>
                <w:rPr>
                  <w:noProof/>
                </w:rPr>
                <w:t>. Retrieved May 3rd, 2020, from CNBC: https://www.cnbc.com/2019/03/15/dieselgate-sec-says-volkswagen-perpetrated-fraud-lied-to-investors.html</w:t>
              </w:r>
            </w:p>
            <w:p w14:paraId="31228981" w14:textId="460A6F62" w:rsidR="00F03455" w:rsidRDefault="00F03455" w:rsidP="00F03455">
              <w:pPr>
                <w:pStyle w:val="Bibliography"/>
                <w:ind w:left="720" w:hanging="720"/>
                <w:rPr>
                  <w:noProof/>
                </w:rPr>
              </w:pPr>
              <w:r>
                <w:rPr>
                  <w:noProof/>
                </w:rPr>
                <w:t xml:space="preserve">Gillies, A. (2011). Improving the quality of information security management systems with ISO27000. </w:t>
              </w:r>
              <w:r>
                <w:rPr>
                  <w:i/>
                  <w:iCs/>
                  <w:noProof/>
                </w:rPr>
                <w:t>TQM Journal, 23</w:t>
              </w:r>
              <w:r>
                <w:rPr>
                  <w:noProof/>
                </w:rPr>
                <w:t>(4), 367-376. doi:http://dx.doi.org.proxy1.ncu.edu/10.1108/17542731111139455</w:t>
              </w:r>
            </w:p>
            <w:p w14:paraId="1501E937" w14:textId="5BBEA560" w:rsidR="00F03455" w:rsidRDefault="00F03455" w:rsidP="00F03455">
              <w:pPr>
                <w:pStyle w:val="Bibliography"/>
                <w:ind w:left="720" w:hanging="720"/>
                <w:rPr>
                  <w:noProof/>
                </w:rPr>
              </w:pPr>
              <w:r>
                <w:rPr>
                  <w:noProof/>
                </w:rPr>
                <w:lastRenderedPageBreak/>
                <w:t xml:space="preserve">Grohmann, A. (2018). Evolution of the cybersecurity framework. </w:t>
              </w:r>
              <w:r>
                <w:rPr>
                  <w:i/>
                  <w:iCs/>
                  <w:noProof/>
                </w:rPr>
                <w:t>ISSA Journal, 16</w:t>
              </w:r>
              <w:r>
                <w:rPr>
                  <w:noProof/>
                </w:rPr>
                <w:t>(7), 14-18. Retrieved May 2nd, 2020, from https://search-ebscohost-com.proxy1.ncu.edu/login.aspx?direct=true&amp;db=tsh&amp;AN=130572679&amp;site=eds-live</w:t>
              </w:r>
            </w:p>
            <w:p w14:paraId="055CA42C" w14:textId="0159C2BC" w:rsidR="00F03455" w:rsidRDefault="00F03455" w:rsidP="00F03455">
              <w:pPr>
                <w:pStyle w:val="Bibliography"/>
                <w:ind w:left="720" w:hanging="720"/>
                <w:rPr>
                  <w:noProof/>
                </w:rPr>
              </w:pPr>
              <w:r>
                <w:rPr>
                  <w:noProof/>
                </w:rPr>
                <w:t xml:space="preserve">Kovacs. (2018). Cyber Security Policy and Strategy in the European Union and NATO. </w:t>
              </w:r>
              <w:r>
                <w:rPr>
                  <w:i/>
                  <w:iCs/>
                  <w:noProof/>
                </w:rPr>
                <w:t>Revista Academiei Fortelor Te</w:t>
              </w:r>
              <w:r w:rsidR="00A164E2">
                <w:rPr>
                  <w:i/>
                  <w:iCs/>
                  <w:noProof/>
                </w:rPr>
                <w:t>r</w:t>
              </w:r>
              <w:r>
                <w:rPr>
                  <w:i/>
                  <w:iCs/>
                  <w:noProof/>
                </w:rPr>
                <w:t>restre, 23</w:t>
              </w:r>
              <w:r>
                <w:rPr>
                  <w:noProof/>
                </w:rPr>
                <w:t>(1), 16-24. Retrieved March 26th, 2020, from ttps://search-ebscohost-com.proxy1.ncu.edu/login.aspx?direct=true&amp;db=a9h&amp;AN=128789540&amp;site=eds-live</w:t>
              </w:r>
            </w:p>
            <w:p w14:paraId="4E12E082" w14:textId="6B904CF5" w:rsidR="00F03455" w:rsidRDefault="00F03455" w:rsidP="00F03455">
              <w:pPr>
                <w:pStyle w:val="Bibliography"/>
                <w:ind w:left="720" w:hanging="720"/>
                <w:rPr>
                  <w:noProof/>
                </w:rPr>
              </w:pPr>
              <w:r>
                <w:rPr>
                  <w:noProof/>
                </w:rPr>
                <w:t xml:space="preserve">Kovacs, L. (2018). National cybersecurity as the cornerstone of national security. </w:t>
              </w:r>
              <w:r>
                <w:rPr>
                  <w:i/>
                  <w:iCs/>
                  <w:noProof/>
                </w:rPr>
                <w:t>Revista Academiei Fortelor Te</w:t>
              </w:r>
              <w:r w:rsidR="00A164E2">
                <w:rPr>
                  <w:i/>
                  <w:iCs/>
                  <w:noProof/>
                </w:rPr>
                <w:t>r</w:t>
              </w:r>
              <w:r>
                <w:rPr>
                  <w:i/>
                  <w:iCs/>
                  <w:noProof/>
                </w:rPr>
                <w:t>restre, 23</w:t>
              </w:r>
              <w:r>
                <w:rPr>
                  <w:noProof/>
                </w:rPr>
                <w:t>(2), 113-120. Retrieved March 26th, 2020, from https://search-ebscohost-com.proxy1.ncu.edu/login.aspx?direct=true&amp;db=a9h&amp;AN=130455890&amp;site=eds-liv</w:t>
              </w:r>
            </w:p>
            <w:p w14:paraId="453BC1BA" w14:textId="5F5FAABA" w:rsidR="00F03455" w:rsidRDefault="00F03455" w:rsidP="00F03455">
              <w:pPr>
                <w:pStyle w:val="Bibliography"/>
                <w:ind w:left="720" w:hanging="720"/>
                <w:rPr>
                  <w:noProof/>
                </w:rPr>
              </w:pPr>
              <w:r>
                <w:rPr>
                  <w:noProof/>
                </w:rPr>
                <w:t xml:space="preserve">Krebs, C. (2019, April 23rd). Keynote by Christopher Krebs, Director, Cybersecurity and Infrastructure Security Agency. </w:t>
              </w:r>
              <w:r>
                <w:rPr>
                  <w:i/>
                  <w:iCs/>
                  <w:noProof/>
                </w:rPr>
                <w:t>International Conference on Consumer Electronics.</w:t>
              </w:r>
              <w:r>
                <w:rPr>
                  <w:noProof/>
                </w:rPr>
                <w:t xml:space="preserve"> Las Vegas, Nevada, USA. Retrieved from YouTube: https://www.youtube.com/watch?v=aVfcgNhHSDM</w:t>
              </w:r>
            </w:p>
            <w:p w14:paraId="2083E8FE" w14:textId="74257E54" w:rsidR="00F03455" w:rsidRDefault="00F03455" w:rsidP="00F03455">
              <w:pPr>
                <w:pStyle w:val="Bibliography"/>
                <w:ind w:left="720" w:hanging="720"/>
                <w:rPr>
                  <w:noProof/>
                </w:rPr>
              </w:pPr>
              <w:r>
                <w:rPr>
                  <w:noProof/>
                </w:rPr>
                <w:t xml:space="preserve">Lanz, J. (2018). Enterprise Technology Risk in a New COSO ERM World: Eight Challenges Facing Management. </w:t>
              </w:r>
              <w:r>
                <w:rPr>
                  <w:i/>
                  <w:iCs/>
                  <w:noProof/>
                </w:rPr>
                <w:t>CPA Journal., 88</w:t>
              </w:r>
              <w:r>
                <w:rPr>
                  <w:noProof/>
                </w:rPr>
                <w:t>(6), 6-10. Retrieved May 2nd, 2020, from https://search-ebscohost-com.proxy1.ncu.edu/login.aspx?direct=true&amp;db=ofs&amp;AN=130364012&amp;site=eds-live</w:t>
              </w:r>
            </w:p>
            <w:p w14:paraId="7F8E2BBD" w14:textId="5D6C57C5" w:rsidR="00F03455" w:rsidRDefault="00F03455" w:rsidP="00F03455">
              <w:pPr>
                <w:pStyle w:val="Bibliography"/>
                <w:ind w:left="720" w:hanging="720"/>
                <w:rPr>
                  <w:noProof/>
                </w:rPr>
              </w:pPr>
              <w:r>
                <w:rPr>
                  <w:noProof/>
                </w:rPr>
                <w:t xml:space="preserve">Makowsky, M., Kolker, R. (Writers), &amp; Finley, C. (Director). (2020). </w:t>
              </w:r>
              <w:r>
                <w:rPr>
                  <w:i/>
                  <w:iCs/>
                  <w:noProof/>
                </w:rPr>
                <w:t>Bad Education</w:t>
              </w:r>
              <w:r>
                <w:rPr>
                  <w:noProof/>
                </w:rPr>
                <w:t xml:space="preserve"> [Motion Picture]. USA: HBO. Retrieved May 1st, 2020, from https://www.hbo.com/movies/bad-education</w:t>
              </w:r>
            </w:p>
            <w:p w14:paraId="0C30FF34" w14:textId="77777777" w:rsidR="00F03455" w:rsidRDefault="00F03455" w:rsidP="00F03455">
              <w:pPr>
                <w:pStyle w:val="Bibliography"/>
                <w:ind w:left="720" w:hanging="720"/>
                <w:rPr>
                  <w:noProof/>
                </w:rPr>
              </w:pPr>
              <w:r>
                <w:rPr>
                  <w:noProof/>
                </w:rPr>
                <w:lastRenderedPageBreak/>
                <w:t xml:space="preserve">Quigley, K., Burns, C., &amp; Stallard, K. (2015). Cyber Gurus: A rhetorical analysis of the language of cybersecurity specialists and the implications for security policy and critical infrastructure protection. </w:t>
              </w:r>
              <w:r>
                <w:rPr>
                  <w:i/>
                  <w:iCs/>
                  <w:noProof/>
                </w:rPr>
                <w:t>Government Information Quarterly, 32</w:t>
              </w:r>
              <w:r>
                <w:rPr>
                  <w:noProof/>
                </w:rPr>
                <w:t>, 108-117. doi:https://doi.org/10.1016/j.giq.2015.02.001</w:t>
              </w:r>
            </w:p>
            <w:p w14:paraId="4EBB2603" w14:textId="77777777" w:rsidR="00F03455" w:rsidRDefault="00F03455" w:rsidP="00F03455">
              <w:pPr>
                <w:pStyle w:val="Bibliography"/>
                <w:ind w:left="720" w:hanging="720"/>
                <w:rPr>
                  <w:noProof/>
                </w:rPr>
              </w:pPr>
              <w:r>
                <w:rPr>
                  <w:noProof/>
                </w:rPr>
                <w:t xml:space="preserve">Shires, J. (2018). Enacting Expertise: Ritual and Risk in Cybersecurity. </w:t>
              </w:r>
              <w:r>
                <w:rPr>
                  <w:i/>
                  <w:iCs/>
                  <w:noProof/>
                </w:rPr>
                <w:t>Politics and Governance, 6</w:t>
              </w:r>
              <w:r>
                <w:rPr>
                  <w:noProof/>
                </w:rPr>
                <w:t>(2), 31-40. doi:https://doaj.org/toc/2183-2463</w:t>
              </w:r>
            </w:p>
            <w:p w14:paraId="7CAE1CCC" w14:textId="4CADD180" w:rsidR="00F03455" w:rsidRDefault="00F03455" w:rsidP="00F03455">
              <w:pPr>
                <w:pStyle w:val="Bibliography"/>
                <w:ind w:left="720" w:hanging="720"/>
                <w:rPr>
                  <w:noProof/>
                </w:rPr>
              </w:pPr>
              <w:r>
                <w:rPr>
                  <w:noProof/>
                </w:rPr>
                <w:t xml:space="preserve">Stevens, T. (2018). Global Cybersecurity: New Directions in Theory and Methods. </w:t>
              </w:r>
              <w:r>
                <w:rPr>
                  <w:i/>
                  <w:iCs/>
                  <w:noProof/>
                </w:rPr>
                <w:t>Politics and Governance. 6(2):1-4</w:t>
              </w:r>
              <w:r>
                <w:rPr>
                  <w:noProof/>
                </w:rPr>
                <w:t xml:space="preserve">, 1-4. </w:t>
              </w:r>
              <w:r w:rsidR="00EE6A41">
                <w:rPr>
                  <w:noProof/>
                </w:rPr>
                <w:t>DOI</w:t>
              </w:r>
              <w:r>
                <w:rPr>
                  <w:noProof/>
                </w:rPr>
                <w:t>:10.17645/pag.v6i2.1569</w:t>
              </w:r>
            </w:p>
            <w:p w14:paraId="268B155E" w14:textId="21C0E971" w:rsidR="00343A3B" w:rsidRPr="0083064D" w:rsidRDefault="00343A3B" w:rsidP="00F03455">
              <w:r>
                <w:rPr>
                  <w:b/>
                  <w:bCs/>
                  <w:noProof/>
                </w:rPr>
                <w:fldChar w:fldCharType="end"/>
              </w:r>
            </w:p>
          </w:sdtContent>
        </w:sdt>
      </w:sdtContent>
    </w:sdt>
    <w:sectPr w:rsidR="00343A3B" w:rsidRPr="0083064D" w:rsidSect="0082223F">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1EA9A" w14:textId="77777777" w:rsidR="00E42917" w:rsidRDefault="00E42917" w:rsidP="0082223F">
      <w:pPr>
        <w:spacing w:line="240" w:lineRule="auto"/>
      </w:pPr>
      <w:r>
        <w:separator/>
      </w:r>
    </w:p>
  </w:endnote>
  <w:endnote w:type="continuationSeparator" w:id="0">
    <w:p w14:paraId="3308CFFF" w14:textId="77777777" w:rsidR="00E42917" w:rsidRDefault="00E429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6CE7E" w14:textId="77777777" w:rsidR="00E42917" w:rsidRDefault="00E42917" w:rsidP="0082223F">
      <w:pPr>
        <w:spacing w:line="240" w:lineRule="auto"/>
      </w:pPr>
      <w:r>
        <w:separator/>
      </w:r>
    </w:p>
  </w:footnote>
  <w:footnote w:type="continuationSeparator" w:id="0">
    <w:p w14:paraId="17936502" w14:textId="77777777" w:rsidR="00E42917" w:rsidRDefault="00E429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49DB"/>
    <w:multiLevelType w:val="hybridMultilevel"/>
    <w:tmpl w:val="C6B0CB3E"/>
    <w:lvl w:ilvl="0" w:tplc="6C5EC374">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cs="Wingdings" w:hint="default"/>
      </w:rPr>
    </w:lvl>
    <w:lvl w:ilvl="3" w:tplc="04090001" w:tentative="1">
      <w:start w:val="1"/>
      <w:numFmt w:val="bullet"/>
      <w:lvlText w:val=""/>
      <w:lvlJc w:val="left"/>
      <w:pPr>
        <w:ind w:left="2520" w:hanging="360"/>
      </w:pPr>
      <w:rPr>
        <w:rFonts w:ascii="Symbol" w:hAnsi="Symbol" w:cs="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cs="Wingdings" w:hint="default"/>
      </w:rPr>
    </w:lvl>
    <w:lvl w:ilvl="6" w:tplc="04090001" w:tentative="1">
      <w:start w:val="1"/>
      <w:numFmt w:val="bullet"/>
      <w:lvlText w:val=""/>
      <w:lvlJc w:val="left"/>
      <w:pPr>
        <w:ind w:left="4680" w:hanging="360"/>
      </w:pPr>
      <w:rPr>
        <w:rFonts w:ascii="Symbol" w:hAnsi="Symbol" w:cs="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cs="Wingdings" w:hint="default"/>
      </w:rPr>
    </w:lvl>
  </w:abstractNum>
  <w:abstractNum w:abstractNumId="1" w15:restartNumberingAfterBreak="0">
    <w:nsid w:val="5F7C6FC4"/>
    <w:multiLevelType w:val="hybridMultilevel"/>
    <w:tmpl w:val="34B427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rwUA3ylJFCwAAAA="/>
  </w:docVars>
  <w:rsids>
    <w:rsidRoot w:val="0082223F"/>
    <w:rsid w:val="00036708"/>
    <w:rsid w:val="00036F58"/>
    <w:rsid w:val="000445BD"/>
    <w:rsid w:val="0009506D"/>
    <w:rsid w:val="001161BC"/>
    <w:rsid w:val="00183597"/>
    <w:rsid w:val="00234A5E"/>
    <w:rsid w:val="00262770"/>
    <w:rsid w:val="002806B7"/>
    <w:rsid w:val="002C67BE"/>
    <w:rsid w:val="002C774C"/>
    <w:rsid w:val="00343A3B"/>
    <w:rsid w:val="003F1CC6"/>
    <w:rsid w:val="003F4714"/>
    <w:rsid w:val="00401D65"/>
    <w:rsid w:val="004223E8"/>
    <w:rsid w:val="00440423"/>
    <w:rsid w:val="004A369B"/>
    <w:rsid w:val="004A784B"/>
    <w:rsid w:val="004B78E1"/>
    <w:rsid w:val="004B7DA9"/>
    <w:rsid w:val="004F387C"/>
    <w:rsid w:val="005132B0"/>
    <w:rsid w:val="005248EA"/>
    <w:rsid w:val="00562CF7"/>
    <w:rsid w:val="005A1847"/>
    <w:rsid w:val="005B321F"/>
    <w:rsid w:val="005B7079"/>
    <w:rsid w:val="00603C7E"/>
    <w:rsid w:val="006337A0"/>
    <w:rsid w:val="006608F1"/>
    <w:rsid w:val="00666A3D"/>
    <w:rsid w:val="006D793E"/>
    <w:rsid w:val="006E6CED"/>
    <w:rsid w:val="0072418E"/>
    <w:rsid w:val="0073677D"/>
    <w:rsid w:val="0082223F"/>
    <w:rsid w:val="0083064D"/>
    <w:rsid w:val="008312A7"/>
    <w:rsid w:val="008721C6"/>
    <w:rsid w:val="00894B87"/>
    <w:rsid w:val="008A6911"/>
    <w:rsid w:val="008B5129"/>
    <w:rsid w:val="00903981"/>
    <w:rsid w:val="0094589D"/>
    <w:rsid w:val="0096601E"/>
    <w:rsid w:val="0097534B"/>
    <w:rsid w:val="009A757D"/>
    <w:rsid w:val="00A164E2"/>
    <w:rsid w:val="00A1662A"/>
    <w:rsid w:val="00A41264"/>
    <w:rsid w:val="00A44932"/>
    <w:rsid w:val="00A65A10"/>
    <w:rsid w:val="00A70699"/>
    <w:rsid w:val="00B7011A"/>
    <w:rsid w:val="00C213CB"/>
    <w:rsid w:val="00C611A0"/>
    <w:rsid w:val="00C73692"/>
    <w:rsid w:val="00C93BB7"/>
    <w:rsid w:val="00CB25E9"/>
    <w:rsid w:val="00CC79FE"/>
    <w:rsid w:val="00D679E1"/>
    <w:rsid w:val="00D75C7B"/>
    <w:rsid w:val="00D85C7B"/>
    <w:rsid w:val="00DE028E"/>
    <w:rsid w:val="00DE2224"/>
    <w:rsid w:val="00E06CB6"/>
    <w:rsid w:val="00E211DD"/>
    <w:rsid w:val="00E42917"/>
    <w:rsid w:val="00E83A1E"/>
    <w:rsid w:val="00ED3713"/>
    <w:rsid w:val="00EE6A41"/>
    <w:rsid w:val="00F01C28"/>
    <w:rsid w:val="00F03455"/>
    <w:rsid w:val="00F14645"/>
    <w:rsid w:val="00F17932"/>
    <w:rsid w:val="00F63416"/>
    <w:rsid w:val="00FE5C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A44932"/>
    <w:pPr>
      <w:ind w:left="720"/>
      <w:contextualSpacing/>
    </w:pPr>
  </w:style>
  <w:style w:type="table" w:styleId="TableGrid">
    <w:name w:val="Table Grid"/>
    <w:basedOn w:val="TableNormal"/>
    <w:uiPriority w:val="39"/>
    <w:rsid w:val="005248E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5248E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343A3B"/>
  </w:style>
  <w:style w:type="paragraph" w:styleId="TOCHeading">
    <w:name w:val="TOC Heading"/>
    <w:basedOn w:val="Heading1"/>
    <w:next w:val="Normal"/>
    <w:uiPriority w:val="39"/>
    <w:unhideWhenUsed/>
    <w:qFormat/>
    <w:rsid w:val="00F17932"/>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F17932"/>
    <w:pPr>
      <w:spacing w:after="100"/>
    </w:pPr>
  </w:style>
  <w:style w:type="paragraph" w:styleId="TOC2">
    <w:name w:val="toc 2"/>
    <w:basedOn w:val="Normal"/>
    <w:next w:val="Normal"/>
    <w:autoRedefine/>
    <w:uiPriority w:val="39"/>
    <w:unhideWhenUsed/>
    <w:rsid w:val="00F17932"/>
    <w:pPr>
      <w:spacing w:after="100"/>
      <w:ind w:left="240"/>
    </w:pPr>
  </w:style>
  <w:style w:type="character" w:styleId="Hyperlink">
    <w:name w:val="Hyperlink"/>
    <w:basedOn w:val="DefaultParagraphFont"/>
    <w:uiPriority w:val="99"/>
    <w:unhideWhenUsed/>
    <w:rsid w:val="00F1793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5682">
      <w:bodyDiv w:val="1"/>
      <w:marLeft w:val="0"/>
      <w:marRight w:val="0"/>
      <w:marTop w:val="0"/>
      <w:marBottom w:val="0"/>
      <w:divBdr>
        <w:top w:val="none" w:sz="0" w:space="0" w:color="auto"/>
        <w:left w:val="none" w:sz="0" w:space="0" w:color="auto"/>
        <w:bottom w:val="none" w:sz="0" w:space="0" w:color="auto"/>
        <w:right w:val="none" w:sz="0" w:space="0" w:color="auto"/>
      </w:divBdr>
    </w:div>
    <w:div w:id="40831170">
      <w:bodyDiv w:val="1"/>
      <w:marLeft w:val="0"/>
      <w:marRight w:val="0"/>
      <w:marTop w:val="0"/>
      <w:marBottom w:val="0"/>
      <w:divBdr>
        <w:top w:val="none" w:sz="0" w:space="0" w:color="auto"/>
        <w:left w:val="none" w:sz="0" w:space="0" w:color="auto"/>
        <w:bottom w:val="none" w:sz="0" w:space="0" w:color="auto"/>
        <w:right w:val="none" w:sz="0" w:space="0" w:color="auto"/>
      </w:divBdr>
    </w:div>
    <w:div w:id="55667477">
      <w:bodyDiv w:val="1"/>
      <w:marLeft w:val="0"/>
      <w:marRight w:val="0"/>
      <w:marTop w:val="0"/>
      <w:marBottom w:val="0"/>
      <w:divBdr>
        <w:top w:val="none" w:sz="0" w:space="0" w:color="auto"/>
        <w:left w:val="none" w:sz="0" w:space="0" w:color="auto"/>
        <w:bottom w:val="none" w:sz="0" w:space="0" w:color="auto"/>
        <w:right w:val="none" w:sz="0" w:space="0" w:color="auto"/>
      </w:divBdr>
    </w:div>
    <w:div w:id="134219897">
      <w:bodyDiv w:val="1"/>
      <w:marLeft w:val="0"/>
      <w:marRight w:val="0"/>
      <w:marTop w:val="0"/>
      <w:marBottom w:val="0"/>
      <w:divBdr>
        <w:top w:val="none" w:sz="0" w:space="0" w:color="auto"/>
        <w:left w:val="none" w:sz="0" w:space="0" w:color="auto"/>
        <w:bottom w:val="none" w:sz="0" w:space="0" w:color="auto"/>
        <w:right w:val="none" w:sz="0" w:space="0" w:color="auto"/>
      </w:divBdr>
    </w:div>
    <w:div w:id="146484726">
      <w:bodyDiv w:val="1"/>
      <w:marLeft w:val="0"/>
      <w:marRight w:val="0"/>
      <w:marTop w:val="0"/>
      <w:marBottom w:val="0"/>
      <w:divBdr>
        <w:top w:val="none" w:sz="0" w:space="0" w:color="auto"/>
        <w:left w:val="none" w:sz="0" w:space="0" w:color="auto"/>
        <w:bottom w:val="none" w:sz="0" w:space="0" w:color="auto"/>
        <w:right w:val="none" w:sz="0" w:space="0" w:color="auto"/>
      </w:divBdr>
    </w:div>
    <w:div w:id="173033111">
      <w:bodyDiv w:val="1"/>
      <w:marLeft w:val="0"/>
      <w:marRight w:val="0"/>
      <w:marTop w:val="0"/>
      <w:marBottom w:val="0"/>
      <w:divBdr>
        <w:top w:val="none" w:sz="0" w:space="0" w:color="auto"/>
        <w:left w:val="none" w:sz="0" w:space="0" w:color="auto"/>
        <w:bottom w:val="none" w:sz="0" w:space="0" w:color="auto"/>
        <w:right w:val="none" w:sz="0" w:space="0" w:color="auto"/>
      </w:divBdr>
    </w:div>
    <w:div w:id="183249134">
      <w:bodyDiv w:val="1"/>
      <w:marLeft w:val="0"/>
      <w:marRight w:val="0"/>
      <w:marTop w:val="0"/>
      <w:marBottom w:val="0"/>
      <w:divBdr>
        <w:top w:val="none" w:sz="0" w:space="0" w:color="auto"/>
        <w:left w:val="none" w:sz="0" w:space="0" w:color="auto"/>
        <w:bottom w:val="none" w:sz="0" w:space="0" w:color="auto"/>
        <w:right w:val="none" w:sz="0" w:space="0" w:color="auto"/>
      </w:divBdr>
    </w:div>
    <w:div w:id="306401133">
      <w:bodyDiv w:val="1"/>
      <w:marLeft w:val="0"/>
      <w:marRight w:val="0"/>
      <w:marTop w:val="0"/>
      <w:marBottom w:val="0"/>
      <w:divBdr>
        <w:top w:val="none" w:sz="0" w:space="0" w:color="auto"/>
        <w:left w:val="none" w:sz="0" w:space="0" w:color="auto"/>
        <w:bottom w:val="none" w:sz="0" w:space="0" w:color="auto"/>
        <w:right w:val="none" w:sz="0" w:space="0" w:color="auto"/>
      </w:divBdr>
    </w:div>
    <w:div w:id="388498435">
      <w:bodyDiv w:val="1"/>
      <w:marLeft w:val="0"/>
      <w:marRight w:val="0"/>
      <w:marTop w:val="0"/>
      <w:marBottom w:val="0"/>
      <w:divBdr>
        <w:top w:val="none" w:sz="0" w:space="0" w:color="auto"/>
        <w:left w:val="none" w:sz="0" w:space="0" w:color="auto"/>
        <w:bottom w:val="none" w:sz="0" w:space="0" w:color="auto"/>
        <w:right w:val="none" w:sz="0" w:space="0" w:color="auto"/>
      </w:divBdr>
    </w:div>
    <w:div w:id="482241088">
      <w:bodyDiv w:val="1"/>
      <w:marLeft w:val="0"/>
      <w:marRight w:val="0"/>
      <w:marTop w:val="0"/>
      <w:marBottom w:val="0"/>
      <w:divBdr>
        <w:top w:val="none" w:sz="0" w:space="0" w:color="auto"/>
        <w:left w:val="none" w:sz="0" w:space="0" w:color="auto"/>
        <w:bottom w:val="none" w:sz="0" w:space="0" w:color="auto"/>
        <w:right w:val="none" w:sz="0" w:space="0" w:color="auto"/>
      </w:divBdr>
    </w:div>
    <w:div w:id="517693370">
      <w:bodyDiv w:val="1"/>
      <w:marLeft w:val="0"/>
      <w:marRight w:val="0"/>
      <w:marTop w:val="0"/>
      <w:marBottom w:val="0"/>
      <w:divBdr>
        <w:top w:val="none" w:sz="0" w:space="0" w:color="auto"/>
        <w:left w:val="none" w:sz="0" w:space="0" w:color="auto"/>
        <w:bottom w:val="none" w:sz="0" w:space="0" w:color="auto"/>
        <w:right w:val="none" w:sz="0" w:space="0" w:color="auto"/>
      </w:divBdr>
    </w:div>
    <w:div w:id="547448197">
      <w:bodyDiv w:val="1"/>
      <w:marLeft w:val="0"/>
      <w:marRight w:val="0"/>
      <w:marTop w:val="0"/>
      <w:marBottom w:val="0"/>
      <w:divBdr>
        <w:top w:val="none" w:sz="0" w:space="0" w:color="auto"/>
        <w:left w:val="none" w:sz="0" w:space="0" w:color="auto"/>
        <w:bottom w:val="none" w:sz="0" w:space="0" w:color="auto"/>
        <w:right w:val="none" w:sz="0" w:space="0" w:color="auto"/>
      </w:divBdr>
    </w:div>
    <w:div w:id="571934808">
      <w:bodyDiv w:val="1"/>
      <w:marLeft w:val="0"/>
      <w:marRight w:val="0"/>
      <w:marTop w:val="0"/>
      <w:marBottom w:val="0"/>
      <w:divBdr>
        <w:top w:val="none" w:sz="0" w:space="0" w:color="auto"/>
        <w:left w:val="none" w:sz="0" w:space="0" w:color="auto"/>
        <w:bottom w:val="none" w:sz="0" w:space="0" w:color="auto"/>
        <w:right w:val="none" w:sz="0" w:space="0" w:color="auto"/>
      </w:divBdr>
    </w:div>
    <w:div w:id="586574745">
      <w:bodyDiv w:val="1"/>
      <w:marLeft w:val="0"/>
      <w:marRight w:val="0"/>
      <w:marTop w:val="0"/>
      <w:marBottom w:val="0"/>
      <w:divBdr>
        <w:top w:val="none" w:sz="0" w:space="0" w:color="auto"/>
        <w:left w:val="none" w:sz="0" w:space="0" w:color="auto"/>
        <w:bottom w:val="none" w:sz="0" w:space="0" w:color="auto"/>
        <w:right w:val="none" w:sz="0" w:space="0" w:color="auto"/>
      </w:divBdr>
    </w:div>
    <w:div w:id="607390970">
      <w:bodyDiv w:val="1"/>
      <w:marLeft w:val="0"/>
      <w:marRight w:val="0"/>
      <w:marTop w:val="0"/>
      <w:marBottom w:val="0"/>
      <w:divBdr>
        <w:top w:val="none" w:sz="0" w:space="0" w:color="auto"/>
        <w:left w:val="none" w:sz="0" w:space="0" w:color="auto"/>
        <w:bottom w:val="none" w:sz="0" w:space="0" w:color="auto"/>
        <w:right w:val="none" w:sz="0" w:space="0" w:color="auto"/>
      </w:divBdr>
    </w:div>
    <w:div w:id="626547318">
      <w:bodyDiv w:val="1"/>
      <w:marLeft w:val="0"/>
      <w:marRight w:val="0"/>
      <w:marTop w:val="0"/>
      <w:marBottom w:val="0"/>
      <w:divBdr>
        <w:top w:val="none" w:sz="0" w:space="0" w:color="auto"/>
        <w:left w:val="none" w:sz="0" w:space="0" w:color="auto"/>
        <w:bottom w:val="none" w:sz="0" w:space="0" w:color="auto"/>
        <w:right w:val="none" w:sz="0" w:space="0" w:color="auto"/>
      </w:divBdr>
    </w:div>
    <w:div w:id="732890226">
      <w:bodyDiv w:val="1"/>
      <w:marLeft w:val="0"/>
      <w:marRight w:val="0"/>
      <w:marTop w:val="0"/>
      <w:marBottom w:val="0"/>
      <w:divBdr>
        <w:top w:val="none" w:sz="0" w:space="0" w:color="auto"/>
        <w:left w:val="none" w:sz="0" w:space="0" w:color="auto"/>
        <w:bottom w:val="none" w:sz="0" w:space="0" w:color="auto"/>
        <w:right w:val="none" w:sz="0" w:space="0" w:color="auto"/>
      </w:divBdr>
    </w:div>
    <w:div w:id="763500327">
      <w:bodyDiv w:val="1"/>
      <w:marLeft w:val="0"/>
      <w:marRight w:val="0"/>
      <w:marTop w:val="0"/>
      <w:marBottom w:val="0"/>
      <w:divBdr>
        <w:top w:val="none" w:sz="0" w:space="0" w:color="auto"/>
        <w:left w:val="none" w:sz="0" w:space="0" w:color="auto"/>
        <w:bottom w:val="none" w:sz="0" w:space="0" w:color="auto"/>
        <w:right w:val="none" w:sz="0" w:space="0" w:color="auto"/>
      </w:divBdr>
    </w:div>
    <w:div w:id="869732128">
      <w:bodyDiv w:val="1"/>
      <w:marLeft w:val="0"/>
      <w:marRight w:val="0"/>
      <w:marTop w:val="0"/>
      <w:marBottom w:val="0"/>
      <w:divBdr>
        <w:top w:val="none" w:sz="0" w:space="0" w:color="auto"/>
        <w:left w:val="none" w:sz="0" w:space="0" w:color="auto"/>
        <w:bottom w:val="none" w:sz="0" w:space="0" w:color="auto"/>
        <w:right w:val="none" w:sz="0" w:space="0" w:color="auto"/>
      </w:divBdr>
    </w:div>
    <w:div w:id="878708738">
      <w:bodyDiv w:val="1"/>
      <w:marLeft w:val="0"/>
      <w:marRight w:val="0"/>
      <w:marTop w:val="0"/>
      <w:marBottom w:val="0"/>
      <w:divBdr>
        <w:top w:val="none" w:sz="0" w:space="0" w:color="auto"/>
        <w:left w:val="none" w:sz="0" w:space="0" w:color="auto"/>
        <w:bottom w:val="none" w:sz="0" w:space="0" w:color="auto"/>
        <w:right w:val="none" w:sz="0" w:space="0" w:color="auto"/>
      </w:divBdr>
    </w:div>
    <w:div w:id="910038017">
      <w:bodyDiv w:val="1"/>
      <w:marLeft w:val="0"/>
      <w:marRight w:val="0"/>
      <w:marTop w:val="0"/>
      <w:marBottom w:val="0"/>
      <w:divBdr>
        <w:top w:val="none" w:sz="0" w:space="0" w:color="auto"/>
        <w:left w:val="none" w:sz="0" w:space="0" w:color="auto"/>
        <w:bottom w:val="none" w:sz="0" w:space="0" w:color="auto"/>
        <w:right w:val="none" w:sz="0" w:space="0" w:color="auto"/>
      </w:divBdr>
    </w:div>
    <w:div w:id="932788371">
      <w:bodyDiv w:val="1"/>
      <w:marLeft w:val="0"/>
      <w:marRight w:val="0"/>
      <w:marTop w:val="0"/>
      <w:marBottom w:val="0"/>
      <w:divBdr>
        <w:top w:val="none" w:sz="0" w:space="0" w:color="auto"/>
        <w:left w:val="none" w:sz="0" w:space="0" w:color="auto"/>
        <w:bottom w:val="none" w:sz="0" w:space="0" w:color="auto"/>
        <w:right w:val="none" w:sz="0" w:space="0" w:color="auto"/>
      </w:divBdr>
    </w:div>
    <w:div w:id="949168499">
      <w:bodyDiv w:val="1"/>
      <w:marLeft w:val="0"/>
      <w:marRight w:val="0"/>
      <w:marTop w:val="0"/>
      <w:marBottom w:val="0"/>
      <w:divBdr>
        <w:top w:val="none" w:sz="0" w:space="0" w:color="auto"/>
        <w:left w:val="none" w:sz="0" w:space="0" w:color="auto"/>
        <w:bottom w:val="none" w:sz="0" w:space="0" w:color="auto"/>
        <w:right w:val="none" w:sz="0" w:space="0" w:color="auto"/>
      </w:divBdr>
    </w:div>
    <w:div w:id="957680217">
      <w:bodyDiv w:val="1"/>
      <w:marLeft w:val="0"/>
      <w:marRight w:val="0"/>
      <w:marTop w:val="0"/>
      <w:marBottom w:val="0"/>
      <w:divBdr>
        <w:top w:val="none" w:sz="0" w:space="0" w:color="auto"/>
        <w:left w:val="none" w:sz="0" w:space="0" w:color="auto"/>
        <w:bottom w:val="none" w:sz="0" w:space="0" w:color="auto"/>
        <w:right w:val="none" w:sz="0" w:space="0" w:color="auto"/>
      </w:divBdr>
    </w:div>
    <w:div w:id="977536151">
      <w:bodyDiv w:val="1"/>
      <w:marLeft w:val="0"/>
      <w:marRight w:val="0"/>
      <w:marTop w:val="0"/>
      <w:marBottom w:val="0"/>
      <w:divBdr>
        <w:top w:val="none" w:sz="0" w:space="0" w:color="auto"/>
        <w:left w:val="none" w:sz="0" w:space="0" w:color="auto"/>
        <w:bottom w:val="none" w:sz="0" w:space="0" w:color="auto"/>
        <w:right w:val="none" w:sz="0" w:space="0" w:color="auto"/>
      </w:divBdr>
    </w:div>
    <w:div w:id="1009285893">
      <w:bodyDiv w:val="1"/>
      <w:marLeft w:val="0"/>
      <w:marRight w:val="0"/>
      <w:marTop w:val="0"/>
      <w:marBottom w:val="0"/>
      <w:divBdr>
        <w:top w:val="none" w:sz="0" w:space="0" w:color="auto"/>
        <w:left w:val="none" w:sz="0" w:space="0" w:color="auto"/>
        <w:bottom w:val="none" w:sz="0" w:space="0" w:color="auto"/>
        <w:right w:val="none" w:sz="0" w:space="0" w:color="auto"/>
      </w:divBdr>
    </w:div>
    <w:div w:id="1018316747">
      <w:bodyDiv w:val="1"/>
      <w:marLeft w:val="0"/>
      <w:marRight w:val="0"/>
      <w:marTop w:val="0"/>
      <w:marBottom w:val="0"/>
      <w:divBdr>
        <w:top w:val="none" w:sz="0" w:space="0" w:color="auto"/>
        <w:left w:val="none" w:sz="0" w:space="0" w:color="auto"/>
        <w:bottom w:val="none" w:sz="0" w:space="0" w:color="auto"/>
        <w:right w:val="none" w:sz="0" w:space="0" w:color="auto"/>
      </w:divBdr>
    </w:div>
    <w:div w:id="1052147327">
      <w:bodyDiv w:val="1"/>
      <w:marLeft w:val="0"/>
      <w:marRight w:val="0"/>
      <w:marTop w:val="0"/>
      <w:marBottom w:val="0"/>
      <w:divBdr>
        <w:top w:val="none" w:sz="0" w:space="0" w:color="auto"/>
        <w:left w:val="none" w:sz="0" w:space="0" w:color="auto"/>
        <w:bottom w:val="none" w:sz="0" w:space="0" w:color="auto"/>
        <w:right w:val="none" w:sz="0" w:space="0" w:color="auto"/>
      </w:divBdr>
    </w:div>
    <w:div w:id="1074858427">
      <w:bodyDiv w:val="1"/>
      <w:marLeft w:val="0"/>
      <w:marRight w:val="0"/>
      <w:marTop w:val="0"/>
      <w:marBottom w:val="0"/>
      <w:divBdr>
        <w:top w:val="none" w:sz="0" w:space="0" w:color="auto"/>
        <w:left w:val="none" w:sz="0" w:space="0" w:color="auto"/>
        <w:bottom w:val="none" w:sz="0" w:space="0" w:color="auto"/>
        <w:right w:val="none" w:sz="0" w:space="0" w:color="auto"/>
      </w:divBdr>
    </w:div>
    <w:div w:id="1083145217">
      <w:bodyDiv w:val="1"/>
      <w:marLeft w:val="0"/>
      <w:marRight w:val="0"/>
      <w:marTop w:val="0"/>
      <w:marBottom w:val="0"/>
      <w:divBdr>
        <w:top w:val="none" w:sz="0" w:space="0" w:color="auto"/>
        <w:left w:val="none" w:sz="0" w:space="0" w:color="auto"/>
        <w:bottom w:val="none" w:sz="0" w:space="0" w:color="auto"/>
        <w:right w:val="none" w:sz="0" w:space="0" w:color="auto"/>
      </w:divBdr>
    </w:div>
    <w:div w:id="1125195865">
      <w:bodyDiv w:val="1"/>
      <w:marLeft w:val="0"/>
      <w:marRight w:val="0"/>
      <w:marTop w:val="0"/>
      <w:marBottom w:val="0"/>
      <w:divBdr>
        <w:top w:val="none" w:sz="0" w:space="0" w:color="auto"/>
        <w:left w:val="none" w:sz="0" w:space="0" w:color="auto"/>
        <w:bottom w:val="none" w:sz="0" w:space="0" w:color="auto"/>
        <w:right w:val="none" w:sz="0" w:space="0" w:color="auto"/>
      </w:divBdr>
    </w:div>
    <w:div w:id="1173454567">
      <w:bodyDiv w:val="1"/>
      <w:marLeft w:val="0"/>
      <w:marRight w:val="0"/>
      <w:marTop w:val="0"/>
      <w:marBottom w:val="0"/>
      <w:divBdr>
        <w:top w:val="none" w:sz="0" w:space="0" w:color="auto"/>
        <w:left w:val="none" w:sz="0" w:space="0" w:color="auto"/>
        <w:bottom w:val="none" w:sz="0" w:space="0" w:color="auto"/>
        <w:right w:val="none" w:sz="0" w:space="0" w:color="auto"/>
      </w:divBdr>
    </w:div>
    <w:div w:id="1239746715">
      <w:bodyDiv w:val="1"/>
      <w:marLeft w:val="0"/>
      <w:marRight w:val="0"/>
      <w:marTop w:val="0"/>
      <w:marBottom w:val="0"/>
      <w:divBdr>
        <w:top w:val="none" w:sz="0" w:space="0" w:color="auto"/>
        <w:left w:val="none" w:sz="0" w:space="0" w:color="auto"/>
        <w:bottom w:val="none" w:sz="0" w:space="0" w:color="auto"/>
        <w:right w:val="none" w:sz="0" w:space="0" w:color="auto"/>
      </w:divBdr>
    </w:div>
    <w:div w:id="1240167210">
      <w:bodyDiv w:val="1"/>
      <w:marLeft w:val="0"/>
      <w:marRight w:val="0"/>
      <w:marTop w:val="0"/>
      <w:marBottom w:val="0"/>
      <w:divBdr>
        <w:top w:val="none" w:sz="0" w:space="0" w:color="auto"/>
        <w:left w:val="none" w:sz="0" w:space="0" w:color="auto"/>
        <w:bottom w:val="none" w:sz="0" w:space="0" w:color="auto"/>
        <w:right w:val="none" w:sz="0" w:space="0" w:color="auto"/>
      </w:divBdr>
    </w:div>
    <w:div w:id="1252278605">
      <w:bodyDiv w:val="1"/>
      <w:marLeft w:val="0"/>
      <w:marRight w:val="0"/>
      <w:marTop w:val="0"/>
      <w:marBottom w:val="0"/>
      <w:divBdr>
        <w:top w:val="none" w:sz="0" w:space="0" w:color="auto"/>
        <w:left w:val="none" w:sz="0" w:space="0" w:color="auto"/>
        <w:bottom w:val="none" w:sz="0" w:space="0" w:color="auto"/>
        <w:right w:val="none" w:sz="0" w:space="0" w:color="auto"/>
      </w:divBdr>
    </w:div>
    <w:div w:id="1293513772">
      <w:bodyDiv w:val="1"/>
      <w:marLeft w:val="0"/>
      <w:marRight w:val="0"/>
      <w:marTop w:val="0"/>
      <w:marBottom w:val="0"/>
      <w:divBdr>
        <w:top w:val="none" w:sz="0" w:space="0" w:color="auto"/>
        <w:left w:val="none" w:sz="0" w:space="0" w:color="auto"/>
        <w:bottom w:val="none" w:sz="0" w:space="0" w:color="auto"/>
        <w:right w:val="none" w:sz="0" w:space="0" w:color="auto"/>
      </w:divBdr>
    </w:div>
    <w:div w:id="1299846312">
      <w:bodyDiv w:val="1"/>
      <w:marLeft w:val="0"/>
      <w:marRight w:val="0"/>
      <w:marTop w:val="0"/>
      <w:marBottom w:val="0"/>
      <w:divBdr>
        <w:top w:val="none" w:sz="0" w:space="0" w:color="auto"/>
        <w:left w:val="none" w:sz="0" w:space="0" w:color="auto"/>
        <w:bottom w:val="none" w:sz="0" w:space="0" w:color="auto"/>
        <w:right w:val="none" w:sz="0" w:space="0" w:color="auto"/>
      </w:divBdr>
    </w:div>
    <w:div w:id="1364135154">
      <w:bodyDiv w:val="1"/>
      <w:marLeft w:val="0"/>
      <w:marRight w:val="0"/>
      <w:marTop w:val="0"/>
      <w:marBottom w:val="0"/>
      <w:divBdr>
        <w:top w:val="none" w:sz="0" w:space="0" w:color="auto"/>
        <w:left w:val="none" w:sz="0" w:space="0" w:color="auto"/>
        <w:bottom w:val="none" w:sz="0" w:space="0" w:color="auto"/>
        <w:right w:val="none" w:sz="0" w:space="0" w:color="auto"/>
      </w:divBdr>
    </w:div>
    <w:div w:id="1382553466">
      <w:bodyDiv w:val="1"/>
      <w:marLeft w:val="0"/>
      <w:marRight w:val="0"/>
      <w:marTop w:val="0"/>
      <w:marBottom w:val="0"/>
      <w:divBdr>
        <w:top w:val="none" w:sz="0" w:space="0" w:color="auto"/>
        <w:left w:val="none" w:sz="0" w:space="0" w:color="auto"/>
        <w:bottom w:val="none" w:sz="0" w:space="0" w:color="auto"/>
        <w:right w:val="none" w:sz="0" w:space="0" w:color="auto"/>
      </w:divBdr>
    </w:div>
    <w:div w:id="1404139506">
      <w:bodyDiv w:val="1"/>
      <w:marLeft w:val="0"/>
      <w:marRight w:val="0"/>
      <w:marTop w:val="0"/>
      <w:marBottom w:val="0"/>
      <w:divBdr>
        <w:top w:val="none" w:sz="0" w:space="0" w:color="auto"/>
        <w:left w:val="none" w:sz="0" w:space="0" w:color="auto"/>
        <w:bottom w:val="none" w:sz="0" w:space="0" w:color="auto"/>
        <w:right w:val="none" w:sz="0" w:space="0" w:color="auto"/>
      </w:divBdr>
    </w:div>
    <w:div w:id="1458336139">
      <w:bodyDiv w:val="1"/>
      <w:marLeft w:val="0"/>
      <w:marRight w:val="0"/>
      <w:marTop w:val="0"/>
      <w:marBottom w:val="0"/>
      <w:divBdr>
        <w:top w:val="none" w:sz="0" w:space="0" w:color="auto"/>
        <w:left w:val="none" w:sz="0" w:space="0" w:color="auto"/>
        <w:bottom w:val="none" w:sz="0" w:space="0" w:color="auto"/>
        <w:right w:val="none" w:sz="0" w:space="0" w:color="auto"/>
      </w:divBdr>
    </w:div>
    <w:div w:id="1468664183">
      <w:bodyDiv w:val="1"/>
      <w:marLeft w:val="0"/>
      <w:marRight w:val="0"/>
      <w:marTop w:val="0"/>
      <w:marBottom w:val="0"/>
      <w:divBdr>
        <w:top w:val="none" w:sz="0" w:space="0" w:color="auto"/>
        <w:left w:val="none" w:sz="0" w:space="0" w:color="auto"/>
        <w:bottom w:val="none" w:sz="0" w:space="0" w:color="auto"/>
        <w:right w:val="none" w:sz="0" w:space="0" w:color="auto"/>
      </w:divBdr>
    </w:div>
    <w:div w:id="1481656240">
      <w:bodyDiv w:val="1"/>
      <w:marLeft w:val="0"/>
      <w:marRight w:val="0"/>
      <w:marTop w:val="0"/>
      <w:marBottom w:val="0"/>
      <w:divBdr>
        <w:top w:val="none" w:sz="0" w:space="0" w:color="auto"/>
        <w:left w:val="none" w:sz="0" w:space="0" w:color="auto"/>
        <w:bottom w:val="none" w:sz="0" w:space="0" w:color="auto"/>
        <w:right w:val="none" w:sz="0" w:space="0" w:color="auto"/>
      </w:divBdr>
    </w:div>
    <w:div w:id="1566988942">
      <w:bodyDiv w:val="1"/>
      <w:marLeft w:val="0"/>
      <w:marRight w:val="0"/>
      <w:marTop w:val="0"/>
      <w:marBottom w:val="0"/>
      <w:divBdr>
        <w:top w:val="none" w:sz="0" w:space="0" w:color="auto"/>
        <w:left w:val="none" w:sz="0" w:space="0" w:color="auto"/>
        <w:bottom w:val="none" w:sz="0" w:space="0" w:color="auto"/>
        <w:right w:val="none" w:sz="0" w:space="0" w:color="auto"/>
      </w:divBdr>
    </w:div>
    <w:div w:id="1624535846">
      <w:bodyDiv w:val="1"/>
      <w:marLeft w:val="0"/>
      <w:marRight w:val="0"/>
      <w:marTop w:val="0"/>
      <w:marBottom w:val="0"/>
      <w:divBdr>
        <w:top w:val="none" w:sz="0" w:space="0" w:color="auto"/>
        <w:left w:val="none" w:sz="0" w:space="0" w:color="auto"/>
        <w:bottom w:val="none" w:sz="0" w:space="0" w:color="auto"/>
        <w:right w:val="none" w:sz="0" w:space="0" w:color="auto"/>
      </w:divBdr>
    </w:div>
    <w:div w:id="1628471124">
      <w:bodyDiv w:val="1"/>
      <w:marLeft w:val="0"/>
      <w:marRight w:val="0"/>
      <w:marTop w:val="0"/>
      <w:marBottom w:val="0"/>
      <w:divBdr>
        <w:top w:val="none" w:sz="0" w:space="0" w:color="auto"/>
        <w:left w:val="none" w:sz="0" w:space="0" w:color="auto"/>
        <w:bottom w:val="none" w:sz="0" w:space="0" w:color="auto"/>
        <w:right w:val="none" w:sz="0" w:space="0" w:color="auto"/>
      </w:divBdr>
    </w:div>
    <w:div w:id="1632595864">
      <w:bodyDiv w:val="1"/>
      <w:marLeft w:val="0"/>
      <w:marRight w:val="0"/>
      <w:marTop w:val="0"/>
      <w:marBottom w:val="0"/>
      <w:divBdr>
        <w:top w:val="none" w:sz="0" w:space="0" w:color="auto"/>
        <w:left w:val="none" w:sz="0" w:space="0" w:color="auto"/>
        <w:bottom w:val="none" w:sz="0" w:space="0" w:color="auto"/>
        <w:right w:val="none" w:sz="0" w:space="0" w:color="auto"/>
      </w:divBdr>
    </w:div>
    <w:div w:id="1638223538">
      <w:bodyDiv w:val="1"/>
      <w:marLeft w:val="0"/>
      <w:marRight w:val="0"/>
      <w:marTop w:val="0"/>
      <w:marBottom w:val="0"/>
      <w:divBdr>
        <w:top w:val="none" w:sz="0" w:space="0" w:color="auto"/>
        <w:left w:val="none" w:sz="0" w:space="0" w:color="auto"/>
        <w:bottom w:val="none" w:sz="0" w:space="0" w:color="auto"/>
        <w:right w:val="none" w:sz="0" w:space="0" w:color="auto"/>
      </w:divBdr>
    </w:div>
    <w:div w:id="1655065632">
      <w:bodyDiv w:val="1"/>
      <w:marLeft w:val="0"/>
      <w:marRight w:val="0"/>
      <w:marTop w:val="0"/>
      <w:marBottom w:val="0"/>
      <w:divBdr>
        <w:top w:val="none" w:sz="0" w:space="0" w:color="auto"/>
        <w:left w:val="none" w:sz="0" w:space="0" w:color="auto"/>
        <w:bottom w:val="none" w:sz="0" w:space="0" w:color="auto"/>
        <w:right w:val="none" w:sz="0" w:space="0" w:color="auto"/>
      </w:divBdr>
    </w:div>
    <w:div w:id="1676767431">
      <w:bodyDiv w:val="1"/>
      <w:marLeft w:val="0"/>
      <w:marRight w:val="0"/>
      <w:marTop w:val="0"/>
      <w:marBottom w:val="0"/>
      <w:divBdr>
        <w:top w:val="none" w:sz="0" w:space="0" w:color="auto"/>
        <w:left w:val="none" w:sz="0" w:space="0" w:color="auto"/>
        <w:bottom w:val="none" w:sz="0" w:space="0" w:color="auto"/>
        <w:right w:val="none" w:sz="0" w:space="0" w:color="auto"/>
      </w:divBdr>
    </w:div>
    <w:div w:id="1694184763">
      <w:bodyDiv w:val="1"/>
      <w:marLeft w:val="0"/>
      <w:marRight w:val="0"/>
      <w:marTop w:val="0"/>
      <w:marBottom w:val="0"/>
      <w:divBdr>
        <w:top w:val="none" w:sz="0" w:space="0" w:color="auto"/>
        <w:left w:val="none" w:sz="0" w:space="0" w:color="auto"/>
        <w:bottom w:val="none" w:sz="0" w:space="0" w:color="auto"/>
        <w:right w:val="none" w:sz="0" w:space="0" w:color="auto"/>
      </w:divBdr>
    </w:div>
    <w:div w:id="1705598648">
      <w:bodyDiv w:val="1"/>
      <w:marLeft w:val="0"/>
      <w:marRight w:val="0"/>
      <w:marTop w:val="0"/>
      <w:marBottom w:val="0"/>
      <w:divBdr>
        <w:top w:val="none" w:sz="0" w:space="0" w:color="auto"/>
        <w:left w:val="none" w:sz="0" w:space="0" w:color="auto"/>
        <w:bottom w:val="none" w:sz="0" w:space="0" w:color="auto"/>
        <w:right w:val="none" w:sz="0" w:space="0" w:color="auto"/>
      </w:divBdr>
    </w:div>
    <w:div w:id="1743330731">
      <w:bodyDiv w:val="1"/>
      <w:marLeft w:val="0"/>
      <w:marRight w:val="0"/>
      <w:marTop w:val="0"/>
      <w:marBottom w:val="0"/>
      <w:divBdr>
        <w:top w:val="none" w:sz="0" w:space="0" w:color="auto"/>
        <w:left w:val="none" w:sz="0" w:space="0" w:color="auto"/>
        <w:bottom w:val="none" w:sz="0" w:space="0" w:color="auto"/>
        <w:right w:val="none" w:sz="0" w:space="0" w:color="auto"/>
      </w:divBdr>
    </w:div>
    <w:div w:id="1760910714">
      <w:bodyDiv w:val="1"/>
      <w:marLeft w:val="0"/>
      <w:marRight w:val="0"/>
      <w:marTop w:val="0"/>
      <w:marBottom w:val="0"/>
      <w:divBdr>
        <w:top w:val="none" w:sz="0" w:space="0" w:color="auto"/>
        <w:left w:val="none" w:sz="0" w:space="0" w:color="auto"/>
        <w:bottom w:val="none" w:sz="0" w:space="0" w:color="auto"/>
        <w:right w:val="none" w:sz="0" w:space="0" w:color="auto"/>
      </w:divBdr>
    </w:div>
    <w:div w:id="1793941492">
      <w:bodyDiv w:val="1"/>
      <w:marLeft w:val="0"/>
      <w:marRight w:val="0"/>
      <w:marTop w:val="0"/>
      <w:marBottom w:val="0"/>
      <w:divBdr>
        <w:top w:val="none" w:sz="0" w:space="0" w:color="auto"/>
        <w:left w:val="none" w:sz="0" w:space="0" w:color="auto"/>
        <w:bottom w:val="none" w:sz="0" w:space="0" w:color="auto"/>
        <w:right w:val="none" w:sz="0" w:space="0" w:color="auto"/>
      </w:divBdr>
    </w:div>
    <w:div w:id="1796869834">
      <w:bodyDiv w:val="1"/>
      <w:marLeft w:val="0"/>
      <w:marRight w:val="0"/>
      <w:marTop w:val="0"/>
      <w:marBottom w:val="0"/>
      <w:divBdr>
        <w:top w:val="none" w:sz="0" w:space="0" w:color="auto"/>
        <w:left w:val="none" w:sz="0" w:space="0" w:color="auto"/>
        <w:bottom w:val="none" w:sz="0" w:space="0" w:color="auto"/>
        <w:right w:val="none" w:sz="0" w:space="0" w:color="auto"/>
      </w:divBdr>
    </w:div>
    <w:div w:id="1797334106">
      <w:bodyDiv w:val="1"/>
      <w:marLeft w:val="0"/>
      <w:marRight w:val="0"/>
      <w:marTop w:val="0"/>
      <w:marBottom w:val="0"/>
      <w:divBdr>
        <w:top w:val="none" w:sz="0" w:space="0" w:color="auto"/>
        <w:left w:val="none" w:sz="0" w:space="0" w:color="auto"/>
        <w:bottom w:val="none" w:sz="0" w:space="0" w:color="auto"/>
        <w:right w:val="none" w:sz="0" w:space="0" w:color="auto"/>
      </w:divBdr>
    </w:div>
    <w:div w:id="1799839878">
      <w:bodyDiv w:val="1"/>
      <w:marLeft w:val="0"/>
      <w:marRight w:val="0"/>
      <w:marTop w:val="0"/>
      <w:marBottom w:val="0"/>
      <w:divBdr>
        <w:top w:val="none" w:sz="0" w:space="0" w:color="auto"/>
        <w:left w:val="none" w:sz="0" w:space="0" w:color="auto"/>
        <w:bottom w:val="none" w:sz="0" w:space="0" w:color="auto"/>
        <w:right w:val="none" w:sz="0" w:space="0" w:color="auto"/>
      </w:divBdr>
    </w:div>
    <w:div w:id="2084643414">
      <w:bodyDiv w:val="1"/>
      <w:marLeft w:val="0"/>
      <w:marRight w:val="0"/>
      <w:marTop w:val="0"/>
      <w:marBottom w:val="0"/>
      <w:divBdr>
        <w:top w:val="none" w:sz="0" w:space="0" w:color="auto"/>
        <w:left w:val="none" w:sz="0" w:space="0" w:color="auto"/>
        <w:bottom w:val="none" w:sz="0" w:space="0" w:color="auto"/>
        <w:right w:val="none" w:sz="0" w:space="0" w:color="auto"/>
      </w:divBdr>
    </w:div>
    <w:div w:id="2104569032">
      <w:bodyDiv w:val="1"/>
      <w:marLeft w:val="0"/>
      <w:marRight w:val="0"/>
      <w:marTop w:val="0"/>
      <w:marBottom w:val="0"/>
      <w:divBdr>
        <w:top w:val="none" w:sz="0" w:space="0" w:color="auto"/>
        <w:left w:val="none" w:sz="0" w:space="0" w:color="auto"/>
        <w:bottom w:val="none" w:sz="0" w:space="0" w:color="auto"/>
        <w:right w:val="none" w:sz="0" w:space="0" w:color="auto"/>
      </w:divBdr>
    </w:div>
    <w:div w:id="2112970566">
      <w:bodyDiv w:val="1"/>
      <w:marLeft w:val="0"/>
      <w:marRight w:val="0"/>
      <w:marTop w:val="0"/>
      <w:marBottom w:val="0"/>
      <w:divBdr>
        <w:top w:val="none" w:sz="0" w:space="0" w:color="auto"/>
        <w:left w:val="none" w:sz="0" w:space="0" w:color="auto"/>
        <w:bottom w:val="none" w:sz="0" w:space="0" w:color="auto"/>
        <w:right w:val="none" w:sz="0" w:space="0" w:color="auto"/>
      </w:divBdr>
    </w:div>
    <w:div w:id="213525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Qui15</b:Tag>
    <b:SourceType>JournalArticle</b:SourceType>
    <b:Guid>{75A836DB-6DE6-4A41-8DCF-7C5F6D32A7BE}</b:Guid>
    <b:Author>
      <b:Author>
        <b:NameList>
          <b:Person>
            <b:Last>Quigley</b:Last>
            <b:First>K</b:First>
          </b:Person>
          <b:Person>
            <b:Last>Burns</b:Last>
            <b:First>C</b:First>
          </b:Person>
          <b:Person>
            <b:Last>Stallard</b:Last>
            <b:First>K</b:First>
          </b:Person>
        </b:NameList>
      </b:Author>
    </b:Author>
    <b:Title>Cyber Gurus: A rhetorical analysis of the language of cybersecurity specialists and the implications for security policy and critical infrastructure protection</b:Title>
    <b:JournalName>Government Information Quarterly</b:JournalName>
    <b:Year>2015</b:Year>
    <b:Pages>108-117</b:Pages>
    <b:Volume>32</b:Volume>
    <b:DOI>https://doi.org/10.1016/j.giq.2015.02.001</b:DOI>
    <b:RefOrder>3</b:RefOrder>
  </b:Source>
  <b:Source>
    <b:Tag>FBI15</b:Tag>
    <b:SourceType>InternetSite</b:SourceType>
    <b:Guid>{E04ED230-9DC5-43B6-B320-68586EF030E4}</b:Guid>
    <b:Title>The Company Man: protecting america’s secrets</b:Title>
    <b:Year>2015</b:Year>
    <b:Author>
      <b:Author>
        <b:Corporate>FBI</b:Corporate>
      </b:Author>
    </b:Author>
    <b:InternetSiteTitle>YouTube</b:InternetSiteTitle>
    <b:Month>July</b:Month>
    <b:Day>23</b:Day>
    <b:URL>https://www.youtube.com/watch?v=Gy_6HwujAtU</b:URL>
    <b:RefOrder>4</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6</b:RefOrder>
  </b:Source>
  <b:Source>
    <b:Tag>Gil11</b:Tag>
    <b:SourceType>JournalArticle</b:SourceType>
    <b:Guid>{519FE4A7-E833-4671-AFA0-EB957FFF517C}</b:Guid>
    <b:Title>mproving the quality of information security management systems with ISO27000</b:Title>
    <b:JournalName>TQM Journal</b:JournalName>
    <b:Year>2011</b:Year>
    <b:Pages>367-376</b:Pages>
    <b:Author>
      <b:Author>
        <b:NameList>
          <b:Person>
            <b:Last>Gillies</b:Last>
            <b:First>A</b:First>
          </b:Person>
        </b:NameList>
      </b:Author>
    </b:Author>
    <b:Volume>23</b:Volume>
    <b:Issue>4</b:Issue>
    <b:YearAccessed>2020</b:YearAccessed>
    <b:MonthAccessed>March</b:MonthAccessed>
    <b:DayAccessed>2</b:DayAccessed>
    <b:DOI>http://dx.doi.org.proxy1.ncu.edu/10.1108/17542731111139455</b:DOI>
    <b:RefOrder>7</b:RefOrder>
  </b:Source>
  <b:Source>
    <b:Tag>Gro18</b:Tag>
    <b:SourceType>JournalArticle</b:SourceType>
    <b:Guid>{C556FC63-7F4D-4130-97DA-9CFF2D6085F0}</b:Guid>
    <b:Title>Evolution of the cybersecurity framework</b:Title>
    <b:JournalName>ISSA Journal</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8</b:RefOrder>
  </b:Source>
  <b:Source>
    <b:Tag>Dev15</b:Tag>
    <b:SourceType>JournalArticle</b:SourceType>
    <b:Guid>{D7501B28-A183-4545-B27D-57A4C8AF2140}</b:Guid>
    <b:Title>Towards a Theoretical Foundation of IT Governance - The COBIT 5 case</b:Title>
    <b:JournalName>Electronic Journal of Information Systems Evaluation</b:JournalName>
    <b:Year>2015</b:Year>
    <b:Author>
      <b:Author>
        <b:NameList>
          <b:Person>
            <b:Last>Devos</b:Last>
            <b:First>J</b:First>
          </b:Person>
          <b:Person>
            <b:Last>Van de Ginste</b:Last>
            <b:First>K</b:First>
          </b:Person>
        </b:NameList>
      </b:Author>
    </b:Author>
    <b:Volume>18</b:Volume>
    <b:Issue>2</b:Issue>
    <b:YearAccessed>2020</b:YearAccessed>
    <b:MonthAccessed>May</b:MonthAccessed>
    <b:DayAccessed>2</b:DayAccessed>
    <b:URL>https://search-ebscohost-com.proxy1.ncu.edu/login.aspx?direct=true&amp;db=edb&amp;AN=109261833&amp;site=eds-live</b:URL>
    <b:RefOrder>10</b:RefOrder>
  </b:Source>
  <b:Source>
    <b:Tag>Shi18</b:Tag>
    <b:SourceType>JournalArticle</b:SourceType>
    <b:Guid>{3AD965C0-B8BF-4DBC-949E-A4BA96BDEF61}</b:Guid>
    <b:Title>Enacting Expertise: Ritual and Risk in Cybersecurity</b:Title>
    <b:Pages>31-40</b:Pages>
    <b:Year>2018</b:Year>
    <b:Author>
      <b:Author>
        <b:NameList>
          <b:Person>
            <b:Last>Shires</b:Last>
            <b:First>J</b:First>
          </b:Person>
        </b:NameList>
      </b:Author>
    </b:Author>
    <b:JournalName>Politics and Governance</b:JournalName>
    <b:Volume>6</b:Volume>
    <b:Issue>2</b:Issue>
    <b:YearAccessed>2020</b:YearAccessed>
    <b:MonthAccessed>May</b:MonthAccessed>
    <b:DayAccessed>2</b:DayAccessed>
    <b:DOI>https://doaj.org/toc/2183-2463</b:DOI>
    <b:RefOrder>11</b:RefOrder>
  </b:Source>
  <b:Source>
    <b:Tag>Fer19</b:Tag>
    <b:SourceType>InternetSite</b:SourceType>
    <b:Guid>{A17108A3-DD4A-4E17-9D87-68EA187599E7}</b:Guid>
    <b:Title>SEC charges Volkswagen and its former CEO with defrauding investors</b:Title>
    <b:Year>2019</b:Year>
    <b:Author>
      <b:Author>
        <b:NameList>
          <b:Person>
            <b:Last>Ferris</b:Last>
            <b:First>R</b:First>
          </b:Person>
          <b:Person>
            <b:Last>Rosenfeld</b:Last>
            <b:First>E</b:First>
          </b:Person>
        </b:NameList>
      </b:Author>
    </b:Author>
    <b:InternetSiteTitle>CNBC</b:InternetSiteTitle>
    <b:Month>March</b:Month>
    <b:Day>15</b:Day>
    <b:URL>https://www.cnbc.com/2019/03/15/dieselgate-sec-says-volkswagen-perpetrated-fraud-lied-to-investors.html</b:URL>
    <b:YearAccessed>2020</b:YearAccessed>
    <b:MonthAccessed>May</b:MonthAccessed>
    <b:DayAccessed>3</b:DayAccessed>
    <b:RefOrder>14</b:RefOrder>
  </b:Source>
  <b:Source>
    <b:Tag>Lan18</b:Tag>
    <b:SourceType>JournalArticle</b:SourceType>
    <b:Guid>{54FFA0E5-EC05-4F31-890A-3962D83E1C9F}</b:Guid>
    <b:Title>Enterprise Technology Risk in a New COSO ERM World: Eight Challenges Facing Management</b:Title>
    <b:Year>2018</b:Year>
    <b:URL>https://search-ebscohost-com.proxy1.ncu.edu/login.aspx?direct=true&amp;db=ofs&amp;AN=130364012&amp;site=eds-live</b:URL>
    <b:Author>
      <b:Author>
        <b:NameList>
          <b:Person>
            <b:Last>Lanz</b:Last>
            <b:First>J</b:First>
          </b:Person>
        </b:NameList>
      </b:Author>
    </b:Author>
    <b:JournalName>CPA Journal.</b:JournalName>
    <b:Pages>6-10</b:Pages>
    <b:Volume>88</b:Volume>
    <b:Issue>6</b:Issue>
    <b:ShortTitle>Eight Challenges Facing Management</b:ShortTitle>
    <b:YearAccessed>2020</b:YearAccessed>
    <b:MonthAccessed>May</b:MonthAccessed>
    <b:DayAccessed>2</b:DayAccessed>
    <b:RefOrder>15</b:RefOrder>
  </b:Source>
  <b:Source>
    <b:Tag>Com16</b:Tag>
    <b:SourceType>ConferenceProceedings</b:SourceType>
    <b:Guid>{AE71F122-A0B8-476E-B04D-7DCFF8F4611D}</b:Guid>
    <b:Title>Integrating cybersecurity into NAVAIR OTPS acquisition</b:Title>
    <b:Year>2016</b:Year>
    <b:Pages>1-5</b:Pages>
    <b:ConferenceName>IEEE AUTOTESTCON</b:ConferenceName>
    <b:City>Anaheim, CA</b:City>
    <b:Author>
      <b:Author>
        <b:NameList>
          <b:Person>
            <b:Last>Combass</b:Last>
            <b:First>T</b:First>
          </b:Person>
          <b:Person>
            <b:Last>Shilling</b:Last>
            <b:First>A</b:First>
          </b:Person>
        </b:NameList>
      </b:Author>
    </b:Author>
    <b:YearAccessed>2020</b:YearAccessed>
    <b:MonthAccessed>May</b:MonthAccessed>
    <b:DayAccessed>2</b:DayAccessed>
    <b:DOI>https://doi-org.proxy1.ncu.edu/10.1109/AUTEST.2016.7589632</b:DOI>
    <b:RefOrder>12</b:RefOrder>
  </b:Source>
  <b:Source>
    <b:Tag>Dai19</b:Tag>
    <b:SourceType>ConferenceProceedings</b:SourceType>
    <b:Guid>{C2496B47-1133-47F3-816E-EF1A96E4770A}</b:Guid>
    <b:Author>
      <b:Author>
        <b:NameList>
          <b:Person>
            <b:Last>Dai Zovi</b:Last>
            <b:First>D</b:First>
          </b:Person>
        </b:NameList>
      </b:Author>
    </b:Author>
    <b:Title>Every Security Team is a Software Team Now</b:Title>
    <b:Year>2019</b:Year>
    <b:ConferenceName>Blackhat USA</b:ConferenceName>
    <b:Publisher>Black Hat</b:Publisher>
    <b:YearAccessed>2020</b:YearAccessed>
    <b:MonthAccessed>May</b:MonthAccessed>
    <b:URL>https://www.youtube.com/watch?v=8armE3Wz0jk</b:URL>
    <b:RefOrder>9</b:RefOrder>
  </b:Source>
  <b:Source>
    <b:Tag>Kov184</b:Tag>
    <b:SourceType>JournalArticle</b:SourceType>
    <b:Guid>{1254F17D-06E9-4729-B52F-373C1142F0C0}</b:Guid>
    <b:Author>
      <b:Author>
        <b:NameList>
          <b:Person>
            <b:Last>Kovacs</b:Last>
          </b:Person>
        </b:NameList>
      </b:Author>
    </b:Author>
    <b:Title>Cyber Security Policy and Strategy in the European Union and NATO</b:Title>
    <b:JournalName>Revista Academiei Fortelor Terestre</b:JournalName>
    <b:Year>2018</b:Year>
    <b:Pages>16-24</b:Pages>
    <b:Volume>23</b:Volume>
    <b:Issue>1</b:Issue>
    <b:YearAccessed>2020</b:YearAccessed>
    <b:MonthAccessed>March</b:MonthAccessed>
    <b:DayAccessed>26</b:DayAccessed>
    <b:URL>ttps://search-ebscohost-com.proxy1.ncu.edu/login.aspx?direct=true&amp;db=a9h&amp;AN=128789540&amp;site=eds-live</b:URL>
    <b:RefOrder>13</b:RefOrder>
  </b:Source>
  <b:Source>
    <b:Tag>Kov183</b:Tag>
    <b:SourceType>JournalArticle</b:SourceType>
    <b:Guid>{10B7844D-CA75-403E-8433-8F2654C0F436}</b:Guid>
    <b:Title>National cybersecurity as the cornerstone of national security</b:Title>
    <b:Year>2018</b:Year>
    <b:JournalName>Revista Academiei Fortelor Terestre</b:JournalName>
    <b:Pages>113-120</b:Pages>
    <b:Author>
      <b:Author>
        <b:NameList>
          <b:Person>
            <b:Last>Kovacs</b:Last>
            <b:First>L</b:First>
          </b:Person>
        </b:NameList>
      </b:Author>
    </b:Author>
    <b:Volume>23</b:Volume>
    <b:Issue>2</b:Issue>
    <b:YearAccessed>2020</b:YearAccessed>
    <b:MonthAccessed>March</b:MonthAccessed>
    <b:DayAccessed>26</b:DayAccessed>
    <b:URL>https://search-ebscohost-com.proxy1.ncu.edu/login.aspx?direct=true&amp;db=a9h&amp;AN=130455890&amp;site=eds-liv</b:URL>
    <b:RefOrder>5</b:RefOrder>
  </b:Source>
  <b:Source>
    <b:Tag>Fin20</b:Tag>
    <b:SourceType>Film</b:SourceType>
    <b:Guid>{771DEB72-77D3-4C89-BE1D-5ADF9F2F4733}</b:Guid>
    <b:Title>Bad Education</b:Title>
    <b:Year>2020</b:Year>
    <b:Author>
      <b:Director>
        <b:NameList>
          <b:Person>
            <b:Last>Finley</b:Last>
            <b:First>C</b:First>
          </b:Person>
        </b:NameList>
      </b:Director>
      <b:Writer>
        <b:NameList>
          <b:Person>
            <b:Last>Makowsky</b:Last>
            <b:First>M</b:First>
          </b:Person>
          <b:Person>
            <b:Last>Kolker</b:Last>
            <b:First>R</b:First>
          </b:Person>
        </b:NameList>
      </b:Writer>
    </b:Author>
    <b:Distributor>HBO</b:Distributor>
    <b:Medium>Movie</b:Medium>
    <b:CountryRegion>USA</b:CountryRegion>
    <b:YearAccessed>2020</b:YearAccessed>
    <b:MonthAccessed>May</b:MonthAccessed>
    <b:DayAccessed>1</b:DayAccessed>
    <b:URL>https://www.hbo.com/movies/bad-education</b:URL>
    <b:RefOrder>16</b:RefOrder>
  </b:Source>
  <b:Source>
    <b:Tag>Ste18</b:Tag>
    <b:SourceType>JournalArticle</b:SourceType>
    <b:Guid>{B2857E14-072A-413D-9CC8-F50F5FB46645}</b:Guid>
    <b:Title>Global Cybersecurity: New Directions in Theory and Methods</b:Title>
    <b:Pages>1-4</b:Pages>
    <b:Year>2018</b:Year>
    <b:Author>
      <b:Author>
        <b:NameList>
          <b:Person>
            <b:Last>Stevens</b:Last>
            <b:First>T</b:First>
          </b:Person>
        </b:NameList>
      </b:Author>
    </b:Author>
    <b:JournalName>Politics and Governance. 6(2):1-4</b:JournalName>
    <b:DOI>doi:10.17645/pag.v6i2.1569</b:DOI>
    <b:RefOrder>1</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2</b:RefOrder>
  </b:Source>
</b:Sources>
</file>

<file path=customXml/itemProps1.xml><?xml version="1.0" encoding="utf-8"?>
<ds:datastoreItem xmlns:ds="http://schemas.openxmlformats.org/officeDocument/2006/customXml" ds:itemID="{44CE50A9-280B-4718-8028-2DC173F5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1588</TotalTime>
  <Pages>12</Pages>
  <Words>2805</Words>
  <Characters>15994</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66</cp:revision>
  <dcterms:created xsi:type="dcterms:W3CDTF">2019-05-19T17:38:00Z</dcterms:created>
  <dcterms:modified xsi:type="dcterms:W3CDTF">2020-05-04T01:27:00Z</dcterms:modified>
</cp:coreProperties>
</file>