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5519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47AE9CE6" w:rsidR="0082223F" w:rsidRDefault="004F387C" w:rsidP="005B7079">
      <w:pPr>
        <w:pStyle w:val="Heading1"/>
      </w:pPr>
      <w:bookmarkStart w:id="0" w:name="_Toc39424886"/>
      <w:r>
        <w:lastRenderedPageBreak/>
        <w:t>Appraise Risk Analysis, Frameworks, and Models</w:t>
      </w:r>
      <w:bookmarkEnd w:id="0"/>
    </w:p>
    <w:p w14:paraId="2AF240EB" w14:textId="77777777" w:rsidR="000B72D0" w:rsidRDefault="006E6CED" w:rsidP="005132B0">
      <w:pPr>
        <w:ind w:firstLine="720"/>
      </w:pPr>
      <w:r>
        <w:t xml:space="preserve">Hi-Tech Manufacturing (HTM) operates electronic car </w:t>
      </w:r>
      <w:proofErr w:type="gramStart"/>
      <w:r>
        <w:t>assemblies</w:t>
      </w:r>
      <w:proofErr w:type="gramEnd"/>
      <w:r>
        <w:t xml:space="preserve"> 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interact</w:t>
      </w:r>
      <w:r w:rsidR="00234A5E">
        <w:t>ing</w:t>
      </w:r>
      <w:r>
        <w:t xml:space="preserve"> with malware</w:t>
      </w:r>
      <w:r w:rsidR="00234A5E">
        <w:t xml:space="preserve"> that </w:t>
      </w:r>
      <w:r>
        <w:t>spreads across the network.  Team members might also lack security awareness and training, causing them to misapply safe</w:t>
      </w:r>
      <w:r w:rsidR="00234A5E">
        <w:t>ty</w:t>
      </w:r>
      <w:r>
        <w:t xml:space="preserve"> equipment and processes.</w:t>
      </w:r>
    </w:p>
    <w:p w14:paraId="0E371E6F" w14:textId="7B70A18B" w:rsidR="006E6CED" w:rsidRDefault="006E6CED" w:rsidP="005132B0">
      <w:pPr>
        <w:ind w:firstLine="720"/>
      </w:pPr>
      <w:r>
        <w:t xml:space="preserve">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t>
      </w:r>
      <w:r w:rsidR="00234A5E">
        <w:t>what</w:t>
      </w:r>
      <w:r>
        <w:t xml:space="preserve"> controls </w:t>
      </w:r>
      <w:r w:rsidR="00234A5E">
        <w:t xml:space="preserve">exist to </w:t>
      </w:r>
      <w:r>
        <w:t xml:space="preserve">prevent the cascade </w:t>
      </w:r>
      <w:r w:rsidR="00234A5E">
        <w:t xml:space="preserve">of failures or enable recovering </w:t>
      </w:r>
      <w:r>
        <w:t xml:space="preserve">the previous state?  These scenarios are a matter of </w:t>
      </w:r>
      <w:r w:rsidR="00343A3B">
        <w:t>'</w:t>
      </w:r>
      <w:r>
        <w:t>when-not-if,</w:t>
      </w:r>
      <w:r w:rsidR="00343A3B">
        <w:t>'</w:t>
      </w:r>
      <w:r>
        <w:t xml:space="preserve"> and choosing to acknowledge these issues upfront allows HTM to choose the battlefield.  The approach to handling these concerns needs a basis within academic and industry best practices.  For instance, the Nation Institute of Standards and Technology (NIST)</w:t>
      </w:r>
      <w:r w:rsidR="004A369B">
        <w:t xml:space="preserve"> provides </w:t>
      </w:r>
      <w:r>
        <w:t xml:space="preserve">the Cybersecurity Framework. </w:t>
      </w:r>
      <w:r w:rsidR="00F01C28">
        <w:t>NIST</w:t>
      </w:r>
      <w:r w:rsidR="00343A3B">
        <w:t>'</w:t>
      </w:r>
      <w:r>
        <w:t>s guidance allows the institution to adopt different risk profiles so that the implementation is neither too hot nor too cold.</w:t>
      </w:r>
      <w:r w:rsidR="0096601E">
        <w:t xml:space="preserve">  After weighing the cost-benefits of acceptable risks, a formal </w:t>
      </w:r>
      <w:r w:rsidR="0096601E">
        <w:lastRenderedPageBreak/>
        <w:t>review of those decisions needs to occur on a given cadence, ensuring those decisions are still valid.</w:t>
      </w:r>
    </w:p>
    <w:p w14:paraId="34F7605A" w14:textId="356F3685" w:rsidR="00A44932" w:rsidRDefault="00A44932" w:rsidP="00562CF7">
      <w:pPr>
        <w:pStyle w:val="Heading1"/>
      </w:pPr>
      <w:bookmarkStart w:id="1" w:name="_Toc39424887"/>
      <w:r>
        <w:t xml:space="preserve">What </w:t>
      </w:r>
      <w:r w:rsidR="0097534B">
        <w:t xml:space="preserve">influences </w:t>
      </w:r>
      <w:r>
        <w:t xml:space="preserve">risks to the </w:t>
      </w:r>
      <w:r w:rsidR="0097534B">
        <w:t>Hi-Tech</w:t>
      </w:r>
      <w:bookmarkEnd w:id="1"/>
    </w:p>
    <w:p w14:paraId="629D8D1C" w14:textId="29E84289" w:rsidR="0097534B" w:rsidRDefault="008A6911" w:rsidP="0097534B">
      <w:r>
        <w:tab/>
        <w:t>When an organization begins with technological solutions, they are likely to devise incomplete protection strategies</w:t>
      </w:r>
      <w:sdt>
        <w:sdtPr>
          <w:id w:val="-1862664852"/>
          <w:citation/>
        </w:sdtPr>
        <w:sdtEnd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End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07B36131" w:rsidR="00A44932" w:rsidRDefault="000445BD" w:rsidP="00562CF7">
      <w:pPr>
        <w:pStyle w:val="Heading2"/>
      </w:pPr>
      <w:bookmarkStart w:id="2" w:name="_Toc39424888"/>
      <w:r>
        <w:t>External Influences</w:t>
      </w:r>
      <w:bookmarkEnd w:id="2"/>
      <w:r>
        <w:t xml:space="preserve"> </w:t>
      </w:r>
    </w:p>
    <w:p w14:paraId="0C03768F" w14:textId="08FC1E50" w:rsidR="008A6911" w:rsidRDefault="008A6911" w:rsidP="0009506D">
      <w:r>
        <w:tab/>
        <w:t>External influences come from systems and actors that are outside of Hi-Tech</w:t>
      </w:r>
      <w:r w:rsidR="00343A3B">
        <w:t>'</w:t>
      </w:r>
      <w:r>
        <w:t xml:space="preserve">s control.  For instance, the Internet is like </w:t>
      </w:r>
      <w:r w:rsidR="00343A3B">
        <w:t>"</w:t>
      </w:r>
      <w:r>
        <w:t>the American Wild West – a place of little regulation and considerable opportunity and danger</w:t>
      </w:r>
      <w:sdt>
        <w:sdtPr>
          <w:id w:val="1037248304"/>
          <w:citation/>
        </w:sdtPr>
        <w:sdtEndPr/>
        <w:sdtContent>
          <w:r>
            <w:fldChar w:fldCharType="begin"/>
          </w:r>
          <w:r>
            <w:instrText xml:space="preserve">CITATION Qui15 \p 116 \l 1033 </w:instrText>
          </w:r>
          <w:r>
            <w:fldChar w:fldCharType="separate"/>
          </w:r>
          <w:r w:rsidR="00F03455">
            <w:rPr>
              <w:noProof/>
            </w:rPr>
            <w:t xml:space="preserve"> (Quigley, Burns, &amp; Stallard, 2015, p. 116)</w:t>
          </w:r>
          <w:r>
            <w:fldChar w:fldCharType="end"/>
          </w:r>
        </w:sdtContent>
      </w:sdt>
      <w:r>
        <w:t>.</w:t>
      </w:r>
      <w:r w:rsidR="00343A3B">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EndPr/>
        <w:sdtContent>
          <w:r>
            <w:fldChar w:fldCharType="begin"/>
          </w:r>
          <w:r>
            <w:instrText xml:space="preserve"> CITATION FBI15 \l 1033 </w:instrText>
          </w:r>
          <w:r>
            <w:fldChar w:fldCharType="separate"/>
          </w:r>
          <w:r w:rsidR="00F03455">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343A3B">
        <w:t>'</w:t>
      </w:r>
      <w:r w:rsidR="0009506D">
        <w:t>s rights</w:t>
      </w:r>
      <w:sdt>
        <w:sdtPr>
          <w:id w:val="1543642668"/>
          <w:citation/>
        </w:sdtPr>
        <w:sdtEndPr/>
        <w:sdtContent>
          <w:r w:rsidR="00DE028E">
            <w:fldChar w:fldCharType="begin"/>
          </w:r>
          <w:r w:rsidR="00F03455">
            <w:instrText xml:space="preserve">CITATION Kov183 \l 1033 </w:instrText>
          </w:r>
          <w:r w:rsidR="00DE028E">
            <w:fldChar w:fldCharType="separate"/>
          </w:r>
          <w:r w:rsidR="00F03455">
            <w:rPr>
              <w:noProof/>
            </w:rPr>
            <w:t xml:space="preserve"> (Kovacs L. ,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EndPr/>
        <w:sdtContent>
          <w:r w:rsidR="00DE028E">
            <w:fldChar w:fldCharType="begin"/>
          </w:r>
          <w:r w:rsidR="00DE028E">
            <w:instrText xml:space="preserve"> CITATION Kre19 \l 1033 </w:instrText>
          </w:r>
          <w:r w:rsidR="00DE028E">
            <w:fldChar w:fldCharType="separate"/>
          </w:r>
          <w:r w:rsidR="00F03455">
            <w:rPr>
              <w:noProof/>
            </w:rPr>
            <w:t xml:space="preserve"> (Krebs, </w:t>
          </w:r>
          <w:r w:rsidR="00F03455">
            <w:rPr>
              <w:noProof/>
            </w:rPr>
            <w:lastRenderedPageBreak/>
            <w:t>2019)</w:t>
          </w:r>
          <w:r w:rsidR="00DE028E">
            <w:fldChar w:fldCharType="end"/>
          </w:r>
        </w:sdtContent>
      </w:sdt>
      <w:r w:rsidR="00DE028E">
        <w:t>.</w:t>
      </w:r>
      <w:r w:rsidR="00DE028E" w:rsidRPr="00DE028E">
        <w:t xml:space="preserve"> </w:t>
      </w:r>
      <w:r w:rsidR="004A369B">
        <w:t xml:space="preserve"> </w:t>
      </w:r>
      <w:r w:rsidR="00DE028E">
        <w:t xml:space="preserve">Partial mitigation solutions exist for many </w:t>
      </w:r>
      <w:r w:rsidR="004A369B">
        <w:t xml:space="preserve">of these </w:t>
      </w:r>
      <w:r w:rsidR="00DE028E">
        <w:t>aspects</w:t>
      </w:r>
      <w:r w:rsidR="00E83A1E">
        <w:t>—h</w:t>
      </w:r>
      <w:r w:rsidR="004A369B">
        <w:t>owever,</w:t>
      </w:r>
      <w:r w:rsidR="00DE028E">
        <w:t xml:space="preserve"> a ten-foot wall does not stop a twelve-foot ladder.</w:t>
      </w:r>
    </w:p>
    <w:p w14:paraId="6606F054" w14:textId="105C66A5" w:rsidR="006608F1" w:rsidRDefault="006608F1" w:rsidP="006608F1">
      <w:pPr>
        <w:pStyle w:val="Heading2"/>
      </w:pPr>
      <w:bookmarkStart w:id="3" w:name="_Toc39424889"/>
      <w:r>
        <w:t>Internal Influences</w:t>
      </w:r>
      <w:bookmarkEnd w:id="3"/>
    </w:p>
    <w:p w14:paraId="0C5E4838" w14:textId="320AA0CA" w:rsidR="00E06CB6" w:rsidRPr="00A1662A" w:rsidRDefault="008A6911" w:rsidP="00A1662A">
      <w:pPr>
        <w:ind w:firstLine="720"/>
      </w:pPr>
      <w:r>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343A3B">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extend beyond private litigation to include a decrease in employee confidence and stain the public reputation of the business. Consider the ensuing ripple to Hi-Tech, if an assembly worker lost an arm</w:t>
      </w:r>
      <w:r w:rsidR="00E83A1E">
        <w:t>,</w:t>
      </w:r>
      <w:r w:rsidR="0094589D">
        <w:t xml:space="preserve"> or </w:t>
      </w:r>
      <w:r w:rsidR="00E83A1E">
        <w:t xml:space="preserve">the business leaks their </w:t>
      </w:r>
      <w:r w:rsidR="0094589D">
        <w:t>Personally Identifiable Information (PII).  These preventable accidents linger in the minds of staff and create hesitation</w:t>
      </w:r>
      <w:r w:rsidR="00E06CB6">
        <w:t xml:space="preserve"> to trust the organization</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w:t>
      </w:r>
      <w:r w:rsidR="00081A78">
        <w:t>should I</w:t>
      </w:r>
      <w:r w:rsidR="00E06CB6">
        <w:t xml:space="preserve"> take care of them?</w:t>
      </w:r>
      <w:r w:rsidR="00A1662A">
        <w:t xml:space="preserve">  </w:t>
      </w:r>
      <w:r w:rsidR="0072418E">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47276340" w14:textId="3954B0E2" w:rsidR="00A44932" w:rsidRDefault="00A44932" w:rsidP="00562CF7">
      <w:pPr>
        <w:pStyle w:val="Heading1"/>
      </w:pPr>
      <w:bookmarkStart w:id="4" w:name="_Toc39424890"/>
      <w:r>
        <w:lastRenderedPageBreak/>
        <w:t>How to approach these risks</w:t>
      </w:r>
      <w:bookmarkEnd w:id="4"/>
    </w:p>
    <w:p w14:paraId="7D210593" w14:textId="77B7335B"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End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w:t>
      </w:r>
      <w:r w:rsidR="005248EA">
        <w:t xml:space="preserve">  Table 1 contains definitions and examples of </w:t>
      </w:r>
      <w:r w:rsidR="002C774C">
        <w:t>when these different decisions are most relevant.</w:t>
      </w:r>
    </w:p>
    <w:p w14:paraId="6D3A779A" w14:textId="276C7385" w:rsidR="005248EA" w:rsidRDefault="005248EA" w:rsidP="005248EA">
      <w:pPr>
        <w:pStyle w:val="Caption"/>
      </w:pPr>
      <w:r>
        <w:t xml:space="preserve">Table </w:t>
      </w:r>
      <w:r w:rsidR="00755196">
        <w:fldChar w:fldCharType="begin"/>
      </w:r>
      <w:r w:rsidR="00755196">
        <w:instrText xml:space="preserve"> SEQ Table \* ARABIC </w:instrText>
      </w:r>
      <w:r w:rsidR="00755196">
        <w:fldChar w:fldCharType="separate"/>
      </w:r>
      <w:r>
        <w:rPr>
          <w:noProof/>
        </w:rPr>
        <w:t>1</w:t>
      </w:r>
      <w:r w:rsidR="00755196">
        <w:rPr>
          <w:noProof/>
        </w:rPr>
        <w:fldChar w:fldCharType="end"/>
      </w:r>
      <w:r>
        <w:t>: Approaches to Risk</w:t>
      </w:r>
    </w:p>
    <w:tbl>
      <w:tblPr>
        <w:tblStyle w:val="GridTable4"/>
        <w:tblW w:w="0" w:type="auto"/>
        <w:tblLook w:val="04A0" w:firstRow="1" w:lastRow="0" w:firstColumn="1" w:lastColumn="0" w:noHBand="0" w:noVBand="1"/>
      </w:tblPr>
      <w:tblGrid>
        <w:gridCol w:w="1576"/>
        <w:gridCol w:w="2453"/>
        <w:gridCol w:w="950"/>
        <w:gridCol w:w="1330"/>
        <w:gridCol w:w="3041"/>
      </w:tblGrid>
      <w:tr w:rsidR="00E83A1E" w14:paraId="2D47CB5F" w14:textId="77777777" w:rsidTr="00E8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58077DAB" w14:textId="247BE1CC" w:rsidR="00E83A1E" w:rsidRDefault="00E83A1E" w:rsidP="005248EA">
            <w:pPr>
              <w:jc w:val="center"/>
            </w:pPr>
            <w:r>
              <w:t>Approach</w:t>
            </w:r>
          </w:p>
        </w:tc>
        <w:tc>
          <w:tcPr>
            <w:tcW w:w="2458" w:type="dxa"/>
          </w:tcPr>
          <w:p w14:paraId="326CED00" w14:textId="3249E5DC"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950" w:type="dxa"/>
          </w:tcPr>
          <w:p w14:paraId="67B48334" w14:textId="4429ECD2"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Impact</w:t>
            </w:r>
          </w:p>
        </w:tc>
        <w:tc>
          <w:tcPr>
            <w:tcW w:w="1330" w:type="dxa"/>
          </w:tcPr>
          <w:p w14:paraId="4F63FFE0" w14:textId="6208E19B"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Likelihood</w:t>
            </w:r>
          </w:p>
        </w:tc>
        <w:tc>
          <w:tcPr>
            <w:tcW w:w="3047" w:type="dxa"/>
          </w:tcPr>
          <w:p w14:paraId="17CCF7B6" w14:textId="3E39EDC9"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E83A1E" w14:paraId="6F87A6F7"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651D594" w14:textId="15D39CE8" w:rsidR="00E83A1E" w:rsidRDefault="00E83A1E" w:rsidP="005248EA">
            <w:r>
              <w:t>Self-Protection</w:t>
            </w:r>
          </w:p>
        </w:tc>
        <w:tc>
          <w:tcPr>
            <w:tcW w:w="2458" w:type="dxa"/>
          </w:tcPr>
          <w:p w14:paraId="60FD502F" w14:textId="77777777" w:rsidR="00E83A1E" w:rsidRDefault="00E83A1E" w:rsidP="00E83A1E">
            <w:p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A9D9F8E" w:rsidR="00E83A1E" w:rsidRDefault="00E83A1E" w:rsidP="00E83A1E">
            <w:pPr>
              <w:cnfStyle w:val="000000100000" w:firstRow="0" w:lastRow="0" w:firstColumn="0" w:lastColumn="0" w:oddVBand="0" w:evenVBand="0" w:oddHBand="1" w:evenHBand="0" w:firstRowFirstColumn="0" w:firstRowLastColumn="0" w:lastRowFirstColumn="0" w:lastRowLastColumn="0"/>
            </w:pPr>
          </w:p>
        </w:tc>
        <w:tc>
          <w:tcPr>
            <w:tcW w:w="950" w:type="dxa"/>
          </w:tcPr>
          <w:p w14:paraId="75C7A92C" w14:textId="7C478854"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1330" w:type="dxa"/>
          </w:tcPr>
          <w:p w14:paraId="49B6B8D9" w14:textId="0BFB1692"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3047" w:type="dxa"/>
          </w:tcPr>
          <w:p w14:paraId="1A38A164" w14:textId="4A5C15A2"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E83A1E" w14:paraId="33EB3DE8"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7DB1997C" w14:textId="19098AEE" w:rsidR="00E83A1E" w:rsidRDefault="00E83A1E" w:rsidP="005248EA">
            <w:r>
              <w:t>Self-Insurance</w:t>
            </w:r>
          </w:p>
        </w:tc>
        <w:tc>
          <w:tcPr>
            <w:tcW w:w="2458" w:type="dxa"/>
          </w:tcPr>
          <w:p w14:paraId="1BAC389E" w14:textId="77777777" w:rsidR="00E83A1E" w:rsidRDefault="00E83A1E" w:rsidP="00E83A1E">
            <w:p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1D913FB2" w:rsidR="00E83A1E" w:rsidRDefault="00E83A1E" w:rsidP="00E83A1E">
            <w:pPr>
              <w:cnfStyle w:val="000000000000" w:firstRow="0" w:lastRow="0" w:firstColumn="0" w:lastColumn="0" w:oddVBand="0" w:evenVBand="0" w:oddHBand="0" w:evenHBand="0" w:firstRowFirstColumn="0" w:firstRowLastColumn="0" w:lastRowFirstColumn="0" w:lastRowLastColumn="0"/>
            </w:pPr>
          </w:p>
        </w:tc>
        <w:tc>
          <w:tcPr>
            <w:tcW w:w="950" w:type="dxa"/>
          </w:tcPr>
          <w:p w14:paraId="52144E91" w14:textId="63FE4551"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1330" w:type="dxa"/>
          </w:tcPr>
          <w:p w14:paraId="46EC7EC0" w14:textId="1731DBC3"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3047" w:type="dxa"/>
          </w:tcPr>
          <w:p w14:paraId="205BDD76" w14:textId="01DE443D"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E83A1E" w14:paraId="19778F7C"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453C6A5" w14:textId="4F5ABF84" w:rsidR="00E83A1E" w:rsidRDefault="00E83A1E" w:rsidP="005248EA">
            <w:r>
              <w:t>Risk Transference</w:t>
            </w:r>
          </w:p>
        </w:tc>
        <w:tc>
          <w:tcPr>
            <w:tcW w:w="2458" w:type="dxa"/>
          </w:tcPr>
          <w:p w14:paraId="6CF86E4C" w14:textId="1630263E" w:rsidR="00E83A1E" w:rsidRDefault="00E83A1E" w:rsidP="00E83A1E">
            <w:pPr>
              <w:cnfStyle w:val="000000100000" w:firstRow="0" w:lastRow="0" w:firstColumn="0" w:lastColumn="0" w:oddVBand="0" w:evenVBand="0" w:oddHBand="1" w:evenHBand="0" w:firstRowFirstColumn="0" w:firstRowLastColumn="0" w:lastRowFirstColumn="0" w:lastRowLastColumn="0"/>
            </w:pPr>
            <w:r>
              <w:t>Compensating a third-party to accept the risk</w:t>
            </w:r>
          </w:p>
        </w:tc>
        <w:tc>
          <w:tcPr>
            <w:tcW w:w="950" w:type="dxa"/>
          </w:tcPr>
          <w:p w14:paraId="3A5AB9B0" w14:textId="73F3BF19"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1330" w:type="dxa"/>
          </w:tcPr>
          <w:p w14:paraId="6EF378A9" w14:textId="5F528DE7"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3047" w:type="dxa"/>
          </w:tcPr>
          <w:p w14:paraId="2F1D962F" w14:textId="79C75421"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E83A1E" w14:paraId="4AC40019"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500991E8" w14:textId="294A3D02" w:rsidR="00E83A1E" w:rsidRDefault="00E83A1E" w:rsidP="005248EA">
            <w:r>
              <w:t>Avoidance</w:t>
            </w:r>
          </w:p>
        </w:tc>
        <w:tc>
          <w:tcPr>
            <w:tcW w:w="2458" w:type="dxa"/>
          </w:tcPr>
          <w:p w14:paraId="1A2F5DB5" w14:textId="57911EA3" w:rsidR="00E83A1E" w:rsidRDefault="00E83A1E" w:rsidP="00E83A1E">
            <w:pPr>
              <w:cnfStyle w:val="000000000000" w:firstRow="0" w:lastRow="0" w:firstColumn="0" w:lastColumn="0" w:oddVBand="0" w:evenVBand="0" w:oddHBand="0" w:evenHBand="0" w:firstRowFirstColumn="0" w:firstRowLastColumn="0" w:lastRowFirstColumn="0" w:lastRowLastColumn="0"/>
            </w:pPr>
            <w:r>
              <w:t>Refusing to engage in the high-risk scenario</w:t>
            </w:r>
          </w:p>
        </w:tc>
        <w:tc>
          <w:tcPr>
            <w:tcW w:w="950" w:type="dxa"/>
          </w:tcPr>
          <w:p w14:paraId="1A1E8318" w14:textId="688DB838"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1330" w:type="dxa"/>
          </w:tcPr>
          <w:p w14:paraId="0BE12CD1" w14:textId="4617B6BA"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3047" w:type="dxa"/>
          </w:tcPr>
          <w:p w14:paraId="4AD65179" w14:textId="0D68E335"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bookmarkStart w:id="5" w:name="_Toc39424891"/>
      <w:r>
        <w:t>Standards and Frameworks</w:t>
      </w:r>
      <w:bookmarkEnd w:id="5"/>
    </w:p>
    <w:p w14:paraId="48902B7B" w14:textId="0BEFE825"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w:t>
      </w:r>
      <w:r w:rsidR="00E83A1E">
        <w:t>approaches</w:t>
      </w:r>
      <w:r w:rsidR="00E211DD">
        <w:t xml:space="preserve"> follows a similar cycle of plan-act-assess</w:t>
      </w:r>
      <w:r w:rsidR="00E83A1E">
        <w:t>-revise</w:t>
      </w:r>
      <w:r w:rsidR="00E211DD">
        <w:t xml:space="preserve"> across different aspects of the stack (e.g., authentication, authorization, and auditing).</w:t>
      </w:r>
      <w:r w:rsidR="00F01C28">
        <w:t xml:space="preserve">  However</w:t>
      </w:r>
      <w:r w:rsidR="00E83A1E">
        <w:t>,</w:t>
      </w:r>
      <w:r w:rsidR="00F01C28">
        <w:t xml:space="preserve"> there are differences between the degree of enforcement versus guidance.  The origin of the standard also has a significant influence on the framework designers</w:t>
      </w:r>
      <w:r w:rsidR="00343A3B">
        <w:t>'</w:t>
      </w:r>
      <w:r w:rsidR="00F01C28">
        <w:t xml:space="preserve"> perspective, such as COBIT deriving from</w:t>
      </w:r>
      <w:r w:rsidR="00E83A1E">
        <w:t xml:space="preserve"> IT auditing then expanding with</w:t>
      </w:r>
      <w:r w:rsidR="00F01C28">
        <w:t xml:space="preserve"> industry commonalities.</w:t>
      </w:r>
    </w:p>
    <w:p w14:paraId="6B01D513" w14:textId="52F853CD" w:rsidR="00E211DD" w:rsidRDefault="00E211DD" w:rsidP="00E211DD">
      <w:pPr>
        <w:pStyle w:val="Heading2"/>
      </w:pPr>
      <w:bookmarkStart w:id="6" w:name="_Toc39424892"/>
      <w:r>
        <w:lastRenderedPageBreak/>
        <w:t>Balancing Guidance vs. Mandate</w:t>
      </w:r>
      <w:bookmarkEnd w:id="6"/>
    </w:p>
    <w:p w14:paraId="48743855" w14:textId="23670425" w:rsidR="00FE5CC8" w:rsidRDefault="00FE5CC8" w:rsidP="00E211DD">
      <w:pPr>
        <w:ind w:firstLine="720"/>
      </w:pPr>
      <w:r>
        <w:t xml:space="preserve">While each of these </w:t>
      </w:r>
      <w:r w:rsidR="002C67BE">
        <w:t>frameworks</w:t>
      </w:r>
      <w:r>
        <w:t xml:space="preserve"> </w:t>
      </w:r>
      <w:r w:rsidR="002C67BE">
        <w:t xml:space="preserve">possesses </w:t>
      </w:r>
      <w:r w:rsidR="00903981">
        <w:t xml:space="preserve">a </w:t>
      </w:r>
      <w:r w:rsidR="002C67BE">
        <w:t>similar structure</w:t>
      </w:r>
      <w:r>
        <w:t>,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EndPr/>
        <w:sdtContent>
          <w:r>
            <w:fldChar w:fldCharType="begin"/>
          </w:r>
          <w:r>
            <w:instrText xml:space="preserve"> CITATION Gil11 \l 1033 </w:instrText>
          </w:r>
          <w:r>
            <w:fldChar w:fldCharType="separate"/>
          </w:r>
          <w:r w:rsidR="00F03455">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EndPr/>
        <w:sdtContent>
          <w:r>
            <w:fldChar w:fldCharType="begin"/>
          </w:r>
          <w:r>
            <w:instrText xml:space="preserve">CITATION Gro18 \l 1033 </w:instrText>
          </w:r>
          <w:r>
            <w:fldChar w:fldCharType="separate"/>
          </w:r>
          <w:r w:rsidR="00F03455">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EndPr/>
        <w:sdtContent>
          <w:r>
            <w:fldChar w:fldCharType="begin"/>
          </w:r>
          <w:r w:rsidR="00F03455">
            <w:instrText xml:space="preserve">CITATION Dai19 \l 1033 </w:instrText>
          </w:r>
          <w:r>
            <w:fldChar w:fldCharType="separate"/>
          </w:r>
          <w:r w:rsidR="00F03455">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w:t>
      </w:r>
      <w:r w:rsidR="00903981">
        <w:t xml:space="preserve"> and</w:t>
      </w:r>
      <w:r>
        <w:t xml:space="preserve"> is</w:t>
      </w:r>
      <w:r w:rsidR="00903981">
        <w:t xml:space="preserve"> an</w:t>
      </w:r>
      <w:r>
        <w:t xml:space="preserve"> easier sell to leadership.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bookmarkStart w:id="7" w:name="_Toc39424893"/>
      <w:r>
        <w:t>Considering Framework Influencers</w:t>
      </w:r>
      <w:bookmarkEnd w:id="7"/>
    </w:p>
    <w:p w14:paraId="62C39BCD" w14:textId="32A04E5C" w:rsidR="00E211DD" w:rsidRPr="00E211DD" w:rsidRDefault="00E211DD" w:rsidP="00E211DD">
      <w:r>
        <w:tab/>
      </w:r>
      <w:r w:rsidR="00F01C28">
        <w:t>Frameworks like (COBIT)—Control Objective for Information and Information Related Technologies—does not officially use academic theory, but does contain many concepts from Principal-Agent Theory (PAT) and Stakeholder Theory (SHT) to describe the everyday successes from practitioners</w:t>
      </w:r>
      <w:sdt>
        <w:sdtPr>
          <w:id w:val="145867051"/>
          <w:citation/>
        </w:sdtPr>
        <w:sdtEndPr/>
        <w:sdtContent>
          <w:r w:rsidR="00F01C28">
            <w:fldChar w:fldCharType="begin"/>
          </w:r>
          <w:r w:rsidR="00F01C28">
            <w:instrText xml:space="preserve"> CITATION Dev15 \l 1033 </w:instrText>
          </w:r>
          <w:r w:rsidR="00F01C28">
            <w:fldChar w:fldCharType="separate"/>
          </w:r>
          <w:r w:rsidR="00F03455">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w:t>
      </w:r>
      <w:r w:rsidR="00903981">
        <w:t>.  Also</w:t>
      </w:r>
      <w:r w:rsidR="00603C7E">
        <w:t>,</w:t>
      </w:r>
      <w:r w:rsidR="00903981">
        <w:t xml:space="preserve"> </w:t>
      </w:r>
      <w:r w:rsidR="00F01C28">
        <w:t>security engineers culturally tend to gravitate toward hands-on solutions rather than formal academic theory</w:t>
      </w:r>
      <w:sdt>
        <w:sdtPr>
          <w:id w:val="-622306669"/>
          <w:citation/>
        </w:sdtPr>
        <w:sdtEndPr/>
        <w:sdtContent>
          <w:r w:rsidR="00F01C28">
            <w:fldChar w:fldCharType="begin"/>
          </w:r>
          <w:r w:rsidR="00F01C28">
            <w:instrText xml:space="preserve"> CITATION Shi18 \l 1033 </w:instrText>
          </w:r>
          <w:r w:rsidR="00F01C28">
            <w:fldChar w:fldCharType="separate"/>
          </w:r>
          <w:r w:rsidR="00F03455">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w:t>
      </w:r>
      <w:r w:rsidR="004B7DA9">
        <w:t xml:space="preserve">can be </w:t>
      </w:r>
      <w:r w:rsidR="00F01C28">
        <w:t>paired with the Operational Test Program Set (OTPS) to provide a checklist of assertions and expectations of acquired products</w:t>
      </w:r>
      <w:sdt>
        <w:sdtPr>
          <w:id w:val="-969975187"/>
          <w:citation/>
        </w:sdtPr>
        <w:sdtEndPr/>
        <w:sdtContent>
          <w:r w:rsidR="00F01C28">
            <w:fldChar w:fldCharType="begin"/>
          </w:r>
          <w:r w:rsidR="00F03455">
            <w:instrText xml:space="preserve">CITATION Com16 \l 1033 </w:instrText>
          </w:r>
          <w:r w:rsidR="00F01C28">
            <w:fldChar w:fldCharType="separate"/>
          </w:r>
          <w:r w:rsidR="00F03455">
            <w:rPr>
              <w:noProof/>
            </w:rPr>
            <w:t xml:space="preserve"> (Combass &amp; Shilling, 2016)</w:t>
          </w:r>
          <w:r w:rsidR="00F01C28">
            <w:fldChar w:fldCharType="end"/>
          </w:r>
        </w:sdtContent>
      </w:sdt>
      <w:r w:rsidR="00F01C28">
        <w:t xml:space="preserve">.  While there are </w:t>
      </w:r>
      <w:r w:rsidR="00F01C28">
        <w:lastRenderedPageBreak/>
        <w:t xml:space="preserve">strengths to both solutions, it is unlikely that either addresses all scenarios equally.  </w:t>
      </w:r>
      <w:proofErr w:type="gramStart"/>
      <w:r w:rsidR="00F01C28">
        <w:t>Similar to</w:t>
      </w:r>
      <w:proofErr w:type="gramEnd"/>
      <w:r w:rsidR="00F01C28">
        <w:t xml:space="preserve"> NIST versus ISO, there need to be considerations around the organizational culture and the degree of expected formality.</w:t>
      </w:r>
    </w:p>
    <w:p w14:paraId="731C4628" w14:textId="5CE22B8F" w:rsidR="00A44932" w:rsidRDefault="00A44932" w:rsidP="00562CF7">
      <w:pPr>
        <w:pStyle w:val="Heading2"/>
      </w:pPr>
      <w:bookmarkStart w:id="8" w:name="_Toc39424894"/>
      <w:r>
        <w:t>Appropriate laws</w:t>
      </w:r>
      <w:bookmarkEnd w:id="8"/>
    </w:p>
    <w:p w14:paraId="45F19FE3" w14:textId="0C8F6575" w:rsidR="00894B87" w:rsidRPr="00CC79FE" w:rsidRDefault="00440423" w:rsidP="00CC79FE">
      <w:r>
        <w:tab/>
        <w:t xml:space="preserve">In specific situations, the business needs to choose certain standards and maturity levels to meet </w:t>
      </w:r>
      <w:r w:rsidR="004B7DA9">
        <w:t xml:space="preserve">the </w:t>
      </w:r>
      <w:r>
        <w:t>expectations of regulat</w:t>
      </w:r>
      <w:r w:rsidR="004B7DA9">
        <w:t>ors</w:t>
      </w:r>
      <w:r>
        <w:t xml:space="preserve">,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w:t>
      </w:r>
      <w:r w:rsidR="004B7DA9">
        <w:t xml:space="preserve">(1) </w:t>
      </w:r>
      <w:r>
        <w:t xml:space="preserve">respect user privacy or </w:t>
      </w:r>
      <w:r w:rsidR="004B7DA9">
        <w:t xml:space="preserve">(2) </w:t>
      </w:r>
      <w:r>
        <w:t>recognizes that user data belongs to that person</w:t>
      </w:r>
      <w:sdt>
        <w:sdtPr>
          <w:id w:val="-369534346"/>
          <w:citation/>
        </w:sdtPr>
        <w:sdtEndPr/>
        <w:sdtContent>
          <w:r>
            <w:fldChar w:fldCharType="begin"/>
          </w:r>
          <w:r w:rsidR="00F03455">
            <w:instrText xml:space="preserve">CITATION Kov184 \l 1033 </w:instrText>
          </w:r>
          <w:r>
            <w:fldChar w:fldCharType="separate"/>
          </w:r>
          <w:r w:rsidR="00F03455">
            <w:rPr>
              <w:noProof/>
            </w:rPr>
            <w:t xml:space="preserve"> (Kovacs, 2018)</w:t>
          </w:r>
          <w:r>
            <w:fldChar w:fldCharType="end"/>
          </w:r>
        </w:sdtContent>
      </w:sdt>
      <w:r>
        <w:t>.  Outside of the digital space, manufacturing organization</w:t>
      </w:r>
      <w:r w:rsidR="004B7DA9">
        <w:t>s</w:t>
      </w:r>
      <w:r>
        <w:t xml:space="preserve"> also needs to meet the </w:t>
      </w:r>
      <w:r w:rsidR="004B7DA9">
        <w:t xml:space="preserve">employee safety </w:t>
      </w:r>
      <w:r>
        <w:t>standards of the Occupational Safety and Health Administration (OSHA</w:t>
      </w:r>
      <w:r w:rsidR="004B7DA9">
        <w:t>)</w:t>
      </w:r>
      <w:r>
        <w:t>.  Legal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EndPr/>
        <w:sdtContent>
          <w:r>
            <w:fldChar w:fldCharType="begin"/>
          </w:r>
          <w:r>
            <w:instrText xml:space="preserve"> CITATION Fer19 \l 1033 </w:instrText>
          </w:r>
          <w:r>
            <w:fldChar w:fldCharType="separate"/>
          </w:r>
          <w:r w:rsidR="00F03455">
            <w:rPr>
              <w:noProof/>
            </w:rPr>
            <w:t xml:space="preserve"> (Ferris &amp; Rosenfeld, 2019)</w:t>
          </w:r>
          <w:r>
            <w:fldChar w:fldCharType="end"/>
          </w:r>
        </w:sdtContent>
      </w:sdt>
      <w:r>
        <w:t>.  Hi-Tech needs to avoid these penalties by working with legal counsel, operating in a socially responsible manner, and purchasing insurance.</w:t>
      </w:r>
      <w:r w:rsidR="00CC79FE">
        <w:t xml:space="preserve">  </w:t>
      </w:r>
      <w:r w:rsidR="00894B87">
        <w:t xml:space="preserve">Many frameworks and standards provide puzzle pieces and expect the organization to make them fit.  This approach can require the </w:t>
      </w:r>
      <w:r w:rsidR="004B7DA9">
        <w:t>business</w:t>
      </w:r>
      <w:r w:rsidR="00894B87">
        <w:t xml:space="preserve"> to get out the scissors and mutilate either </w:t>
      </w:r>
      <w:r w:rsidR="004B7DA9">
        <w:t xml:space="preserve">(a) </w:t>
      </w:r>
      <w:r w:rsidR="00894B87">
        <w:t xml:space="preserve">their existing processes or </w:t>
      </w:r>
      <w:r w:rsidR="004B7DA9">
        <w:t xml:space="preserve">(b) </w:t>
      </w:r>
      <w:r w:rsidR="00894B87">
        <w:t>the standard itself.  However, the objective of a framework is to meet the needs of the organization, not the other way.  This perspective most closely aligns with the NIST Cybersecurity Framework and its good, better, best mentality through risk profiles.</w:t>
      </w:r>
    </w:p>
    <w:p w14:paraId="27E4B615" w14:textId="77777777" w:rsidR="00CC79FE" w:rsidRDefault="00CC79FE">
      <w:pPr>
        <w:rPr>
          <w:b/>
        </w:rPr>
      </w:pPr>
      <w:r>
        <w:br w:type="page"/>
      </w:r>
    </w:p>
    <w:p w14:paraId="6A730289" w14:textId="0AE16E48" w:rsidR="00894B87" w:rsidRDefault="00A44932" w:rsidP="00894B87">
      <w:pPr>
        <w:pStyle w:val="Heading1"/>
      </w:pPr>
      <w:bookmarkStart w:id="9" w:name="_Toc39424895"/>
      <w:r>
        <w:lastRenderedPageBreak/>
        <w:t>Us</w:t>
      </w:r>
      <w:r w:rsidR="00A65A10">
        <w:t>ing</w:t>
      </w:r>
      <w:r>
        <w:t xml:space="preserve"> </w:t>
      </w:r>
      <w:r w:rsidR="00562CF7">
        <w:t xml:space="preserve">an </w:t>
      </w:r>
      <w:r>
        <w:t>established framework</w:t>
      </w:r>
      <w:bookmarkEnd w:id="9"/>
    </w:p>
    <w:p w14:paraId="5AE6A819" w14:textId="437FB5D0" w:rsidR="0083064D" w:rsidRDefault="0083064D" w:rsidP="0083064D">
      <w:r>
        <w:tab/>
        <w:t>Hi-Tech needs to use the chosen framework to protect the corporate resources and end-user privacy, in a manner that aligns with regulatory and social norms.  These scenarios include data governance, vendor management, cost management, organizational culture, and artificial intelligence</w:t>
      </w:r>
      <w:sdt>
        <w:sdtPr>
          <w:id w:val="631214832"/>
          <w:citation/>
        </w:sdtPr>
        <w:sdtEndPr/>
        <w:sdtContent>
          <w:r>
            <w:fldChar w:fldCharType="begin"/>
          </w:r>
          <w:r>
            <w:instrText xml:space="preserve"> CITATION Lan18 \l 1033 </w:instrText>
          </w:r>
          <w:r>
            <w:fldChar w:fldCharType="separate"/>
          </w:r>
          <w:r w:rsidR="00F03455">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EndPr/>
        <w:sdtContent>
          <w:r>
            <w:fldChar w:fldCharType="begin"/>
          </w:r>
          <w:r>
            <w:instrText xml:space="preserve"> CITATION Gro18 \l 1033 </w:instrText>
          </w:r>
          <w:r>
            <w:fldChar w:fldCharType="separate"/>
          </w:r>
          <w:r w:rsidR="00F03455">
            <w:rPr>
              <w:noProof/>
            </w:rPr>
            <w:t xml:space="preserve"> (Grohmann, 2018)</w:t>
          </w:r>
          <w:r>
            <w:fldChar w:fldCharType="end"/>
          </w:r>
        </w:sdtContent>
      </w:sdt>
      <w:r>
        <w:t>.  When constraining risk within the guidance of the framework, it is not sufficient to set-it-and-forget. Instead, periodic assessments need to revisit the security decisions and confirm they still meet the maturity standards of Hi-Tech</w:t>
      </w:r>
      <w:sdt>
        <w:sdtPr>
          <w:id w:val="783777388"/>
          <w:citation/>
        </w:sdtPr>
        <w:sdtEndPr/>
        <w:sdtContent>
          <w:r>
            <w:fldChar w:fldCharType="begin"/>
          </w:r>
          <w:r w:rsidR="00F03455">
            <w:instrText xml:space="preserve">CITATION Com16 \l 1033 </w:instrText>
          </w:r>
          <w:r>
            <w:fldChar w:fldCharType="separate"/>
          </w:r>
          <w:r w:rsidR="00F03455">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rsidR="00343A3B">
        <w:t>'</w:t>
      </w:r>
      <w:r w:rsidRPr="0083064D">
        <w:t>s law</w:t>
      </w:r>
      <w:r>
        <w:t xml:space="preserve"> took hold and the </w:t>
      </w:r>
      <w:r w:rsidR="005A1847">
        <w:t xml:space="preserve">more performant </w:t>
      </w:r>
      <w:r>
        <w:t xml:space="preserve">computing </w:t>
      </w:r>
      <w:r w:rsidR="005A1847">
        <w:t xml:space="preserve">resources rose </w:t>
      </w:r>
      <w:r>
        <w:t xml:space="preserve">caused a </w:t>
      </w:r>
      <w:proofErr w:type="spellStart"/>
      <w:r>
        <w:t>supersedence</w:t>
      </w:r>
      <w:proofErr w:type="spellEnd"/>
      <w:r>
        <w:t xml:space="preserve"> with Message Digest v5 (MD5), then Secure Hashing Algorithm (SHA</w:t>
      </w:r>
      <w:r w:rsidR="00A70699">
        <w:t>-3</w:t>
      </w:r>
      <w:r>
        <w:t>).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w:t>
      </w:r>
      <w:r w:rsidR="00343A3B">
        <w:t>'</w:t>
      </w:r>
      <w:r>
        <w:t>s intellectual proprietary any less valuable, nor does it discourage attempts at forced acquisition</w:t>
      </w:r>
      <w:sdt>
        <w:sdtPr>
          <w:id w:val="493233150"/>
          <w:citation/>
        </w:sdtPr>
        <w:sdtEnd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bookmarkStart w:id="10" w:name="_Toc39424896" w:displacedByCustomXml="next"/>
    <w:sdt>
      <w:sdtPr>
        <w:rPr>
          <w:b w:val="0"/>
        </w:rPr>
        <w:id w:val="63537041"/>
        <w:docPartObj>
          <w:docPartGallery w:val="Bibliographies"/>
          <w:docPartUnique/>
        </w:docPartObj>
      </w:sdtPr>
      <w:sdtEndPr/>
      <w:sdtContent>
        <w:p w14:paraId="71AD6372" w14:textId="2271C6CF" w:rsidR="00343A3B" w:rsidRPr="006337A0" w:rsidRDefault="00343A3B">
          <w:pPr>
            <w:pStyle w:val="Heading1"/>
            <w:rPr>
              <w:b w:val="0"/>
              <w:bCs/>
            </w:rPr>
          </w:pPr>
          <w:r w:rsidRPr="006337A0">
            <w:rPr>
              <w:b w:val="0"/>
              <w:bCs/>
            </w:rPr>
            <w:t>References</w:t>
          </w:r>
          <w:bookmarkEnd w:id="10"/>
        </w:p>
        <w:sdt>
          <w:sdtPr>
            <w:id w:val="-573587230"/>
            <w:bibliography/>
          </w:sdtPr>
          <w:sdtEndPr/>
          <w:sdtContent>
            <w:p w14:paraId="39A69685" w14:textId="4A3A1C79" w:rsidR="00F03455" w:rsidRDefault="00343A3B" w:rsidP="00F03455">
              <w:pPr>
                <w:pStyle w:val="Bibliography"/>
                <w:ind w:left="720" w:hanging="720"/>
                <w:rPr>
                  <w:noProof/>
                </w:rPr>
              </w:pPr>
              <w:r>
                <w:fldChar w:fldCharType="begin"/>
              </w:r>
              <w:r>
                <w:instrText xml:space="preserve"> BIBLIOGRAPHY </w:instrText>
              </w:r>
              <w:r>
                <w:fldChar w:fldCharType="separate"/>
              </w:r>
              <w:r w:rsidR="00F03455">
                <w:rPr>
                  <w:noProof/>
                </w:rPr>
                <w:t>Baskerville, R., Rowe, F., &amp; Wolff, F. (2</w:t>
              </w:r>
              <w:r w:rsidR="004B78E1">
                <w:rPr>
                  <w:noProof/>
                </w:rPr>
                <w:t>0</w:t>
              </w:r>
              <w:r w:rsidR="00F03455">
                <w:rPr>
                  <w:noProof/>
                </w:rPr>
                <w:t xml:space="preserve">18). Integration of information systems and cybersecurity countermeasures. </w:t>
              </w:r>
              <w:r w:rsidR="00F03455">
                <w:rPr>
                  <w:i/>
                  <w:iCs/>
                  <w:noProof/>
                </w:rPr>
                <w:t>SIGMIS Database. Volume 49</w:t>
              </w:r>
              <w:r w:rsidR="00F03455">
                <w:rPr>
                  <w:noProof/>
                </w:rPr>
                <w:t>, 33-52. doi:https://doi.org/10.1145/3184444.3184448.</w:t>
              </w:r>
            </w:p>
            <w:p w14:paraId="46E941CF" w14:textId="77777777" w:rsidR="00F03455" w:rsidRDefault="00F03455" w:rsidP="00F03455">
              <w:pPr>
                <w:pStyle w:val="Bibliography"/>
                <w:ind w:left="720" w:hanging="720"/>
                <w:rPr>
                  <w:noProof/>
                </w:rPr>
              </w:pPr>
              <w:r>
                <w:rPr>
                  <w:noProof/>
                </w:rPr>
                <w:t xml:space="preserve">Combass, T., &amp; Shilling, A. (2016). Integrating cybersecurity into NAVAIR OTPS acquisition. </w:t>
              </w:r>
              <w:r>
                <w:rPr>
                  <w:i/>
                  <w:iCs/>
                  <w:noProof/>
                </w:rPr>
                <w:t>IEEE AUTOTESTCON</w:t>
              </w:r>
              <w:r>
                <w:rPr>
                  <w:noProof/>
                </w:rPr>
                <w:t>, (pp. 1-5). Anaheim, CA. doi:https://doi-org.proxy1.ncu.edu/10.1109/AUTEST.2016.7589632</w:t>
              </w:r>
            </w:p>
            <w:p w14:paraId="7D8E85B3" w14:textId="77777777" w:rsidR="00F03455" w:rsidRDefault="00F03455" w:rsidP="00F03455">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5FAC2C9F" w14:textId="445B44D1" w:rsidR="00F03455" w:rsidRDefault="00F03455" w:rsidP="00F03455">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May 2nd, 2020, from https://search-ebscohost-com.proxy1.ncu.edu/login.aspx?direct=true&amp;db=edb&amp;AN=109261833&amp;site=eds-live</w:t>
              </w:r>
            </w:p>
            <w:p w14:paraId="6B38AEB2" w14:textId="7FEED2C3" w:rsidR="00F03455" w:rsidRDefault="00F03455" w:rsidP="00F03455">
              <w:pPr>
                <w:pStyle w:val="Bibliography"/>
                <w:ind w:left="720" w:hanging="720"/>
                <w:rPr>
                  <w:noProof/>
                </w:rPr>
              </w:pPr>
              <w:r>
                <w:rPr>
                  <w:noProof/>
                </w:rPr>
                <w:t xml:space="preserve">FBI. (2015, July 23rd). </w:t>
              </w:r>
              <w:r>
                <w:rPr>
                  <w:i/>
                  <w:iCs/>
                  <w:noProof/>
                </w:rPr>
                <w:t>The Company Man: Protecting America's secrets</w:t>
              </w:r>
              <w:r>
                <w:rPr>
                  <w:noProof/>
                </w:rPr>
                <w:t>. Retrieved from YouTube: https://www.youtube.com/watch?v=Gy_6HwujAtU</w:t>
              </w:r>
            </w:p>
            <w:p w14:paraId="7892C1D2" w14:textId="34D147DC" w:rsidR="00F03455" w:rsidRDefault="00F03455" w:rsidP="00F03455">
              <w:pPr>
                <w:pStyle w:val="Bibliography"/>
                <w:ind w:left="720" w:hanging="720"/>
                <w:rPr>
                  <w:noProof/>
                </w:rPr>
              </w:pPr>
              <w:r>
                <w:rPr>
                  <w:noProof/>
                </w:rPr>
                <w:t xml:space="preserve">Ferris, R., &amp; Rosenfeld, E. (2019, March 15th). </w:t>
              </w:r>
              <w:r>
                <w:rPr>
                  <w:i/>
                  <w:iCs/>
                  <w:noProof/>
                </w:rPr>
                <w:t>SEC charges Volkswagen and its former CEO with defrauding investors</w:t>
              </w:r>
              <w:r>
                <w:rPr>
                  <w:noProof/>
                </w:rPr>
                <w:t>. Retrieved May 3rd, 2020, from CNBC: https://www.cnbc.com/2019/03/15/dieselgate-sec-says-volkswagen-perpetrated-fraud-lied-to-investors.html</w:t>
              </w:r>
            </w:p>
            <w:p w14:paraId="31228981" w14:textId="460A6F62" w:rsidR="00F03455" w:rsidRDefault="00F03455" w:rsidP="00F03455">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1501E937" w14:textId="5BBEA560" w:rsidR="00F03455" w:rsidRDefault="00F03455" w:rsidP="00F03455">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2nd, 2020, from https://search-ebscohost-com.proxy1.ncu.edu/login.aspx?direct=true&amp;db=tsh&amp;AN=130572679&amp;site=eds-live</w:t>
              </w:r>
            </w:p>
            <w:p w14:paraId="055CA42C" w14:textId="0159C2BC" w:rsidR="00F03455" w:rsidRDefault="00F03455" w:rsidP="00F03455">
              <w:pPr>
                <w:pStyle w:val="Bibliography"/>
                <w:ind w:left="720" w:hanging="720"/>
                <w:rPr>
                  <w:noProof/>
                </w:rPr>
              </w:pPr>
              <w:r>
                <w:rPr>
                  <w:noProof/>
                </w:rPr>
                <w:t xml:space="preserve">Kovacs. (2018). Cyber Security Policy and Strategy in the European Union and NATO. </w:t>
              </w:r>
              <w:r>
                <w:rPr>
                  <w:i/>
                  <w:iCs/>
                  <w:noProof/>
                </w:rPr>
                <w:t>Revista Academiei Fortelor Te</w:t>
              </w:r>
              <w:r w:rsidR="00A164E2">
                <w:rPr>
                  <w:i/>
                  <w:iCs/>
                  <w:noProof/>
                </w:rPr>
                <w:t>r</w:t>
              </w:r>
              <w:r>
                <w:rPr>
                  <w:i/>
                  <w:iCs/>
                  <w:noProof/>
                </w:rPr>
                <w:t>restre, 23</w:t>
              </w:r>
              <w:r>
                <w:rPr>
                  <w:noProof/>
                </w:rPr>
                <w:t>(1), 16-24. Retrieved March 26th, 2020, from ttps://search-ebscohost-com.proxy1.ncu.edu/login.aspx?direct=true&amp;db=a9h&amp;AN=128789540&amp;site=eds-live</w:t>
              </w:r>
            </w:p>
            <w:p w14:paraId="4E12E082" w14:textId="6B904CF5" w:rsidR="00F03455" w:rsidRDefault="00F03455" w:rsidP="00F03455">
              <w:pPr>
                <w:pStyle w:val="Bibliography"/>
                <w:ind w:left="720" w:hanging="720"/>
                <w:rPr>
                  <w:noProof/>
                </w:rPr>
              </w:pPr>
              <w:r>
                <w:rPr>
                  <w:noProof/>
                </w:rPr>
                <w:t xml:space="preserve">Kovacs, L. (2018). National cybersecurity as the cornerstone of national security. </w:t>
              </w:r>
              <w:r>
                <w:rPr>
                  <w:i/>
                  <w:iCs/>
                  <w:noProof/>
                </w:rPr>
                <w:t>Revista Academiei Fortelor Te</w:t>
              </w:r>
              <w:r w:rsidR="00A164E2">
                <w:rPr>
                  <w:i/>
                  <w:iCs/>
                  <w:noProof/>
                </w:rPr>
                <w:t>r</w:t>
              </w:r>
              <w:r>
                <w:rPr>
                  <w:i/>
                  <w:iCs/>
                  <w:noProof/>
                </w:rPr>
                <w:t>restre, 23</w:t>
              </w:r>
              <w:r>
                <w:rPr>
                  <w:noProof/>
                </w:rPr>
                <w:t>(2), 113-120. Retrieved March 26th, 2020, from https://search-ebscohost-com.proxy1.ncu.edu/login.aspx?direct=true&amp;db=a9h&amp;AN=130455890&amp;site=eds-liv</w:t>
              </w:r>
            </w:p>
            <w:p w14:paraId="453BC1BA" w14:textId="0BA9FC8D" w:rsidR="00F03455" w:rsidRDefault="00F03455" w:rsidP="00F03455">
              <w:pPr>
                <w:pStyle w:val="Bibliography"/>
                <w:ind w:left="720" w:hanging="720"/>
                <w:rPr>
                  <w:noProof/>
                </w:rPr>
              </w:pPr>
              <w:r>
                <w:rPr>
                  <w:noProof/>
                </w:rPr>
                <w:t>Krebs, C. (2019, April 23rd). Keynote by Christopher Krebs, Director, Cybersecurity</w:t>
              </w:r>
              <w:r w:rsidR="003C75BC">
                <w:rPr>
                  <w:noProof/>
                </w:rPr>
                <w:t>,</w:t>
              </w:r>
              <w:r>
                <w:rPr>
                  <w:noProof/>
                </w:rPr>
                <w:t xml:space="preserve"> and Infrastructure Security Agency. </w:t>
              </w:r>
              <w:r>
                <w:rPr>
                  <w:i/>
                  <w:iCs/>
                  <w:noProof/>
                </w:rPr>
                <w:t>International Conference on Consumer Electronics.</w:t>
              </w:r>
              <w:r>
                <w:rPr>
                  <w:noProof/>
                </w:rPr>
                <w:t xml:space="preserve"> Las Vegas, Nevada, USA. Retrieved from YouTube: https://www.youtube.com/watch?v=aVfcgNhHSDM</w:t>
              </w:r>
            </w:p>
            <w:p w14:paraId="2083E8FE" w14:textId="74257E54" w:rsidR="00F03455" w:rsidRDefault="00F03455" w:rsidP="00F03455">
              <w:pPr>
                <w:pStyle w:val="Bibliography"/>
                <w:ind w:left="720" w:hanging="720"/>
                <w:rPr>
                  <w:noProof/>
                </w:rPr>
              </w:pPr>
              <w:r>
                <w:rPr>
                  <w:noProof/>
                </w:rPr>
                <w:t xml:space="preserve">Lanz, J. (2018). Enterprise Technology Risk in a New COSO ERM World: Eight Challenges Facing Management. </w:t>
              </w:r>
              <w:r>
                <w:rPr>
                  <w:i/>
                  <w:iCs/>
                  <w:noProof/>
                </w:rPr>
                <w:t>CPA Journal., 88</w:t>
              </w:r>
              <w:r>
                <w:rPr>
                  <w:noProof/>
                </w:rPr>
                <w:t>(6), 6-10. Retrieved May 2nd, 2020, from https://search-ebscohost-com.proxy1.ncu.edu/login.aspx?direct=true&amp;db=ofs&amp;AN=130364012&amp;site=eds-live</w:t>
              </w:r>
            </w:p>
            <w:p w14:paraId="7F8E2BBD" w14:textId="5D6C57C5" w:rsidR="00F03455" w:rsidRDefault="00F03455" w:rsidP="00F03455">
              <w:pPr>
                <w:pStyle w:val="Bibliography"/>
                <w:ind w:left="720" w:hanging="720"/>
                <w:rPr>
                  <w:noProof/>
                </w:rPr>
              </w:pPr>
              <w:r>
                <w:rPr>
                  <w:noProof/>
                </w:rPr>
                <w:t xml:space="preserve">Makowsky, M., Kolker, R. (Writers), &amp; Finley, C. (Director). (2020). </w:t>
              </w:r>
              <w:r>
                <w:rPr>
                  <w:i/>
                  <w:iCs/>
                  <w:noProof/>
                </w:rPr>
                <w:t>Bad Education</w:t>
              </w:r>
              <w:r>
                <w:rPr>
                  <w:noProof/>
                </w:rPr>
                <w:t xml:space="preserve"> [Motion Picture]. USA: HBO. Retrieved May 1st, 2020, from https://www.hbo.com/movies/bad-education</w:t>
              </w:r>
            </w:p>
            <w:p w14:paraId="0C30FF34" w14:textId="77777777" w:rsidR="00F03455" w:rsidRDefault="00F03455" w:rsidP="00F03455">
              <w:pPr>
                <w:pStyle w:val="Bibliography"/>
                <w:ind w:left="720" w:hanging="720"/>
                <w:rPr>
                  <w:noProof/>
                </w:rPr>
              </w:pPr>
              <w:r>
                <w:rPr>
                  <w:noProof/>
                </w:rPr>
                <w:lastRenderedPageBreak/>
                <w:t xml:space="preserve">Quigley, K., Burns, C., &amp; Stallard, K. (2015). Cyber Gurus: A rhetorical analysis of the language of cybersecurity specialists and the implications for security policy and critical infrastructure protection. </w:t>
              </w:r>
              <w:r>
                <w:rPr>
                  <w:i/>
                  <w:iCs/>
                  <w:noProof/>
                </w:rPr>
                <w:t>Government Information Quarterly, 32</w:t>
              </w:r>
              <w:r>
                <w:rPr>
                  <w:noProof/>
                </w:rPr>
                <w:t>, 108-117. doi:https://doi.org/10.1016/j.giq.2015.02.001</w:t>
              </w:r>
            </w:p>
            <w:p w14:paraId="4EBB2603" w14:textId="77777777" w:rsidR="00F03455" w:rsidRDefault="00F03455" w:rsidP="00F03455">
              <w:pPr>
                <w:pStyle w:val="Bibliography"/>
                <w:ind w:left="720" w:hanging="720"/>
                <w:rPr>
                  <w:noProof/>
                </w:rPr>
              </w:pPr>
              <w:r>
                <w:rPr>
                  <w:noProof/>
                </w:rPr>
                <w:t xml:space="preserve">Shires, J. (2018). Enacting Expertise: Ritual and Risk in Cybersecurity. </w:t>
              </w:r>
              <w:r>
                <w:rPr>
                  <w:i/>
                  <w:iCs/>
                  <w:noProof/>
                </w:rPr>
                <w:t>Politics and Governance, 6</w:t>
              </w:r>
              <w:r>
                <w:rPr>
                  <w:noProof/>
                </w:rPr>
                <w:t>(2), 31-40. doi:https://doaj.org/toc/2183-2463</w:t>
              </w:r>
            </w:p>
            <w:p w14:paraId="7CAE1CCC" w14:textId="4CADD180" w:rsidR="00F03455" w:rsidRDefault="00F03455" w:rsidP="00F03455">
              <w:pPr>
                <w:pStyle w:val="Bibliography"/>
                <w:ind w:left="720" w:hanging="720"/>
                <w:rPr>
                  <w:noProof/>
                </w:rPr>
              </w:pPr>
              <w:r>
                <w:rPr>
                  <w:noProof/>
                </w:rPr>
                <w:t xml:space="preserve">Stevens, T. (2018). Global Cybersecurity: New Directions in Theory and Methods. </w:t>
              </w:r>
              <w:r>
                <w:rPr>
                  <w:i/>
                  <w:iCs/>
                  <w:noProof/>
                </w:rPr>
                <w:t>Politics and Governance. 6(2):1-4</w:t>
              </w:r>
              <w:r>
                <w:rPr>
                  <w:noProof/>
                </w:rPr>
                <w:t xml:space="preserve">, 1-4. </w:t>
              </w:r>
              <w:r w:rsidR="00EE6A41">
                <w:rPr>
                  <w:noProof/>
                </w:rPr>
                <w:t>DOI</w:t>
              </w:r>
              <w:r>
                <w:rPr>
                  <w:noProof/>
                </w:rPr>
                <w:t>:10.17645/pag.v6i2.1569</w:t>
              </w:r>
            </w:p>
            <w:p w14:paraId="268B155E" w14:textId="21C0E971" w:rsidR="00343A3B" w:rsidRPr="0083064D" w:rsidRDefault="00343A3B" w:rsidP="00F03455">
              <w:r>
                <w:rPr>
                  <w:b/>
                  <w:bCs/>
                  <w:noProof/>
                </w:rPr>
                <w:fldChar w:fldCharType="end"/>
              </w:r>
            </w:p>
          </w:sdtContent>
        </w:sdt>
      </w:sdtContent>
    </w:sdt>
    <w:sectPr w:rsidR="00343A3B"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FB4D2C" w14:textId="77777777" w:rsidR="00755196" w:rsidRDefault="00755196" w:rsidP="0082223F">
      <w:pPr>
        <w:spacing w:line="240" w:lineRule="auto"/>
      </w:pPr>
      <w:r>
        <w:separator/>
      </w:r>
    </w:p>
  </w:endnote>
  <w:endnote w:type="continuationSeparator" w:id="0">
    <w:p w14:paraId="55E3158E" w14:textId="77777777" w:rsidR="00755196" w:rsidRDefault="0075519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70788" w14:textId="77777777" w:rsidR="00755196" w:rsidRDefault="00755196" w:rsidP="0082223F">
      <w:pPr>
        <w:spacing w:line="240" w:lineRule="auto"/>
      </w:pPr>
      <w:r>
        <w:separator/>
      </w:r>
    </w:p>
  </w:footnote>
  <w:footnote w:type="continuationSeparator" w:id="0">
    <w:p w14:paraId="3EDCC9F7" w14:textId="77777777" w:rsidR="00755196" w:rsidRDefault="0075519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0445BD"/>
    <w:rsid w:val="00081A78"/>
    <w:rsid w:val="0009506D"/>
    <w:rsid w:val="000B72D0"/>
    <w:rsid w:val="001161BC"/>
    <w:rsid w:val="00183597"/>
    <w:rsid w:val="00234A5E"/>
    <w:rsid w:val="00262770"/>
    <w:rsid w:val="002806B7"/>
    <w:rsid w:val="002C67BE"/>
    <w:rsid w:val="002C774C"/>
    <w:rsid w:val="00343A3B"/>
    <w:rsid w:val="003C75BC"/>
    <w:rsid w:val="003F1CC6"/>
    <w:rsid w:val="003F4714"/>
    <w:rsid w:val="00401D65"/>
    <w:rsid w:val="004223E8"/>
    <w:rsid w:val="00440423"/>
    <w:rsid w:val="004A369B"/>
    <w:rsid w:val="004A784B"/>
    <w:rsid w:val="004B78E1"/>
    <w:rsid w:val="004B7DA9"/>
    <w:rsid w:val="004F387C"/>
    <w:rsid w:val="005132B0"/>
    <w:rsid w:val="005248EA"/>
    <w:rsid w:val="00562CF7"/>
    <w:rsid w:val="005A1847"/>
    <w:rsid w:val="005B321F"/>
    <w:rsid w:val="005B7079"/>
    <w:rsid w:val="00603C7E"/>
    <w:rsid w:val="006337A0"/>
    <w:rsid w:val="006608F1"/>
    <w:rsid w:val="00666A3D"/>
    <w:rsid w:val="006D793E"/>
    <w:rsid w:val="006E6CED"/>
    <w:rsid w:val="0072418E"/>
    <w:rsid w:val="0073677D"/>
    <w:rsid w:val="00755196"/>
    <w:rsid w:val="0082223F"/>
    <w:rsid w:val="0083064D"/>
    <w:rsid w:val="008312A7"/>
    <w:rsid w:val="008721C6"/>
    <w:rsid w:val="00894B87"/>
    <w:rsid w:val="008A6911"/>
    <w:rsid w:val="008B5129"/>
    <w:rsid w:val="00903981"/>
    <w:rsid w:val="0094589D"/>
    <w:rsid w:val="0096601E"/>
    <w:rsid w:val="0097534B"/>
    <w:rsid w:val="009A757D"/>
    <w:rsid w:val="00A164E2"/>
    <w:rsid w:val="00A1662A"/>
    <w:rsid w:val="00A41264"/>
    <w:rsid w:val="00A44932"/>
    <w:rsid w:val="00A65A10"/>
    <w:rsid w:val="00A70699"/>
    <w:rsid w:val="00B7011A"/>
    <w:rsid w:val="00C213CB"/>
    <w:rsid w:val="00C611A0"/>
    <w:rsid w:val="00C73692"/>
    <w:rsid w:val="00C93BB7"/>
    <w:rsid w:val="00CB25E9"/>
    <w:rsid w:val="00CC79FE"/>
    <w:rsid w:val="00D679E1"/>
    <w:rsid w:val="00D75C7B"/>
    <w:rsid w:val="00D85C7B"/>
    <w:rsid w:val="00D865FF"/>
    <w:rsid w:val="00DE028E"/>
    <w:rsid w:val="00DE2224"/>
    <w:rsid w:val="00E06CB6"/>
    <w:rsid w:val="00E211DD"/>
    <w:rsid w:val="00E42917"/>
    <w:rsid w:val="00E83A1E"/>
    <w:rsid w:val="00ED3713"/>
    <w:rsid w:val="00EE6A41"/>
    <w:rsid w:val="00F01C28"/>
    <w:rsid w:val="00F03455"/>
    <w:rsid w:val="00F14645"/>
    <w:rsid w:val="00F17932"/>
    <w:rsid w:val="00F63416"/>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43A3B"/>
  </w:style>
  <w:style w:type="paragraph" w:styleId="TOCHeading">
    <w:name w:val="TOC Heading"/>
    <w:basedOn w:val="Heading1"/>
    <w:next w:val="Normal"/>
    <w:uiPriority w:val="39"/>
    <w:unhideWhenUsed/>
    <w:qFormat/>
    <w:rsid w:val="00F179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17932"/>
    <w:pPr>
      <w:spacing w:after="100"/>
    </w:pPr>
  </w:style>
  <w:style w:type="paragraph" w:styleId="TOC2">
    <w:name w:val="toc 2"/>
    <w:basedOn w:val="Normal"/>
    <w:next w:val="Normal"/>
    <w:autoRedefine/>
    <w:uiPriority w:val="39"/>
    <w:unhideWhenUsed/>
    <w:rsid w:val="00F17932"/>
    <w:pPr>
      <w:spacing w:after="100"/>
      <w:ind w:left="240"/>
    </w:pPr>
  </w:style>
  <w:style w:type="character" w:styleId="Hyperlink">
    <w:name w:val="Hyperlink"/>
    <w:basedOn w:val="DefaultParagraphFont"/>
    <w:uiPriority w:val="99"/>
    <w:unhideWhenUsed/>
    <w:rsid w:val="00F1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682">
      <w:bodyDiv w:val="1"/>
      <w:marLeft w:val="0"/>
      <w:marRight w:val="0"/>
      <w:marTop w:val="0"/>
      <w:marBottom w:val="0"/>
      <w:divBdr>
        <w:top w:val="none" w:sz="0" w:space="0" w:color="auto"/>
        <w:left w:val="none" w:sz="0" w:space="0" w:color="auto"/>
        <w:bottom w:val="none" w:sz="0" w:space="0" w:color="auto"/>
        <w:right w:val="none" w:sz="0" w:space="0" w:color="auto"/>
      </w:divBdr>
    </w:div>
    <w:div w:id="40831170">
      <w:bodyDiv w:val="1"/>
      <w:marLeft w:val="0"/>
      <w:marRight w:val="0"/>
      <w:marTop w:val="0"/>
      <w:marBottom w:val="0"/>
      <w:divBdr>
        <w:top w:val="none" w:sz="0" w:space="0" w:color="auto"/>
        <w:left w:val="none" w:sz="0" w:space="0" w:color="auto"/>
        <w:bottom w:val="none" w:sz="0" w:space="0" w:color="auto"/>
        <w:right w:val="none" w:sz="0" w:space="0" w:color="auto"/>
      </w:divBdr>
    </w:div>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134219897">
      <w:bodyDiv w:val="1"/>
      <w:marLeft w:val="0"/>
      <w:marRight w:val="0"/>
      <w:marTop w:val="0"/>
      <w:marBottom w:val="0"/>
      <w:divBdr>
        <w:top w:val="none" w:sz="0" w:space="0" w:color="auto"/>
        <w:left w:val="none" w:sz="0" w:space="0" w:color="auto"/>
        <w:bottom w:val="none" w:sz="0" w:space="0" w:color="auto"/>
        <w:right w:val="none" w:sz="0" w:space="0" w:color="auto"/>
      </w:divBdr>
    </w:div>
    <w:div w:id="146484726">
      <w:bodyDiv w:val="1"/>
      <w:marLeft w:val="0"/>
      <w:marRight w:val="0"/>
      <w:marTop w:val="0"/>
      <w:marBottom w:val="0"/>
      <w:divBdr>
        <w:top w:val="none" w:sz="0" w:space="0" w:color="auto"/>
        <w:left w:val="none" w:sz="0" w:space="0" w:color="auto"/>
        <w:bottom w:val="none" w:sz="0" w:space="0" w:color="auto"/>
        <w:right w:val="none" w:sz="0" w:space="0" w:color="auto"/>
      </w:divBdr>
    </w:div>
    <w:div w:id="173033111">
      <w:bodyDiv w:val="1"/>
      <w:marLeft w:val="0"/>
      <w:marRight w:val="0"/>
      <w:marTop w:val="0"/>
      <w:marBottom w:val="0"/>
      <w:divBdr>
        <w:top w:val="none" w:sz="0" w:space="0" w:color="auto"/>
        <w:left w:val="none" w:sz="0" w:space="0" w:color="auto"/>
        <w:bottom w:val="none" w:sz="0" w:space="0" w:color="auto"/>
        <w:right w:val="none" w:sz="0" w:space="0" w:color="auto"/>
      </w:divBdr>
    </w:div>
    <w:div w:id="183249134">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482241088">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71934808">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626547318">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10038017">
      <w:bodyDiv w:val="1"/>
      <w:marLeft w:val="0"/>
      <w:marRight w:val="0"/>
      <w:marTop w:val="0"/>
      <w:marBottom w:val="0"/>
      <w:divBdr>
        <w:top w:val="none" w:sz="0" w:space="0" w:color="auto"/>
        <w:left w:val="none" w:sz="0" w:space="0" w:color="auto"/>
        <w:bottom w:val="none" w:sz="0" w:space="0" w:color="auto"/>
        <w:right w:val="none" w:sz="0" w:space="0" w:color="auto"/>
      </w:divBdr>
    </w:div>
    <w:div w:id="932788371">
      <w:bodyDiv w:val="1"/>
      <w:marLeft w:val="0"/>
      <w:marRight w:val="0"/>
      <w:marTop w:val="0"/>
      <w:marBottom w:val="0"/>
      <w:divBdr>
        <w:top w:val="none" w:sz="0" w:space="0" w:color="auto"/>
        <w:left w:val="none" w:sz="0" w:space="0" w:color="auto"/>
        <w:bottom w:val="none" w:sz="0" w:space="0" w:color="auto"/>
        <w:right w:val="none" w:sz="0" w:space="0" w:color="auto"/>
      </w:divBdr>
    </w:div>
    <w:div w:id="949168499">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09285893">
      <w:bodyDiv w:val="1"/>
      <w:marLeft w:val="0"/>
      <w:marRight w:val="0"/>
      <w:marTop w:val="0"/>
      <w:marBottom w:val="0"/>
      <w:divBdr>
        <w:top w:val="none" w:sz="0" w:space="0" w:color="auto"/>
        <w:left w:val="none" w:sz="0" w:space="0" w:color="auto"/>
        <w:bottom w:val="none" w:sz="0" w:space="0" w:color="auto"/>
        <w:right w:val="none" w:sz="0" w:space="0" w:color="auto"/>
      </w:divBdr>
    </w:div>
    <w:div w:id="1018316747">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074858427">
      <w:bodyDiv w:val="1"/>
      <w:marLeft w:val="0"/>
      <w:marRight w:val="0"/>
      <w:marTop w:val="0"/>
      <w:marBottom w:val="0"/>
      <w:divBdr>
        <w:top w:val="none" w:sz="0" w:space="0" w:color="auto"/>
        <w:left w:val="none" w:sz="0" w:space="0" w:color="auto"/>
        <w:bottom w:val="none" w:sz="0" w:space="0" w:color="auto"/>
        <w:right w:val="none" w:sz="0" w:space="0" w:color="auto"/>
      </w:divBdr>
    </w:div>
    <w:div w:id="1083145217">
      <w:bodyDiv w:val="1"/>
      <w:marLeft w:val="0"/>
      <w:marRight w:val="0"/>
      <w:marTop w:val="0"/>
      <w:marBottom w:val="0"/>
      <w:divBdr>
        <w:top w:val="none" w:sz="0" w:space="0" w:color="auto"/>
        <w:left w:val="none" w:sz="0" w:space="0" w:color="auto"/>
        <w:bottom w:val="none" w:sz="0" w:space="0" w:color="auto"/>
        <w:right w:val="none" w:sz="0" w:space="0" w:color="auto"/>
      </w:divBdr>
    </w:div>
    <w:div w:id="1125195865">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40167210">
      <w:bodyDiv w:val="1"/>
      <w:marLeft w:val="0"/>
      <w:marRight w:val="0"/>
      <w:marTop w:val="0"/>
      <w:marBottom w:val="0"/>
      <w:divBdr>
        <w:top w:val="none" w:sz="0" w:space="0" w:color="auto"/>
        <w:left w:val="none" w:sz="0" w:space="0" w:color="auto"/>
        <w:bottom w:val="none" w:sz="0" w:space="0" w:color="auto"/>
        <w:right w:val="none" w:sz="0" w:space="0" w:color="auto"/>
      </w:divBdr>
    </w:div>
    <w:div w:id="125227860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364135154">
      <w:bodyDiv w:val="1"/>
      <w:marLeft w:val="0"/>
      <w:marRight w:val="0"/>
      <w:marTop w:val="0"/>
      <w:marBottom w:val="0"/>
      <w:divBdr>
        <w:top w:val="none" w:sz="0" w:space="0" w:color="auto"/>
        <w:left w:val="none" w:sz="0" w:space="0" w:color="auto"/>
        <w:bottom w:val="none" w:sz="0" w:space="0" w:color="auto"/>
        <w:right w:val="none" w:sz="0" w:space="0" w:color="auto"/>
      </w:divBdr>
    </w:div>
    <w:div w:id="1382553466">
      <w:bodyDiv w:val="1"/>
      <w:marLeft w:val="0"/>
      <w:marRight w:val="0"/>
      <w:marTop w:val="0"/>
      <w:marBottom w:val="0"/>
      <w:divBdr>
        <w:top w:val="none" w:sz="0" w:space="0" w:color="auto"/>
        <w:left w:val="none" w:sz="0" w:space="0" w:color="auto"/>
        <w:bottom w:val="none" w:sz="0" w:space="0" w:color="auto"/>
        <w:right w:val="none" w:sz="0" w:space="0" w:color="auto"/>
      </w:divBdr>
    </w:div>
    <w:div w:id="1404139506">
      <w:bodyDiv w:val="1"/>
      <w:marLeft w:val="0"/>
      <w:marRight w:val="0"/>
      <w:marTop w:val="0"/>
      <w:marBottom w:val="0"/>
      <w:divBdr>
        <w:top w:val="none" w:sz="0" w:space="0" w:color="auto"/>
        <w:left w:val="none" w:sz="0" w:space="0" w:color="auto"/>
        <w:bottom w:val="none" w:sz="0" w:space="0" w:color="auto"/>
        <w:right w:val="none" w:sz="0" w:space="0" w:color="auto"/>
      </w:divBdr>
    </w:div>
    <w:div w:id="1458336139">
      <w:bodyDiv w:val="1"/>
      <w:marLeft w:val="0"/>
      <w:marRight w:val="0"/>
      <w:marTop w:val="0"/>
      <w:marBottom w:val="0"/>
      <w:divBdr>
        <w:top w:val="none" w:sz="0" w:space="0" w:color="auto"/>
        <w:left w:val="none" w:sz="0" w:space="0" w:color="auto"/>
        <w:bottom w:val="none" w:sz="0" w:space="0" w:color="auto"/>
        <w:right w:val="none" w:sz="0" w:space="0" w:color="auto"/>
      </w:divBdr>
    </w:div>
    <w:div w:id="1468664183">
      <w:bodyDiv w:val="1"/>
      <w:marLeft w:val="0"/>
      <w:marRight w:val="0"/>
      <w:marTop w:val="0"/>
      <w:marBottom w:val="0"/>
      <w:divBdr>
        <w:top w:val="none" w:sz="0" w:space="0" w:color="auto"/>
        <w:left w:val="none" w:sz="0" w:space="0" w:color="auto"/>
        <w:bottom w:val="none" w:sz="0" w:space="0" w:color="auto"/>
        <w:right w:val="none" w:sz="0" w:space="0" w:color="auto"/>
      </w:divBdr>
    </w:div>
    <w:div w:id="1481656240">
      <w:bodyDiv w:val="1"/>
      <w:marLeft w:val="0"/>
      <w:marRight w:val="0"/>
      <w:marTop w:val="0"/>
      <w:marBottom w:val="0"/>
      <w:divBdr>
        <w:top w:val="none" w:sz="0" w:space="0" w:color="auto"/>
        <w:left w:val="none" w:sz="0" w:space="0" w:color="auto"/>
        <w:bottom w:val="none" w:sz="0" w:space="0" w:color="auto"/>
        <w:right w:val="none" w:sz="0" w:space="0" w:color="auto"/>
      </w:divBdr>
    </w:div>
    <w:div w:id="1566988942">
      <w:bodyDiv w:val="1"/>
      <w:marLeft w:val="0"/>
      <w:marRight w:val="0"/>
      <w:marTop w:val="0"/>
      <w:marBottom w:val="0"/>
      <w:divBdr>
        <w:top w:val="none" w:sz="0" w:space="0" w:color="auto"/>
        <w:left w:val="none" w:sz="0" w:space="0" w:color="auto"/>
        <w:bottom w:val="none" w:sz="0" w:space="0" w:color="auto"/>
        <w:right w:val="none" w:sz="0" w:space="0" w:color="auto"/>
      </w:divBdr>
    </w:div>
    <w:div w:id="1624535846">
      <w:bodyDiv w:val="1"/>
      <w:marLeft w:val="0"/>
      <w:marRight w:val="0"/>
      <w:marTop w:val="0"/>
      <w:marBottom w:val="0"/>
      <w:divBdr>
        <w:top w:val="none" w:sz="0" w:space="0" w:color="auto"/>
        <w:left w:val="none" w:sz="0" w:space="0" w:color="auto"/>
        <w:bottom w:val="none" w:sz="0" w:space="0" w:color="auto"/>
        <w:right w:val="none" w:sz="0" w:space="0" w:color="auto"/>
      </w:divBdr>
    </w:div>
    <w:div w:id="1628471124">
      <w:bodyDiv w:val="1"/>
      <w:marLeft w:val="0"/>
      <w:marRight w:val="0"/>
      <w:marTop w:val="0"/>
      <w:marBottom w:val="0"/>
      <w:divBdr>
        <w:top w:val="none" w:sz="0" w:space="0" w:color="auto"/>
        <w:left w:val="none" w:sz="0" w:space="0" w:color="auto"/>
        <w:bottom w:val="none" w:sz="0" w:space="0" w:color="auto"/>
        <w:right w:val="none" w:sz="0" w:space="0" w:color="auto"/>
      </w:divBdr>
    </w:div>
    <w:div w:id="1632595864">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694184763">
      <w:bodyDiv w:val="1"/>
      <w:marLeft w:val="0"/>
      <w:marRight w:val="0"/>
      <w:marTop w:val="0"/>
      <w:marBottom w:val="0"/>
      <w:divBdr>
        <w:top w:val="none" w:sz="0" w:space="0" w:color="auto"/>
        <w:left w:val="none" w:sz="0" w:space="0" w:color="auto"/>
        <w:bottom w:val="none" w:sz="0" w:space="0" w:color="auto"/>
        <w:right w:val="none" w:sz="0" w:space="0" w:color="auto"/>
      </w:divBdr>
    </w:div>
    <w:div w:id="1705598648">
      <w:bodyDiv w:val="1"/>
      <w:marLeft w:val="0"/>
      <w:marRight w:val="0"/>
      <w:marTop w:val="0"/>
      <w:marBottom w:val="0"/>
      <w:divBdr>
        <w:top w:val="none" w:sz="0" w:space="0" w:color="auto"/>
        <w:left w:val="none" w:sz="0" w:space="0" w:color="auto"/>
        <w:bottom w:val="none" w:sz="0" w:space="0" w:color="auto"/>
        <w:right w:val="none" w:sz="0" w:space="0" w:color="auto"/>
      </w:divBdr>
    </w:div>
    <w:div w:id="1743330731">
      <w:bodyDiv w:val="1"/>
      <w:marLeft w:val="0"/>
      <w:marRight w:val="0"/>
      <w:marTop w:val="0"/>
      <w:marBottom w:val="0"/>
      <w:divBdr>
        <w:top w:val="none" w:sz="0" w:space="0" w:color="auto"/>
        <w:left w:val="none" w:sz="0" w:space="0" w:color="auto"/>
        <w:bottom w:val="none" w:sz="0" w:space="0" w:color="auto"/>
        <w:right w:val="none" w:sz="0" w:space="0" w:color="auto"/>
      </w:divBdr>
    </w:div>
    <w:div w:id="1760910714">
      <w:bodyDiv w:val="1"/>
      <w:marLeft w:val="0"/>
      <w:marRight w:val="0"/>
      <w:marTop w:val="0"/>
      <w:marBottom w:val="0"/>
      <w:divBdr>
        <w:top w:val="none" w:sz="0" w:space="0" w:color="auto"/>
        <w:left w:val="none" w:sz="0" w:space="0" w:color="auto"/>
        <w:bottom w:val="none" w:sz="0" w:space="0" w:color="auto"/>
        <w:right w:val="none" w:sz="0" w:space="0" w:color="auto"/>
      </w:divBdr>
    </w:div>
    <w:div w:id="1793941492">
      <w:bodyDiv w:val="1"/>
      <w:marLeft w:val="0"/>
      <w:marRight w:val="0"/>
      <w:marTop w:val="0"/>
      <w:marBottom w:val="0"/>
      <w:divBdr>
        <w:top w:val="none" w:sz="0" w:space="0" w:color="auto"/>
        <w:left w:val="none" w:sz="0" w:space="0" w:color="auto"/>
        <w:bottom w:val="none" w:sz="0" w:space="0" w:color="auto"/>
        <w:right w:val="none" w:sz="0" w:space="0" w:color="auto"/>
      </w:divBdr>
    </w:div>
    <w:div w:id="1796869834">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1799839878">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04569032">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 w:id="21352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
    <b:Tag>Com16</b:Tag>
    <b:SourceType>ConferenceProceedings</b:SourceType>
    <b:Guid>{AE71F122-A0B8-476E-B04D-7DCFF8F4611D}</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DOI>https://doi-org.proxy1.ncu.edu/10.1109/AUTEST.2016.7589632</b:DOI>
    <b:RefOrder>12</b:RefOrder>
  </b:Source>
  <b:Source>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9</b:RefOrder>
  </b:Source>
  <b:Source>
    <b:Tag>Kov184</b:Tag>
    <b:SourceType>JournalArticle</b:SourceType>
    <b:Guid>{1254F17D-06E9-4729-B52F-373C1142F0C0}</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URL>ttps://search-ebscohost-com.proxy1.ncu.edu/login.aspx?direct=true&amp;db=a9h&amp;AN=128789540&amp;site=eds-live</b:URL>
    <b:RefOrder>13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5</b:RefOrder>
  </b:Source>
  <b:Source>
    <b:Tag>Fin20</b:Tag>
    <b:SourceType>Film</b:SourceType>
    <b:Guid>{771DEB72-77D3-4C89-BE1D-5ADF9F2F4733}</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CountryRegion>USA</b:CountryRegion>
    <b:YearAccessed>2020</b:YearAccessed>
    <b:MonthAccessed>May</b:MonthAccessed>
    <b:DayAccessed>1</b:DayAccessed>
    <b:URL>https://www.hbo.com/movies/bad-education</b:URL>
    <b:RefOrder>16</b:RefOrder>
  </b:Source>
  <b:Source>
    <b:Tag>Ste18</b:Tag>
    <b:SourceType>JournalArticle</b:SourceType>
    <b:Guid>{B2857E14-072A-413D-9CC8-F50F5FB46645}</b:Guid>
    <b:Title>Global Cybersecurity: New Directions in Theory and Methods</b:Title>
    <b:Pages>1-4</b:Pages>
    <b:Year>2018</b:Year>
    <b:Author>
      <b:Author>
        <b:NameList>
          <b:Person>
            <b:Last>Stevens</b:Last>
            <b:First>T</b:First>
          </b:Person>
        </b:NameList>
      </b:Author>
    </b:Author>
    <b:JournalName>Politics and Governance. 6(2):1-4</b:JournalName>
    <b:DOI>doi:10.17645/pag.v6i2.1569</b:DOI>
    <b:RefOrder>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2</b:RefOrder>
  </b:Source>
</b:Sources>
</file>

<file path=customXml/itemProps1.xml><?xml version="1.0" encoding="utf-8"?>
<ds:datastoreItem xmlns:ds="http://schemas.openxmlformats.org/officeDocument/2006/customXml" ds:itemID="{626791BB-A26C-4CA3-A57D-98C9842F5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1590</TotalTime>
  <Pages>11</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70</cp:revision>
  <dcterms:created xsi:type="dcterms:W3CDTF">2019-05-19T17:38:00Z</dcterms:created>
  <dcterms:modified xsi:type="dcterms:W3CDTF">2020-05-23T14:40:00Z</dcterms:modified>
</cp:coreProperties>
</file>