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7085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3974ADC" w:rsidR="0082223F" w:rsidRDefault="004F387C" w:rsidP="005B7079">
      <w:pPr>
        <w:pStyle w:val="Heading1"/>
      </w:pPr>
      <w:r>
        <w:lastRenderedPageBreak/>
        <w:t>Appraise Risk Analysis, Frameworks, and Models</w:t>
      </w:r>
    </w:p>
    <w:p w14:paraId="0E371E6F" w14:textId="183B942A" w:rsidR="006E6CED" w:rsidRDefault="006E6CED" w:rsidP="005132B0">
      <w:pPr>
        <w:ind w:firstLine="720"/>
      </w:pPr>
      <w:r>
        <w:t>Hi-Tech Manufacturing</w:t>
      </w:r>
      <w:r>
        <w:t xml:space="preserve"> (HTM)</w:t>
      </w:r>
      <w:r>
        <w:t xml:space="preserve"> operates electronic car </w:t>
      </w:r>
      <w:proofErr w:type="gramStart"/>
      <w:r>
        <w:t>assemblies</w:t>
      </w:r>
      <w:proofErr w:type="gramEnd"/>
      <w:r>
        <w:t xml:space="preserve"> </w:t>
      </w:r>
      <w:r>
        <w:t xml:space="preserve">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could interact with malware, and this spreads across the network.  Team members might also lack security awareness and training, causing them to misapply safe equipment and processes.  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which controls prevents the cascade and revert the system to the previous state?  These scenarios are a matter of ‘when-not-if,’ and choosing to acknowledge these issues upfront allows HTM to choose the battlefield.  The approach to handling these concerns needs to a basis within academic and industry best practices.  For instance, the Nation Institute of Standards and Technology (NIST) provides standards, such as ISO27000 and the Cybersecurity Framework.  NIST’s guidance allows the institution to adopt different risk profiles, so that the implementation is neither too hot nor too cold.</w:t>
      </w:r>
      <w:r w:rsidR="0096601E">
        <w:t xml:space="preserve">  After weighing the cost-benefits of acceptable risks, a formal review of those decisions needs to occur on a given cadence, ensuring those decisions are still valid.</w:t>
      </w:r>
    </w:p>
    <w:p w14:paraId="34F7605A" w14:textId="356F3685" w:rsidR="00A44932" w:rsidRDefault="00A44932" w:rsidP="00562CF7">
      <w:pPr>
        <w:pStyle w:val="Heading1"/>
      </w:pPr>
      <w:r>
        <w:lastRenderedPageBreak/>
        <w:t xml:space="preserve">What </w:t>
      </w:r>
      <w:r w:rsidR="0097534B">
        <w:t xml:space="preserve">influences </w:t>
      </w:r>
      <w:r>
        <w:t xml:space="preserve">risks to the </w:t>
      </w:r>
      <w:r w:rsidR="0097534B">
        <w:t>Hi-Tech</w:t>
      </w:r>
    </w:p>
    <w:p w14:paraId="2F15F4B9" w14:textId="262D1C93" w:rsidR="0097534B" w:rsidRDefault="0097534B" w:rsidP="0097534B">
      <w:r>
        <w:tab/>
        <w:t xml:space="preserve">Numerous factors influence how an organization, like HTM, assesses how to approach a given risk.  These factors include both internal and external sources </w:t>
      </w:r>
    </w:p>
    <w:p w14:paraId="629D8D1C" w14:textId="77777777" w:rsidR="0097534B" w:rsidRDefault="0097534B" w:rsidP="0097534B"/>
    <w:p w14:paraId="02DBB218" w14:textId="2714F272" w:rsidR="00A44932" w:rsidRDefault="00A44932" w:rsidP="00562CF7">
      <w:pPr>
        <w:pStyle w:val="Heading2"/>
      </w:pPr>
      <w:r>
        <w:t xml:space="preserve">Identify </w:t>
      </w:r>
      <w:r w:rsidR="00562CF7">
        <w:t>critical</w:t>
      </w:r>
      <w:r>
        <w:t xml:space="preserve"> external and internal influences</w:t>
      </w:r>
    </w:p>
    <w:p w14:paraId="52198651" w14:textId="69A5BE6D" w:rsidR="00A44932" w:rsidRDefault="00A44932" w:rsidP="00562CF7">
      <w:pPr>
        <w:pStyle w:val="Heading2"/>
      </w:pPr>
      <w:r>
        <w:t xml:space="preserve">Outline </w:t>
      </w:r>
      <w:r w:rsidR="00562CF7">
        <w:t xml:space="preserve">the </w:t>
      </w:r>
      <w:r>
        <w:t>most important influences</w:t>
      </w:r>
    </w:p>
    <w:p w14:paraId="1361FB51" w14:textId="77777777" w:rsidR="0097534B" w:rsidRDefault="0097534B">
      <w:pPr>
        <w:rPr>
          <w:b/>
        </w:rPr>
      </w:pPr>
      <w:r>
        <w:br w:type="page"/>
      </w:r>
    </w:p>
    <w:p w14:paraId="47276340" w14:textId="01B18C5A" w:rsidR="00A44932" w:rsidRDefault="00A44932" w:rsidP="00562CF7">
      <w:pPr>
        <w:pStyle w:val="Heading1"/>
      </w:pPr>
      <w:r>
        <w:lastRenderedPageBreak/>
        <w:t>How to approach these risks</w:t>
      </w:r>
    </w:p>
    <w:p w14:paraId="731C4628" w14:textId="7AD9ED42" w:rsidR="00A44932" w:rsidRDefault="00A44932" w:rsidP="00562CF7">
      <w:pPr>
        <w:pStyle w:val="Heading2"/>
      </w:pPr>
      <w:r>
        <w:t>Appropriate laws</w:t>
      </w:r>
    </w:p>
    <w:p w14:paraId="157002F4" w14:textId="69859C78" w:rsidR="00A44932" w:rsidRDefault="00A44932" w:rsidP="00562CF7">
      <w:pPr>
        <w:pStyle w:val="Heading2"/>
      </w:pPr>
      <w:r>
        <w:t>Standards</w:t>
      </w:r>
    </w:p>
    <w:p w14:paraId="45D0A95F" w14:textId="1668DC05" w:rsidR="00A44932" w:rsidRDefault="00A44932" w:rsidP="00562CF7">
      <w:pPr>
        <w:pStyle w:val="Heading2"/>
      </w:pPr>
      <w:r>
        <w:t>Frameworks</w:t>
      </w:r>
    </w:p>
    <w:p w14:paraId="4FCD6762" w14:textId="48879FD3" w:rsidR="00A44932" w:rsidRDefault="00A44932" w:rsidP="00562CF7">
      <w:pPr>
        <w:pStyle w:val="Heading2"/>
      </w:pPr>
      <w:r>
        <w:t>Theories</w:t>
      </w:r>
    </w:p>
    <w:p w14:paraId="75BD9D06" w14:textId="77777777" w:rsidR="0097534B" w:rsidRDefault="0097534B">
      <w:pPr>
        <w:rPr>
          <w:b/>
        </w:rPr>
      </w:pPr>
      <w:r>
        <w:br w:type="page"/>
      </w:r>
    </w:p>
    <w:p w14:paraId="160B3E44" w14:textId="30F302C2" w:rsidR="00A44932" w:rsidRDefault="00A44932" w:rsidP="00562CF7">
      <w:pPr>
        <w:pStyle w:val="Heading1"/>
      </w:pPr>
      <w:r>
        <w:lastRenderedPageBreak/>
        <w:t xml:space="preserve">Use </w:t>
      </w:r>
      <w:r w:rsidR="00562CF7">
        <w:t xml:space="preserve">an </w:t>
      </w:r>
      <w:r>
        <w:t>established framework</w:t>
      </w:r>
    </w:p>
    <w:p w14:paraId="50BA777C" w14:textId="4688C7CD" w:rsidR="00A44932" w:rsidRPr="00A44932" w:rsidRDefault="00A44932" w:rsidP="00562CF7">
      <w:pPr>
        <w:pStyle w:val="Heading2"/>
      </w:pPr>
      <w:r>
        <w:t>Describe practical issues and values</w:t>
      </w:r>
    </w:p>
    <w:sectPr w:rsidR="00A44932" w:rsidRPr="00A44932"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DC7CE" w14:textId="77777777" w:rsidR="00B70859" w:rsidRDefault="00B70859" w:rsidP="0082223F">
      <w:pPr>
        <w:spacing w:line="240" w:lineRule="auto"/>
      </w:pPr>
      <w:r>
        <w:separator/>
      </w:r>
    </w:p>
  </w:endnote>
  <w:endnote w:type="continuationSeparator" w:id="0">
    <w:p w14:paraId="05622750" w14:textId="77777777" w:rsidR="00B70859" w:rsidRDefault="00B7085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37C84" w14:textId="77777777" w:rsidR="00B70859" w:rsidRDefault="00B70859" w:rsidP="0082223F">
      <w:pPr>
        <w:spacing w:line="240" w:lineRule="auto"/>
      </w:pPr>
      <w:r>
        <w:separator/>
      </w:r>
    </w:p>
  </w:footnote>
  <w:footnote w:type="continuationSeparator" w:id="0">
    <w:p w14:paraId="4CBB2A43" w14:textId="77777777" w:rsidR="00B70859" w:rsidRDefault="00B7085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183597"/>
    <w:rsid w:val="002806B7"/>
    <w:rsid w:val="003F4714"/>
    <w:rsid w:val="00401D65"/>
    <w:rsid w:val="004223E8"/>
    <w:rsid w:val="004A784B"/>
    <w:rsid w:val="004F387C"/>
    <w:rsid w:val="005132B0"/>
    <w:rsid w:val="00562CF7"/>
    <w:rsid w:val="005B7079"/>
    <w:rsid w:val="006D793E"/>
    <w:rsid w:val="006E6CED"/>
    <w:rsid w:val="0073677D"/>
    <w:rsid w:val="0082223F"/>
    <w:rsid w:val="008B5129"/>
    <w:rsid w:val="0096601E"/>
    <w:rsid w:val="0097534B"/>
    <w:rsid w:val="009A757D"/>
    <w:rsid w:val="00A44932"/>
    <w:rsid w:val="00B70859"/>
    <w:rsid w:val="00C73692"/>
    <w:rsid w:val="00C93BB7"/>
    <w:rsid w:val="00CB25E9"/>
    <w:rsid w:val="00D75C7B"/>
    <w:rsid w:val="00D85C7B"/>
    <w:rsid w:val="00DE2224"/>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BD237-7BA8-4103-B1D7-62567802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5</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2020-05-03T17:10:00Z</dcterms:modified>
</cp:coreProperties>
</file>