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F5A6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3974ADC" w:rsidR="0082223F" w:rsidRDefault="004F387C" w:rsidP="005B7079">
      <w:pPr>
        <w:pStyle w:val="Heading1"/>
      </w:pPr>
      <w:r>
        <w:lastRenderedPageBreak/>
        <w:t>Appraise Risk Analysis, Frameworks, and Models</w:t>
      </w:r>
    </w:p>
    <w:p w14:paraId="0E371E6F" w14:textId="2EB1D3DA"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 xml:space="preserve">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could interact with malware, and this spreads across the network.  Team members might also lack security awareness and training, causing them to misapply safe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which controls prevents the cascade and revert the system to the previous state?  These scenarios are a matter of ‘when-not-if,’ and choosing to acknowledge these issues upfront allows HTM to choose the battlefield.  The approach to handling these concerns needs to a basis within academic and industry best practices.  For instance, the Nation Institute of Standards and Technology (NIST) provides standards, such as ISO27000 and the Cybersecurity Framework.  NIST’s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r>
        <w:lastRenderedPageBreak/>
        <w:t xml:space="preserve">What </w:t>
      </w:r>
      <w:r w:rsidR="0097534B">
        <w:t xml:space="preserve">influences </w:t>
      </w:r>
      <w:r>
        <w:t xml:space="preserve">risks to the </w:t>
      </w:r>
      <w:r w:rsidR="0097534B">
        <w:t>Hi-Tech</w:t>
      </w:r>
    </w:p>
    <w:p w14:paraId="629D8D1C" w14:textId="1C8C9585" w:rsidR="0097534B" w:rsidRDefault="008A6911" w:rsidP="0097534B">
      <w:r>
        <w:tab/>
        <w:t>When an organization begins with technological solutions, they are likely to devise incomplete protection strategies</w:t>
      </w:r>
      <w:sdt>
        <w:sdtPr>
          <w:id w:val="-1862664852"/>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5850D141" w:rsidR="00A44932" w:rsidRDefault="00A44932" w:rsidP="00562CF7">
      <w:pPr>
        <w:pStyle w:val="Heading2"/>
      </w:pPr>
      <w:r>
        <w:t xml:space="preserve">Identify </w:t>
      </w:r>
      <w:r w:rsidR="00562CF7">
        <w:t>critical</w:t>
      </w:r>
      <w:r>
        <w:t xml:space="preserve"> external and internal influences</w:t>
      </w:r>
    </w:p>
    <w:p w14:paraId="0C03768F" w14:textId="10A1EB92" w:rsidR="008A6911" w:rsidRDefault="008A6911" w:rsidP="0009506D">
      <w:r>
        <w:tab/>
        <w:t>External influences come from systems and actors that are outside of Hi-Tech’s control.  For instance, the Internet is like “the American Wild West – a place of little regulation and considerable opportunity and danger</w:t>
      </w:r>
      <w:sdt>
        <w:sdtPr>
          <w:id w:val="1037248304"/>
          <w:citation/>
        </w:sdtPr>
        <w:sdtContent>
          <w:r>
            <w:fldChar w:fldCharType="begin"/>
          </w:r>
          <w:r>
            <w:instrText xml:space="preserve">CITATION Qui15 \p 116 \l 1033 </w:instrText>
          </w:r>
          <w:r>
            <w:fldChar w:fldCharType="separate"/>
          </w:r>
          <w:r>
            <w:rPr>
              <w:noProof/>
            </w:rPr>
            <w:t xml:space="preserve"> (Quigley, Burns, &amp; Stallard, 2015, p. 116)</w:t>
          </w:r>
          <w:r>
            <w:fldChar w:fldCharType="end"/>
          </w:r>
        </w:sdtContent>
      </w:sdt>
      <w:r>
        <w:t>.”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Content>
          <w:r>
            <w:fldChar w:fldCharType="begin"/>
          </w:r>
          <w:r>
            <w:instrText xml:space="preserve"> CITATION FBI15 \l 1033 </w:instrText>
          </w:r>
          <w:r>
            <w:fldChar w:fldCharType="separate"/>
          </w:r>
          <w:r>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actor’s rights</w:t>
      </w:r>
      <w:sdt>
        <w:sdtPr>
          <w:id w:val="1543642668"/>
          <w:citation/>
        </w:sdtPr>
        <w:sdtContent>
          <w:r w:rsidR="00DE028E">
            <w:fldChar w:fldCharType="begin"/>
          </w:r>
          <w:r w:rsidR="00DE028E">
            <w:instrText xml:space="preserve"> CITATION Kov183 \l 1033 </w:instrText>
          </w:r>
          <w:r w:rsidR="00DE028E">
            <w:fldChar w:fldCharType="separate"/>
          </w:r>
          <w:r w:rsidR="00DE028E">
            <w:rPr>
              <w:noProof/>
            </w:rPr>
            <w:t xml:space="preserve"> (Kovacs,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Content>
          <w:r w:rsidR="00DE028E">
            <w:fldChar w:fldCharType="begin"/>
          </w:r>
          <w:r w:rsidR="00DE028E">
            <w:instrText xml:space="preserve"> CITATION Kre19 \l 1033 </w:instrText>
          </w:r>
          <w:r w:rsidR="00DE028E">
            <w:fldChar w:fldCharType="separate"/>
          </w:r>
          <w:r w:rsidR="00DE028E">
            <w:rPr>
              <w:noProof/>
            </w:rPr>
            <w:t xml:space="preserve"> (Krebs, 2019)</w:t>
          </w:r>
          <w:r w:rsidR="00DE028E">
            <w:fldChar w:fldCharType="end"/>
          </w:r>
        </w:sdtContent>
      </w:sdt>
      <w:r w:rsidR="00DE028E">
        <w:t>.</w:t>
      </w:r>
      <w:r w:rsidR="00DE028E" w:rsidRPr="00DE028E">
        <w:t xml:space="preserve"> </w:t>
      </w:r>
      <w:r w:rsidR="00DE028E">
        <w:t>Partial mitigation solutions exist for many aspects, though a ten-foot wall does not stop a twelve-foot ladder.</w:t>
      </w:r>
    </w:p>
    <w:p w14:paraId="77BEC9D0" w14:textId="4C9E286D" w:rsidR="008A6911" w:rsidRDefault="008A6911" w:rsidP="008A6911">
      <w:pPr>
        <w:ind w:firstLine="720"/>
      </w:pPr>
      <w:r>
        <w:lastRenderedPageBreak/>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w:t>
      </w:r>
      <w:r w:rsidR="0094589D">
        <w:t>extend beyond private litigation to include a decrease in employee confidence and stain the public reputation of the business</w:t>
      </w:r>
      <w:r w:rsidR="0094589D">
        <w:t xml:space="preserve">. Consider the ensuing ripple to Hi-Tech, if an assembly worker lost an arm or control of their </w:t>
      </w:r>
      <w:r w:rsidR="0094589D">
        <w:t>Personally Identifiable Information (PII), such as Social Security Numbers (SSN)</w:t>
      </w:r>
      <w:r w:rsidR="0094589D">
        <w:t>.  These preventable accidents linger in the minds of staff and create hesitation</w:t>
      </w:r>
      <w:r w:rsidR="00E06CB6">
        <w:t xml:space="preserve"> to trust the organization</w:t>
      </w:r>
      <w:r w:rsidR="0094589D">
        <w:t>.</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I should take care of them?</w:t>
      </w:r>
    </w:p>
    <w:p w14:paraId="0C5E4838" w14:textId="77777777" w:rsidR="00E06CB6" w:rsidRDefault="00E06CB6">
      <w:pPr>
        <w:rPr>
          <w:b/>
        </w:rPr>
      </w:pPr>
      <w:r>
        <w:br w:type="page"/>
      </w:r>
    </w:p>
    <w:p w14:paraId="47276340" w14:textId="0F7E4C59" w:rsidR="00A44932" w:rsidRDefault="00A44932" w:rsidP="00562CF7">
      <w:pPr>
        <w:pStyle w:val="Heading1"/>
      </w:pPr>
      <w:r>
        <w:lastRenderedPageBreak/>
        <w:t>How to approach these risks</w:t>
      </w:r>
    </w:p>
    <w:p w14:paraId="7B43AF9F" w14:textId="0F9CF287" w:rsidR="00C213CB" w:rsidRPr="00D679E1" w:rsidRDefault="00C213CB" w:rsidP="00D679E1">
      <w:pPr>
        <w:ind w:firstLine="720"/>
        <w:rPr>
          <w:b/>
        </w:rPr>
      </w:pPr>
      <w:r>
        <w:t xml:space="preserve">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  </w:t>
      </w:r>
      <w:r>
        <w:t>Next, Hi-Tech needs to decide how they will apply a framework to choose between self-protect, self-insurance, risk transfer, or avoidance to deal with these challenges</w:t>
      </w:r>
      <w:sdt>
        <w:sdtPr>
          <w:id w:val="474336741"/>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  A transference strategy might entail purchasing insurance or outsourcing work to a third-party specialist.  Avoidance could be as simple as not supporting the scenario, or more complexly redesigning entire manufacturing processes (e.g., build domestically, assembly remotely).</w:t>
      </w:r>
    </w:p>
    <w:p w14:paraId="731C4628" w14:textId="7AD9ED42" w:rsidR="00A44932" w:rsidRDefault="00A44932" w:rsidP="00562CF7">
      <w:pPr>
        <w:pStyle w:val="Heading2"/>
      </w:pPr>
      <w:r>
        <w:t>Appropriate laws</w:t>
      </w:r>
    </w:p>
    <w:p w14:paraId="157002F4" w14:textId="69859C78" w:rsidR="00A44932" w:rsidRDefault="00A44932" w:rsidP="00562CF7">
      <w:pPr>
        <w:pStyle w:val="Heading2"/>
      </w:pPr>
      <w:r>
        <w:t>Standards</w:t>
      </w:r>
    </w:p>
    <w:p w14:paraId="45D0A95F" w14:textId="1668DC05" w:rsidR="00A44932" w:rsidRDefault="00A44932" w:rsidP="00562CF7">
      <w:pPr>
        <w:pStyle w:val="Heading2"/>
      </w:pPr>
      <w:r>
        <w:t>Frameworks</w:t>
      </w:r>
    </w:p>
    <w:p w14:paraId="4FCD6762" w14:textId="48879FD3" w:rsidR="00A44932" w:rsidRDefault="00A44932" w:rsidP="00562CF7">
      <w:pPr>
        <w:pStyle w:val="Heading2"/>
      </w:pPr>
      <w:r>
        <w:t>Theories</w:t>
      </w:r>
    </w:p>
    <w:p w14:paraId="75BD9D06" w14:textId="77777777" w:rsidR="0097534B" w:rsidRDefault="0097534B">
      <w:pPr>
        <w:rPr>
          <w:b/>
        </w:rPr>
      </w:pPr>
      <w:r>
        <w:br w:type="page"/>
      </w:r>
    </w:p>
    <w:p w14:paraId="160B3E44" w14:textId="30F302C2" w:rsidR="00A44932" w:rsidRDefault="00A44932" w:rsidP="00562CF7">
      <w:pPr>
        <w:pStyle w:val="Heading1"/>
      </w:pPr>
      <w:r>
        <w:lastRenderedPageBreak/>
        <w:t xml:space="preserve">Use </w:t>
      </w:r>
      <w:r w:rsidR="00562CF7">
        <w:t xml:space="preserve">an </w:t>
      </w:r>
      <w:r>
        <w:t>established framework</w:t>
      </w:r>
    </w:p>
    <w:p w14:paraId="50BA777C" w14:textId="4688C7CD" w:rsidR="00A44932" w:rsidRPr="00A44932" w:rsidRDefault="00A44932" w:rsidP="00562CF7">
      <w:pPr>
        <w:pStyle w:val="Heading2"/>
      </w:pPr>
      <w:r>
        <w:t>Describe practical issues and values</w:t>
      </w:r>
    </w:p>
    <w:sectPr w:rsidR="00A44932" w:rsidRPr="00A44932"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17C05" w14:textId="77777777" w:rsidR="009F5A63" w:rsidRDefault="009F5A63" w:rsidP="0082223F">
      <w:pPr>
        <w:spacing w:line="240" w:lineRule="auto"/>
      </w:pPr>
      <w:r>
        <w:separator/>
      </w:r>
    </w:p>
  </w:endnote>
  <w:endnote w:type="continuationSeparator" w:id="0">
    <w:p w14:paraId="1E71DBFE" w14:textId="77777777" w:rsidR="009F5A63" w:rsidRDefault="009F5A6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033F7" w14:textId="77777777" w:rsidR="009F5A63" w:rsidRDefault="009F5A63" w:rsidP="0082223F">
      <w:pPr>
        <w:spacing w:line="240" w:lineRule="auto"/>
      </w:pPr>
      <w:r>
        <w:separator/>
      </w:r>
    </w:p>
  </w:footnote>
  <w:footnote w:type="continuationSeparator" w:id="0">
    <w:p w14:paraId="4DCA4C33" w14:textId="77777777" w:rsidR="009F5A63" w:rsidRDefault="009F5A6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9506D"/>
    <w:rsid w:val="00183597"/>
    <w:rsid w:val="002806B7"/>
    <w:rsid w:val="003F4714"/>
    <w:rsid w:val="00401D65"/>
    <w:rsid w:val="004223E8"/>
    <w:rsid w:val="004A784B"/>
    <w:rsid w:val="004F387C"/>
    <w:rsid w:val="005132B0"/>
    <w:rsid w:val="00562CF7"/>
    <w:rsid w:val="005B7079"/>
    <w:rsid w:val="00666A3D"/>
    <w:rsid w:val="006D793E"/>
    <w:rsid w:val="006E6CED"/>
    <w:rsid w:val="0073677D"/>
    <w:rsid w:val="0082223F"/>
    <w:rsid w:val="008A6911"/>
    <w:rsid w:val="008B5129"/>
    <w:rsid w:val="0094589D"/>
    <w:rsid w:val="0096601E"/>
    <w:rsid w:val="0097534B"/>
    <w:rsid w:val="009A757D"/>
    <w:rsid w:val="009F5A63"/>
    <w:rsid w:val="00A41264"/>
    <w:rsid w:val="00A44932"/>
    <w:rsid w:val="00C213CB"/>
    <w:rsid w:val="00C73692"/>
    <w:rsid w:val="00C93BB7"/>
    <w:rsid w:val="00CB25E9"/>
    <w:rsid w:val="00D679E1"/>
    <w:rsid w:val="00D75C7B"/>
    <w:rsid w:val="00D85C7B"/>
    <w:rsid w:val="00DE028E"/>
    <w:rsid w:val="00DE2224"/>
    <w:rsid w:val="00E06CB6"/>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{7A83E7EC-DBFD-4AF8-93EC-68D2354727D8}</b:Guid>
    <b:Title> Global Cybersecurity: New Directions in Theory and Methods</b:Title>
    <b:Pages>1-4</b:Pages>
    <b:Year>2018</b:Year>
    <b:Author>
      <b:Author>
        <b:NameList>
          <b:Person>
            <b:Last>Stevens</b:Last>
            <b:First>T</b:First>
          </b:Person>
        </b:NameList>
      </b:Author>
    </b:Author>
    <b:JournalName>Politics and Governance. 6(2):1-4</b:JournalName>
    <b:RefOrder>1</b:RefOrder>
  </b:Source>
  <b:Source>
    <b:Tag>Bas18</b:Tag>
    <b:SourceType>JournalArticle</b:SourceType>
    <b:Guid>{7709A559-F967-4D39-A1FC-7ADDCA682139}</b:Guid>
    <b:Author>
      <b:Author>
        <b:Corporate>Baskerville et al.</b:Corporate>
      </b:Author>
    </b:Author>
    <b:Title>Integration of information systems and cybersecurity countermeasures: an exposure to risk perspective</b:Title>
    <b:JournalName>SIGMIS Database. Volume 49</b:JournalName>
    <b:Year>218</b:Year>
    <b:Pages>33-52</b:Pages>
    <b:RefOrder>2</b:RefOrder>
  </b:Source>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Fin20</b:Tag>
    <b:SourceType>Film</b:SourceType>
    <b:Guid>{D295474A-8D4E-495B-A62A-77EFBD2D29E2}</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RefOrder>7</b:RefOrder>
  </b:Source>
  <b:Source>
    <b:Tag>Kov183</b:Tag>
    <b:SourceType>JournalArticle</b:SourceType>
    <b:Guid>{A0DB30EE-6BDC-43D8-B967-99539F3C6C2F}</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RefOrder>5</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s>
</file>

<file path=customXml/itemProps1.xml><?xml version="1.0" encoding="utf-8"?>
<ds:datastoreItem xmlns:ds="http://schemas.openxmlformats.org/officeDocument/2006/customXml" ds:itemID="{08F915DC-B792-4350-BE0C-B0F639F9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2020-05-03T19:27:00Z</dcterms:modified>
</cp:coreProperties>
</file>