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87BF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4322BFF9"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t>
      </w:r>
      <w:r w:rsidR="00F01C28">
        <w:t>'</w:t>
      </w:r>
      <w:r>
        <w:t>when-not-if,</w:t>
      </w:r>
      <w:r w:rsidR="00F01C28">
        <w:t>'</w:t>
      </w:r>
      <w:r>
        <w:t xml:space="preserve">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w:t>
      </w:r>
      <w:r w:rsidR="00F01C28">
        <w:t>NIST'</w:t>
      </w:r>
      <w:r>
        <w: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5850D141" w:rsidR="00A44932" w:rsidRDefault="00A44932" w:rsidP="00562CF7">
      <w:pPr>
        <w:pStyle w:val="Heading2"/>
      </w:pPr>
      <w:r>
        <w:t xml:space="preserve">Identify </w:t>
      </w:r>
      <w:r w:rsidR="00562CF7">
        <w:t>critical</w:t>
      </w:r>
      <w:r>
        <w:t xml:space="preserve"> external and internal influences</w:t>
      </w:r>
    </w:p>
    <w:p w14:paraId="0C03768F" w14:textId="4A6B9941" w:rsidR="008A6911" w:rsidRDefault="008A6911" w:rsidP="0009506D">
      <w:r>
        <w:tab/>
        <w:t>External influences come from systems and actors that are outside of Hi-Tech</w:t>
      </w:r>
      <w:r w:rsidR="00F01C28">
        <w:t>'</w:t>
      </w:r>
      <w:r>
        <w:t xml:space="preserve">s control.  For instance, the Internet is like </w:t>
      </w:r>
      <w:r w:rsidR="00F01C28">
        <w:t>"</w:t>
      </w:r>
      <w:r>
        <w:t>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w:t>
      </w:r>
      <w:r w:rsidR="00F01C28">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F01C28">
        <w:t>'</w:t>
      </w:r>
      <w:r w:rsidR="0009506D">
        <w:t>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DE028E">
        <w:t>Partial mitigation solutions exist for many aspects, though a ten-foot wall does not stop a twelve-foot ladder.</w:t>
      </w:r>
    </w:p>
    <w:p w14:paraId="77BEC9D0" w14:textId="54D67129" w:rsidR="008A6911" w:rsidRDefault="008A6911" w:rsidP="008A6911">
      <w:pPr>
        <w:ind w:firstLine="720"/>
      </w:pPr>
      <w:r>
        <w:lastRenderedPageBreak/>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F01C28">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xml:space="preserve">. Consider the ensuing ripple to Hi-Tech, if an assembly worker lost an arm or control of their </w:t>
      </w:r>
      <w:r w:rsidR="0094589D">
        <w:t>Personally Identifiable Information (PII), such as Social Security Numbers (SSN)</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p>
    <w:p w14:paraId="0C5E4838" w14:textId="39BD96F3" w:rsidR="00E06CB6" w:rsidRDefault="0072418E" w:rsidP="0072418E">
      <w:pPr>
        <w:ind w:firstLine="720"/>
        <w:rPr>
          <w:b/>
        </w:rPr>
      </w:pPr>
      <w:r>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0112A852" w14:textId="77777777" w:rsidR="0072418E" w:rsidRDefault="0072418E">
      <w:pPr>
        <w:rPr>
          <w:b/>
        </w:rPr>
      </w:pPr>
      <w:r>
        <w:br w:type="page"/>
      </w:r>
    </w:p>
    <w:p w14:paraId="47276340" w14:textId="3954B0E2" w:rsidR="00A44932" w:rsidRDefault="00A44932" w:rsidP="00562CF7">
      <w:pPr>
        <w:pStyle w:val="Heading1"/>
      </w:pPr>
      <w:r>
        <w:lastRenderedPageBreak/>
        <w:t>How to approach these risks</w:t>
      </w:r>
    </w:p>
    <w:p w14:paraId="7D210593" w14:textId="2E593915"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w:t>
      </w:r>
      <w:r w:rsidR="005248EA">
        <w:t xml:space="preserve">  Table 1 contains the definitions and examples of these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2155"/>
        <w:gridCol w:w="3690"/>
        <w:gridCol w:w="3505"/>
      </w:tblGrid>
      <w:tr w:rsidR="005248EA" w14:paraId="2D47CB5F" w14:textId="77777777" w:rsidTr="00524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077DAB" w14:textId="247BE1CC" w:rsidR="005248EA" w:rsidRDefault="005248EA" w:rsidP="005248EA">
            <w:pPr>
              <w:jc w:val="center"/>
            </w:pPr>
            <w:r>
              <w:t>Approach</w:t>
            </w:r>
          </w:p>
        </w:tc>
        <w:tc>
          <w:tcPr>
            <w:tcW w:w="3690" w:type="dxa"/>
          </w:tcPr>
          <w:p w14:paraId="326CED00" w14:textId="3249E5DC"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3505" w:type="dxa"/>
          </w:tcPr>
          <w:p w14:paraId="17CCF7B6" w14:textId="3B2E160F"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5248EA" w14:paraId="6F87A6F7"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51D594" w14:textId="15D39CE8" w:rsidR="005248EA" w:rsidRDefault="005248EA" w:rsidP="005248EA">
            <w:r>
              <w:t>Self-Protection</w:t>
            </w:r>
          </w:p>
        </w:tc>
        <w:tc>
          <w:tcPr>
            <w:tcW w:w="3690" w:type="dxa"/>
          </w:tcPr>
          <w:p w14:paraId="60FD50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BDB2ECF"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Low Impact / High </w:t>
            </w:r>
            <w:r>
              <w:t>Probability</w:t>
            </w:r>
            <w:r>
              <w:t xml:space="preserve"> scenarios</w:t>
            </w:r>
          </w:p>
        </w:tc>
        <w:tc>
          <w:tcPr>
            <w:tcW w:w="3505" w:type="dxa"/>
          </w:tcPr>
          <w:p w14:paraId="1A38A164"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5248EA" w14:paraId="33EB3DE8"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7DB1997C" w14:textId="19098AEE" w:rsidR="005248EA" w:rsidRDefault="005248EA" w:rsidP="005248EA">
            <w:r>
              <w:t>Self-Insurance</w:t>
            </w:r>
          </w:p>
        </w:tc>
        <w:tc>
          <w:tcPr>
            <w:tcW w:w="3690" w:type="dxa"/>
          </w:tcPr>
          <w:p w14:paraId="1BAC389E"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38700D64"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Low Impact / </w:t>
            </w:r>
            <w:r>
              <w:t xml:space="preserve">Low </w:t>
            </w:r>
            <w:r>
              <w:t>Probability</w:t>
            </w:r>
            <w:r>
              <w:t xml:space="preserve"> </w:t>
            </w:r>
            <w:r>
              <w:t>scenarios</w:t>
            </w:r>
          </w:p>
        </w:tc>
        <w:tc>
          <w:tcPr>
            <w:tcW w:w="3505" w:type="dxa"/>
          </w:tcPr>
          <w:p w14:paraId="205BDD76"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5248EA" w14:paraId="19778F7C"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53C6A5" w14:textId="4F5ABF84" w:rsidR="005248EA" w:rsidRDefault="005248EA" w:rsidP="005248EA">
            <w:r>
              <w:t>Risk Transference</w:t>
            </w:r>
          </w:p>
        </w:tc>
        <w:tc>
          <w:tcPr>
            <w:tcW w:w="3690" w:type="dxa"/>
          </w:tcPr>
          <w:p w14:paraId="4CA5E6F1"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Compensating a third-party to accept the risk</w:t>
            </w:r>
          </w:p>
          <w:p w14:paraId="6CF86E4C" w14:textId="48900309"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High Impact / Low Probability scenarios</w:t>
            </w:r>
          </w:p>
        </w:tc>
        <w:tc>
          <w:tcPr>
            <w:tcW w:w="3505" w:type="dxa"/>
          </w:tcPr>
          <w:p w14:paraId="2F1D96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5248EA" w14:paraId="4AC40019"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500991E8" w14:textId="294A3D02" w:rsidR="005248EA" w:rsidRDefault="005248EA" w:rsidP="005248EA">
            <w:r>
              <w:t>Avoidance</w:t>
            </w:r>
          </w:p>
        </w:tc>
        <w:tc>
          <w:tcPr>
            <w:tcW w:w="3690" w:type="dxa"/>
          </w:tcPr>
          <w:p w14:paraId="2D558073"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Refusing to engage in the high-risk scenario</w:t>
            </w:r>
          </w:p>
          <w:p w14:paraId="1A2F5DB5" w14:textId="2761545B"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High Impact / High </w:t>
            </w:r>
            <w:r>
              <w:t>Probability</w:t>
            </w:r>
            <w:r>
              <w:t xml:space="preserve"> scenarios</w:t>
            </w:r>
          </w:p>
        </w:tc>
        <w:tc>
          <w:tcPr>
            <w:tcW w:w="3505" w:type="dxa"/>
          </w:tcPr>
          <w:p w14:paraId="4AD65179"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r>
        <w:t>Standards and Frameworks</w:t>
      </w:r>
    </w:p>
    <w:p w14:paraId="48902B7B" w14:textId="5984E717"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solutions follows a similar cycle of plan-act-assess across different aspects of the stack (e.g., authentication, authorization, and auditing).</w:t>
      </w:r>
      <w:r w:rsidR="00F01C28">
        <w:t xml:space="preserve">  </w:t>
      </w:r>
      <w:proofErr w:type="gramStart"/>
      <w:r w:rsidR="00F01C28">
        <w:t>However</w:t>
      </w:r>
      <w:proofErr w:type="gramEnd"/>
      <w:r w:rsidR="00F01C28">
        <w:t xml:space="preserve"> there are differences between the degree of enforcement versus guidance.  The origin of the standard also has a significant influence on the framework designers' perspective, such as COBIT deriving from industry commonalities.</w:t>
      </w:r>
    </w:p>
    <w:p w14:paraId="6B01D513" w14:textId="52F853CD" w:rsidR="00E211DD" w:rsidRDefault="00E211DD" w:rsidP="00E211DD">
      <w:pPr>
        <w:pStyle w:val="Heading2"/>
      </w:pPr>
      <w:r>
        <w:lastRenderedPageBreak/>
        <w:t>Balancing Guidance vs. Mandate</w:t>
      </w:r>
    </w:p>
    <w:p w14:paraId="48743855" w14:textId="3B7FED76" w:rsidR="00FE5CC8" w:rsidRDefault="00FE5CC8" w:rsidP="00E211DD">
      <w:pPr>
        <w:ind w:firstLine="720"/>
      </w:pPr>
      <w:r>
        <w:t>While each of these solutions follows similar cycles of plan-act-assess,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w:t>
      </w:r>
      <w:r w:rsidRPr="00FE5CC8">
        <w:t xml:space="preserve"> </w:t>
      </w:r>
      <w:r>
        <w:t xml:space="preserve">  </w:t>
      </w:r>
      <w:r>
        <w:t xml:space="preserve">For many businesses like HTM, having the flexibility to adopt a framework and then iteratively mature their processes </w:t>
      </w:r>
      <w:r>
        <w:t xml:space="preserve">over time reduces that risk </w:t>
      </w:r>
      <w:r>
        <w:t>is an easier sell to senior leadership.</w:t>
      </w:r>
      <w:r>
        <w:t xml:space="preserve">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r>
        <w:t>Considering Framework Influencers</w:t>
      </w:r>
    </w:p>
    <w:p w14:paraId="62C39BCD" w14:textId="697219E1" w:rsidR="00E211DD" w:rsidRPr="00E211DD" w:rsidRDefault="00E211DD" w:rsidP="00E211DD">
      <w:r>
        <w:tab/>
      </w:r>
      <w:r w:rsidR="00F01C28">
        <w:t xml:space="preserve">Frameworks like (COBIT)—Control Objective for Information and Information Related Technologies—does not officially use academic theory, but does contain </w:t>
      </w:r>
      <w:r w:rsidR="00F01C28">
        <w:t>many concepts from Principal-Agent Theory (PAT) and Stakeholder Theory (SHT)</w:t>
      </w:r>
      <w:r w:rsidR="00F01C28">
        <w:t xml:space="preserve"> to describe the everyday successes from practitioners</w:t>
      </w:r>
      <w:sdt>
        <w:sdtPr>
          <w:id w:val="145867051"/>
          <w:citation/>
        </w:sdtPr>
        <w:sdtContent>
          <w:r w:rsidR="00F01C28">
            <w:fldChar w:fldCharType="begin"/>
          </w:r>
          <w:r w:rsidR="00F01C28">
            <w:instrText xml:space="preserve"> CITATION Dev15 \l 1033 </w:instrText>
          </w:r>
          <w:r w:rsidR="00F01C28">
            <w:fldChar w:fldCharType="separate"/>
          </w:r>
          <w:r w:rsidR="00F01C28">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  Also, security engineers culturally tend to gravitate toward hands-on solutions rather than formal academic theory, further explaining the design rationale</w:t>
      </w:r>
      <w:sdt>
        <w:sdtPr>
          <w:id w:val="-622306669"/>
          <w:citation/>
        </w:sdtPr>
        <w:sdtContent>
          <w:r w:rsidR="00F01C28">
            <w:fldChar w:fldCharType="begin"/>
          </w:r>
          <w:r w:rsidR="00F01C28">
            <w:instrText xml:space="preserve"> CITATION Shi18 \l 1033 </w:instrText>
          </w:r>
          <w:r w:rsidR="00F01C28">
            <w:fldChar w:fldCharType="separate"/>
          </w:r>
          <w:r w:rsidR="00F01C28">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is often also paired with the Operational Test Program Set (OTPS) to provide a checklist of assertions and expectations of acquired </w:t>
      </w:r>
      <w:r w:rsidR="00F01C28">
        <w:lastRenderedPageBreak/>
        <w:t>products</w:t>
      </w:r>
      <w:sdt>
        <w:sdtPr>
          <w:id w:val="-969975187"/>
          <w:citation/>
        </w:sdtPr>
        <w:sdtContent>
          <w:r w:rsidR="00F01C28">
            <w:fldChar w:fldCharType="begin"/>
          </w:r>
          <w:r w:rsidR="00F01C28">
            <w:instrText xml:space="preserve"> CITATION Com16 \l 1033 </w:instrText>
          </w:r>
          <w:r w:rsidR="00F01C28">
            <w:fldChar w:fldCharType="separate"/>
          </w:r>
          <w:r w:rsidR="00F01C28">
            <w:rPr>
              <w:noProof/>
            </w:rPr>
            <w:t xml:space="preserve"> (Combass &amp; Shilling, 2016)</w:t>
          </w:r>
          <w:r w:rsidR="00F01C28">
            <w:fldChar w:fldCharType="end"/>
          </w:r>
        </w:sdtContent>
      </w:sdt>
      <w:r w:rsidR="00F01C28">
        <w:t xml:space="preserve">.  While there are strengths to both solutions, it is unlikely that either addresses all scenarios equally.  </w:t>
      </w:r>
      <w:proofErr w:type="gramStart"/>
      <w:r w:rsidR="00F01C28">
        <w:t>Similar to</w:t>
      </w:r>
      <w:proofErr w:type="gramEnd"/>
      <w:r w:rsidR="00F01C28">
        <w:t xml:space="preserve"> NIST versus ISO, there needs to be considerations around the organizational culture and the degree of expected formality.</w:t>
      </w:r>
    </w:p>
    <w:p w14:paraId="731C4628" w14:textId="7AD9ED42" w:rsidR="00A44932" w:rsidRDefault="00A44932" w:rsidP="00562CF7">
      <w:pPr>
        <w:pStyle w:val="Heading2"/>
      </w:pPr>
      <w:r>
        <w:t>Appropriate laws</w:t>
      </w:r>
    </w:p>
    <w:p w14:paraId="4FCD6762" w14:textId="48879FD3" w:rsidR="00A44932" w:rsidRDefault="00A44932" w:rsidP="00562CF7">
      <w:pPr>
        <w:pStyle w:val="Heading2"/>
      </w:pPr>
      <w:r>
        <w:t>Theories</w:t>
      </w:r>
    </w:p>
    <w:p w14:paraId="75BD9D06" w14:textId="77777777" w:rsidR="0097534B" w:rsidRDefault="0097534B">
      <w:pPr>
        <w:rPr>
          <w:b/>
        </w:rPr>
      </w:pPr>
      <w:r>
        <w:br w:type="page"/>
      </w:r>
    </w:p>
    <w:p w14:paraId="160B3E44" w14:textId="30F302C2" w:rsidR="00A44932" w:rsidRDefault="00A44932" w:rsidP="00562CF7">
      <w:pPr>
        <w:pStyle w:val="Heading1"/>
      </w:pPr>
      <w:r>
        <w:lastRenderedPageBreak/>
        <w:t xml:space="preserve">Use </w:t>
      </w:r>
      <w:r w:rsidR="00562CF7">
        <w:t xml:space="preserve">an </w:t>
      </w:r>
      <w:r>
        <w:t>established framework</w:t>
      </w:r>
    </w:p>
    <w:p w14:paraId="50BA777C" w14:textId="4688C7CD" w:rsidR="00A44932" w:rsidRPr="00A44932" w:rsidRDefault="00A44932" w:rsidP="00562CF7">
      <w:pPr>
        <w:pStyle w:val="Heading2"/>
      </w:pPr>
      <w:r>
        <w:t>Describe practical issues and values</w:t>
      </w:r>
    </w:p>
    <w:sectPr w:rsidR="00A44932" w:rsidRPr="00A4493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88CC0" w14:textId="77777777" w:rsidR="00087BFC" w:rsidRDefault="00087BFC" w:rsidP="0082223F">
      <w:pPr>
        <w:spacing w:line="240" w:lineRule="auto"/>
      </w:pPr>
      <w:r>
        <w:separator/>
      </w:r>
    </w:p>
  </w:endnote>
  <w:endnote w:type="continuationSeparator" w:id="0">
    <w:p w14:paraId="08FBC871" w14:textId="77777777" w:rsidR="00087BFC" w:rsidRDefault="00087BF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8F217" w14:textId="77777777" w:rsidR="00087BFC" w:rsidRDefault="00087BFC" w:rsidP="0082223F">
      <w:pPr>
        <w:spacing w:line="240" w:lineRule="auto"/>
      </w:pPr>
      <w:r>
        <w:separator/>
      </w:r>
    </w:p>
  </w:footnote>
  <w:footnote w:type="continuationSeparator" w:id="0">
    <w:p w14:paraId="4ECE4B10" w14:textId="77777777" w:rsidR="00087BFC" w:rsidRDefault="00087BF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87BFC"/>
    <w:rsid w:val="0009506D"/>
    <w:rsid w:val="001161BC"/>
    <w:rsid w:val="00183597"/>
    <w:rsid w:val="002806B7"/>
    <w:rsid w:val="002C774C"/>
    <w:rsid w:val="003F4714"/>
    <w:rsid w:val="00401D65"/>
    <w:rsid w:val="004223E8"/>
    <w:rsid w:val="004A784B"/>
    <w:rsid w:val="004F387C"/>
    <w:rsid w:val="005132B0"/>
    <w:rsid w:val="005248EA"/>
    <w:rsid w:val="00562CF7"/>
    <w:rsid w:val="005B321F"/>
    <w:rsid w:val="005B7079"/>
    <w:rsid w:val="00666A3D"/>
    <w:rsid w:val="006D793E"/>
    <w:rsid w:val="006E6CED"/>
    <w:rsid w:val="0072418E"/>
    <w:rsid w:val="0073677D"/>
    <w:rsid w:val="0082223F"/>
    <w:rsid w:val="008312A7"/>
    <w:rsid w:val="008721C6"/>
    <w:rsid w:val="008A6911"/>
    <w:rsid w:val="008B5129"/>
    <w:rsid w:val="0094589D"/>
    <w:rsid w:val="0096601E"/>
    <w:rsid w:val="0097534B"/>
    <w:rsid w:val="009A757D"/>
    <w:rsid w:val="00A41264"/>
    <w:rsid w:val="00A44932"/>
    <w:rsid w:val="00C213CB"/>
    <w:rsid w:val="00C73692"/>
    <w:rsid w:val="00C93BB7"/>
    <w:rsid w:val="00CB25E9"/>
    <w:rsid w:val="00D679E1"/>
    <w:rsid w:val="00D75C7B"/>
    <w:rsid w:val="00D85C7B"/>
    <w:rsid w:val="00DE028E"/>
    <w:rsid w:val="00DE2224"/>
    <w:rsid w:val="00E06CB6"/>
    <w:rsid w:val="00E211DD"/>
    <w:rsid w:val="00ED3713"/>
    <w:rsid w:val="00F01C28"/>
    <w:rsid w:val="00F14645"/>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13</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9</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Com16</b:Tag>
    <b:SourceType>ConferenceProceedings</b:SourceType>
    <b:Guid>{3DA05684-F5F9-471D-A126-82E6A79103F9}</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RefOrder>12</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s>
</file>

<file path=customXml/itemProps1.xml><?xml version="1.0" encoding="utf-8"?>
<ds:datastoreItem xmlns:ds="http://schemas.openxmlformats.org/officeDocument/2006/customXml" ds:itemID="{3DE2B897-36E0-45D5-99D8-22458FDC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2020-05-03T21:34:00Z</dcterms:modified>
</cp:coreProperties>
</file>