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1291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139C2236"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w:t>
      </w:r>
      <w:r w:rsidR="00670B26">
        <w:t>.  Their organization faces</w:t>
      </w:r>
      <w:r>
        <w:t xml:space="preserve"> many cybersecurity risks to </w:t>
      </w:r>
      <w:r w:rsidR="00670B26">
        <w:t>its data and services</w:t>
      </w:r>
      <w:r>
        <w:t xml:space="preserve"> confidentiality, integrity, and availability (CIA).  These </w:t>
      </w:r>
      <w:r w:rsidR="00670B26">
        <w:t xml:space="preserve">potential </w:t>
      </w:r>
      <w:r>
        <w:t>vulnerabilities require security controls that constrain the blast radius of negligent and malicious actions through authentication, authorization, and auditing mechanisms (AAA).  A finite resource</w:t>
      </w:r>
      <w:r w:rsidR="00670B26">
        <w:t xml:space="preserve"> budget </w:t>
      </w:r>
      <w:r>
        <w:t xml:space="preserve">exists to provide these </w:t>
      </w:r>
      <w:r w:rsidR="00670B26">
        <w:t xml:space="preserve">mechanisms creating </w:t>
      </w:r>
      <w:r>
        <w:t xml:space="preserve">the need for effective </w:t>
      </w:r>
      <w:r w:rsidR="00670B26">
        <w:t xml:space="preserve">investment </w:t>
      </w:r>
      <w:r>
        <w:t>prioritization.</w:t>
      </w:r>
      <w:r w:rsidR="00670B26">
        <w:t xml:space="preserve">  Choosing the right controls within the budget requires consideration beyond technology also to consider the influence of people and processes.</w:t>
      </w:r>
    </w:p>
    <w:p w14:paraId="4627B6B3" w14:textId="39A3F655" w:rsidR="00670B26" w:rsidRDefault="00670B26" w:rsidP="00670B26">
      <w:pPr>
        <w:pStyle w:val="Heading1"/>
      </w:pPr>
      <w:r>
        <w:t>Section I: Mitigation through Controls</w:t>
      </w:r>
    </w:p>
    <w:p w14:paraId="653EE4D5" w14:textId="1B4613CA"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xml:space="preserve">.   By design, anonymous users can interact with the organization through </w:t>
      </w:r>
      <w:r w:rsidR="00062A7F">
        <w:t xml:space="preserve">public </w:t>
      </w:r>
      <w:r w:rsidR="00062A7F">
        <w:t>interfaces, such as web services and email.  When malicious actors exploit Structured Query Language Injections (</w:t>
      </w:r>
      <w:proofErr w:type="spellStart"/>
      <w:r w:rsidR="00062A7F">
        <w:t>SQLi</w:t>
      </w:r>
      <w:proofErr w:type="spellEnd"/>
      <w:r w:rsidR="00062A7F">
        <w:t>) or embed ransomware into attachments, it bypasses these barriers and allows unauthorized access to information.</w:t>
      </w:r>
      <w:r w:rsidR="00617187">
        <w:t xml:space="preserve">  Further complicating matters, the boundary of the network is becoming more abstract due to the notion of everything as a service</w:t>
      </w:r>
      <w:sdt>
        <w:sdtPr>
          <w:id w:val="-610128432"/>
          <w:citation/>
        </w:sdt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For instance, 40% of enterprises are in the process of uplifting mission-critical services, such as identity</w:t>
      </w:r>
      <w:r w:rsidR="00D9084D">
        <w:t xml:space="preserve"> and authorization,</w:t>
      </w:r>
      <w:r w:rsidR="00617187">
        <w:t xml:space="preserve"> into third-party providers</w:t>
      </w:r>
      <w:sdt>
        <w:sdtPr>
          <w:id w:val="-1170865780"/>
          <w:citation/>
        </w:sdt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evolve </w:t>
      </w:r>
      <w:r w:rsidR="0007473F">
        <w:lastRenderedPageBreak/>
        <w:t>their controls to meet the challenges of these application-specific vulnerabilities using a strategy that encompasses people, processes, and products.</w:t>
      </w:r>
    </w:p>
    <w:p w14:paraId="6A71E3E7" w14:textId="181E2A10" w:rsidR="0007473F" w:rsidRDefault="003A20BA" w:rsidP="0007473F">
      <w:pPr>
        <w:pStyle w:val="Heading2"/>
      </w:pPr>
      <w:r>
        <w:t>Control: Awareness Training</w:t>
      </w:r>
    </w:p>
    <w:p w14:paraId="14B692F1" w14:textId="76D4031E" w:rsidR="0007473F" w:rsidRDefault="0007473F" w:rsidP="0007473F">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CC42D3">
        <w:t>biggest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to non-technical audiences</w:t>
      </w:r>
      <w:sdt>
        <w:sdtPr>
          <w:id w:val="813526052"/>
          <w:citation/>
        </w:sdt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366660B5" w14:textId="7496D262" w:rsidR="003A20BA" w:rsidRDefault="003A20BA" w:rsidP="003A20BA">
      <w:pPr>
        <w:pStyle w:val="Heading2"/>
      </w:pPr>
      <w:r>
        <w:t xml:space="preserve">Control:  </w:t>
      </w:r>
      <w:r w:rsidR="00207A34">
        <w:t>Auditing of Failure</w:t>
      </w:r>
    </w:p>
    <w:p w14:paraId="6FA58B8A" w14:textId="5BD386C8" w:rsidR="00B071EB" w:rsidRDefault="00B071EB" w:rsidP="0007473F">
      <w:pPr>
        <w:ind w:firstLine="720"/>
      </w:pPr>
      <w:r>
        <w:t>Malicious employees represent risks to the business that can be difficult to detect.  Often accessing sensitive documents and facility locations is part of that person’s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2B2B7C78" w:rsidR="003A20BA" w:rsidRPr="003A20BA" w:rsidRDefault="003A20BA" w:rsidP="003A20BA">
      <w:r>
        <w:tab/>
        <w:t>Gartner estimates that 99% of successful vulnerability exploits target a known defect older than one year</w:t>
      </w:r>
      <w:sdt>
        <w:sdtPr>
          <w:id w:val="-1517067729"/>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and unique items.</w:t>
      </w:r>
    </w:p>
    <w:p w14:paraId="45291395" w14:textId="1F690111" w:rsidR="0007473F" w:rsidRDefault="003A20BA" w:rsidP="0007473F">
      <w:pPr>
        <w:pStyle w:val="Heading2"/>
      </w:pPr>
      <w:r>
        <w:t>Control: Recoverability</w:t>
      </w:r>
    </w:p>
    <w:p w14:paraId="26F9D786" w14:textId="1895A519" w:rsidR="003A20BA" w:rsidRDefault="003A20BA" w:rsidP="003A20BA">
      <w:r>
        <w:tab/>
      </w:r>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p>
    <w:p w14:paraId="3FEB70BF" w14:textId="46511FDC" w:rsidR="00FF1833" w:rsidRDefault="00FF1833">
      <w:r>
        <w:br w:type="page"/>
      </w:r>
    </w:p>
    <w:p w14:paraId="314017E9" w14:textId="77777777" w:rsidR="00FF1833" w:rsidRPr="003A20BA" w:rsidRDefault="00FF1833" w:rsidP="003A20BA"/>
    <w:sectPr w:rsidR="00FF1833" w:rsidRPr="003A20BA"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E962A" w14:textId="77777777" w:rsidR="00B1291A" w:rsidRDefault="00B1291A" w:rsidP="0082223F">
      <w:pPr>
        <w:spacing w:line="240" w:lineRule="auto"/>
      </w:pPr>
      <w:r>
        <w:separator/>
      </w:r>
    </w:p>
  </w:endnote>
  <w:endnote w:type="continuationSeparator" w:id="0">
    <w:p w14:paraId="1F62E28B" w14:textId="77777777" w:rsidR="00B1291A" w:rsidRDefault="00B1291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37B4C" w14:textId="77777777" w:rsidR="00B1291A" w:rsidRDefault="00B1291A" w:rsidP="0082223F">
      <w:pPr>
        <w:spacing w:line="240" w:lineRule="auto"/>
      </w:pPr>
      <w:r>
        <w:separator/>
      </w:r>
    </w:p>
  </w:footnote>
  <w:footnote w:type="continuationSeparator" w:id="0">
    <w:p w14:paraId="605B5856" w14:textId="77777777" w:rsidR="00B1291A" w:rsidRDefault="00B1291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2A7F"/>
    <w:rsid w:val="0007473F"/>
    <w:rsid w:val="000B6EEF"/>
    <w:rsid w:val="00183597"/>
    <w:rsid w:val="00207A34"/>
    <w:rsid w:val="002806B7"/>
    <w:rsid w:val="002B3C0C"/>
    <w:rsid w:val="003973EC"/>
    <w:rsid w:val="003A20BA"/>
    <w:rsid w:val="003F4714"/>
    <w:rsid w:val="00401D65"/>
    <w:rsid w:val="004223E8"/>
    <w:rsid w:val="004968A8"/>
    <w:rsid w:val="004A784B"/>
    <w:rsid w:val="005B7079"/>
    <w:rsid w:val="005C442F"/>
    <w:rsid w:val="0060057B"/>
    <w:rsid w:val="00617187"/>
    <w:rsid w:val="00670B26"/>
    <w:rsid w:val="006D793E"/>
    <w:rsid w:val="006E578D"/>
    <w:rsid w:val="0073677D"/>
    <w:rsid w:val="0076442C"/>
    <w:rsid w:val="007A7587"/>
    <w:rsid w:val="0082223F"/>
    <w:rsid w:val="008B5129"/>
    <w:rsid w:val="009A757D"/>
    <w:rsid w:val="009F597D"/>
    <w:rsid w:val="00B071EB"/>
    <w:rsid w:val="00B1291A"/>
    <w:rsid w:val="00B52D83"/>
    <w:rsid w:val="00C73692"/>
    <w:rsid w:val="00C85E15"/>
    <w:rsid w:val="00C93BB7"/>
    <w:rsid w:val="00CB25E9"/>
    <w:rsid w:val="00CC1E7F"/>
    <w:rsid w:val="00CC42D3"/>
    <w:rsid w:val="00D249CB"/>
    <w:rsid w:val="00D75C7B"/>
    <w:rsid w:val="00D85C7B"/>
    <w:rsid w:val="00D9084D"/>
    <w:rsid w:val="00D91593"/>
    <w:rsid w:val="00DB70CE"/>
    <w:rsid w:val="00DE2224"/>
    <w:rsid w:val="00DE4618"/>
    <w:rsid w:val="00ED3713"/>
    <w:rsid w:val="00F92669"/>
    <w:rsid w:val="00FF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Ste181</b:Tag>
    <b:SourceType>JournalArticle</b:SourceType>
    <b:Guid>{9D7CEA0D-7A44-4521-9754-E2387CB53FA5}</b:Guid>
    <b:Title>Global security: new direction in theory and methods</b:Title>
    <b:JournalName>Politics and Governance</b:JournalName>
    <b:Year>2018</b:Year>
    <b:Author>
      <b:Author>
        <b:NameList>
          <b:Person>
            <b:Last>Stevens</b:Last>
            <b:First>T</b:First>
          </b:Person>
        </b:NameList>
      </b:Author>
    </b:Author>
    <b:Volume>6</b:Volume>
    <b:Issue>2</b:Issue>
    <b:YearAccessed>2020</b:YearAccessed>
    <b:MonthAccessed>May</b:MonthAccessed>
    <b:DayAccessed>9</b:DayAccessed>
    <b:DOI>https://doit.org/10.17645/pag.v6i2.1569</b:DOI>
    <b:RefOrder>7</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s>
</file>

<file path=customXml/itemProps1.xml><?xml version="1.0" encoding="utf-8"?>
<ds:datastoreItem xmlns:ds="http://schemas.openxmlformats.org/officeDocument/2006/customXml" ds:itemID="{79B99D92-980F-446F-90D1-37928A34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2020-05-10T20:31:00Z</dcterms:modified>
</cp:coreProperties>
</file>