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C01E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92ADFA8"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 xml:space="preserve">vulnerabilities require security controls that constrain the blast radius </w:t>
      </w:r>
      <w:r w:rsidR="004A6823">
        <w:t>from</w:t>
      </w:r>
      <w:r>
        <w:t xml:space="preserve"> negligent and malicious actions through authentication, authorization, and auditing mechanisms (AAA).  A finite </w:t>
      </w:r>
      <w:r w:rsidR="00670B26">
        <w:t xml:space="preserve">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w:t>
      </w:r>
      <w:r w:rsidR="004A6823">
        <w:t>,</w:t>
      </w:r>
      <w:r w:rsidR="00670B26">
        <w:t xml:space="preserve"> </w:t>
      </w:r>
      <w:r w:rsidR="004A6823">
        <w:t xml:space="preserve">such as the </w:t>
      </w:r>
      <w:r w:rsidR="00670B26">
        <w:t>influence</w:t>
      </w:r>
      <w:r w:rsidR="004A6823">
        <w:t>s</w:t>
      </w:r>
      <w:r w:rsidR="00670B26">
        <w:t xml:space="preserve"> of people and processes.</w:t>
      </w:r>
    </w:p>
    <w:p w14:paraId="4627B6B3" w14:textId="39A3F655" w:rsidR="00670B26" w:rsidRDefault="00670B26" w:rsidP="00670B26">
      <w:pPr>
        <w:pStyle w:val="Heading1"/>
      </w:pPr>
      <w:r>
        <w:t>Section I: Mitigation through Controls</w:t>
      </w:r>
    </w:p>
    <w:p w14:paraId="653EE4D5" w14:textId="36C0F569"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xml:space="preserve">) or embed ransomware into </w:t>
      </w:r>
      <w:r w:rsidR="004A6823">
        <w:t xml:space="preserve">mail </w:t>
      </w:r>
      <w:r w:rsidR="00062A7F">
        <w:t>attachments</w:t>
      </w:r>
      <w:r w:rsidR="004A6823">
        <w:t>—it</w:t>
      </w:r>
      <w:r w:rsidR="00062A7F">
        <w:t xml:space="preserve"> bypasses these </w:t>
      </w:r>
      <w:r w:rsidR="004A6823">
        <w:t xml:space="preserve">network </w:t>
      </w:r>
      <w:r w:rsidR="00062A7F">
        <w:t>barriers and allows unauthorized access to information.</w:t>
      </w:r>
      <w:r w:rsidR="00617187">
        <w:t xml:space="preserve">  Further complicating matters, the boundary of the network is becoming more abstract due to the notion of </w:t>
      </w:r>
      <w:r w:rsidR="00636D51">
        <w:t>"</w:t>
      </w:r>
      <w:r w:rsidR="00617187">
        <w:t>everything as a service</w:t>
      </w:r>
      <w:r w:rsidR="00636D51">
        <w:t>"</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xml:space="preserve">.  For instance, 40% of enterprises are in the process of uplifting mission-critical services, </w:t>
      </w:r>
      <w:r w:rsidR="004A6823">
        <w:t>like</w:t>
      </w:r>
      <w:r w:rsidR="00617187">
        <w:t xml:space="preserve">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w:t>
      </w:r>
      <w:r w:rsidR="0007473F">
        <w:lastRenderedPageBreak/>
        <w:t>evolve their controls to meet the challenges of these application-specific vulnerabilities using strateg</w:t>
      </w:r>
      <w:r w:rsidR="004A6823">
        <w:t>ies</w:t>
      </w:r>
      <w:r w:rsidR="0007473F">
        <w:t xml:space="preserve"> that encompasses people, processes, and products.</w:t>
      </w:r>
    </w:p>
    <w:p w14:paraId="6A71E3E7" w14:textId="181E2A10" w:rsidR="0007473F" w:rsidRDefault="003A20BA" w:rsidP="0007473F">
      <w:pPr>
        <w:pStyle w:val="Heading2"/>
      </w:pPr>
      <w:r>
        <w:t>Control: Awareness Training</w:t>
      </w:r>
    </w:p>
    <w:p w14:paraId="14B692F1" w14:textId="0AE195E2"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w:t>
      </w:r>
      <w:r w:rsidR="004A6823">
        <w:t xml:space="preserve">when the audience is </w:t>
      </w:r>
      <w:r w:rsidR="00D91593">
        <w:t>non-technical</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1C998C29" w:rsidR="003A20BA" w:rsidRDefault="003A20BA" w:rsidP="003A20BA">
      <w:pPr>
        <w:pStyle w:val="Heading2"/>
      </w:pPr>
      <w:r>
        <w:t xml:space="preserve">Control:  </w:t>
      </w:r>
      <w:r w:rsidR="00207A34">
        <w:t>Auditing</w:t>
      </w:r>
    </w:p>
    <w:p w14:paraId="6FA58B8A" w14:textId="6D035686" w:rsidR="00B071EB" w:rsidRDefault="00B071EB" w:rsidP="0007473F">
      <w:pPr>
        <w:ind w:firstLine="720"/>
      </w:pPr>
      <w:r>
        <w:t>Malicious employees represent risks to the business that can be difficult to detect.  Often accessing sensitive documents and facility locations is part of that person</w:t>
      </w:r>
      <w:r w:rsidR="00636D51">
        <w:t>'</w:t>
      </w:r>
      <w:r>
        <w:t>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7AF82ACB"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 xml:space="preserve">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w:t>
      </w:r>
      <w:r w:rsidR="00930F45">
        <w:t xml:space="preserve">as </w:t>
      </w:r>
      <w:r w:rsidR="005C442F">
        <w:t xml:space="preserve">unique </w:t>
      </w:r>
      <w:r w:rsidR="00930F45">
        <w:t>requests</w:t>
      </w:r>
      <w:r w:rsidR="005C442F">
        <w:t>.</w:t>
      </w:r>
      <w:r w:rsidR="00930F45">
        <w:t xml:space="preserve">  It is impossible to satisfy everyone with one policy, though equally challenging to manage thousands of one-off rules.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51D1869" w:rsidR="002D209D" w:rsidRDefault="001553B4" w:rsidP="006D31D5">
      <w:pPr>
        <w:ind w:firstLine="720"/>
      </w:pPr>
      <w:r>
        <w:t>However, investments in other aspects of the organization reduce risk and improve continuity.</w:t>
      </w:r>
      <w:r w:rsidR="00A31040">
        <w:t xml:space="preserve">  </w:t>
      </w:r>
      <w:r>
        <w:t xml:space="preserve">It can be challenging to </w:t>
      </w:r>
      <w:r w:rsidR="00ED6F94">
        <w:t xml:space="preserve">assess and </w:t>
      </w:r>
      <w:r>
        <w:t>prioritize risk reduction</w:t>
      </w:r>
      <w:r w:rsidR="00ED6F94">
        <w:t xml:space="preserve"> efforts.  The decision complexity arises from </w:t>
      </w:r>
      <w:r>
        <w:t>compar</w:t>
      </w:r>
      <w:r w:rsidR="00ED6F94">
        <w:t>ing (a)</w:t>
      </w:r>
      <w:r>
        <w:t xml:space="preserve"> an immediate real cost against </w:t>
      </w:r>
      <w:r w:rsidR="00ED6F94">
        <w:t xml:space="preserve">(b) </w:t>
      </w:r>
      <w:r>
        <w:t>a hypothetical future expense</w:t>
      </w:r>
      <w:sdt>
        <w:sdtPr>
          <w:id w:val="1310443408"/>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5D1C1934"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 versus </w:t>
      </w:r>
      <w:r w:rsidR="007033F4">
        <w:t xml:space="preserve">the cost </w:t>
      </w:r>
      <w:r w:rsidR="00ED6F94">
        <w:t xml:space="preserve">for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1BF896E" w:rsidR="000E28AF" w:rsidRDefault="000E28AF" w:rsidP="000E28AF">
      <w:r>
        <w:tab/>
        <w:t>The National Institute of Standards and Technology (NIST) Cybersecurity Framework suggests that effectively establishing protections</w:t>
      </w:r>
      <w:r w:rsidR="000437D5">
        <w:t xml:space="preserve"> follows </w:t>
      </w:r>
      <w:r>
        <w:t>a feedback loop of identification, protect, detect, respond, and recover</w:t>
      </w:r>
      <w:sdt>
        <w:sdtPr>
          <w:id w:val="-1410927580"/>
          <w:citation/>
        </w:sdt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w:t>
      </w:r>
      <w:r w:rsidR="000437D5">
        <w:t xml:space="preserve"> (see Week 5)</w:t>
      </w:r>
      <w:r>
        <w:t xml:space="preserve"> have worked to identify the most high-risk assets</w:t>
      </w:r>
      <w:r w:rsidR="00326B6F">
        <w:t>,</w:t>
      </w:r>
      <w:r>
        <w:t xml:space="preserve"> including employee safety systems, intellectual property, and supply-chain management.</w:t>
      </w:r>
    </w:p>
    <w:p w14:paraId="000CD725" w14:textId="27F91044" w:rsidR="000E28AF" w:rsidRDefault="000E28AF" w:rsidP="000E28AF">
      <w:r>
        <w:tab/>
        <w:t>Employee safety blends across the cyber-physical boundary from risks on both sides.  For instance,</w:t>
      </w:r>
      <w:r w:rsidR="00326B6F">
        <w:t xml:space="preserve"> </w:t>
      </w:r>
      <w:r>
        <w:t xml:space="preserve">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5AD91C69"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effective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4D60D62D" w14:textId="17056ACB" w:rsidR="00326B6F"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w:t>
      </w:r>
      <w:r>
        <w:lastRenderedPageBreak/>
        <w:t xml:space="preserve">through fail-over replicas that </w:t>
      </w:r>
      <w:r w:rsidR="00326B6F">
        <w:t>are entirely in-sync</w:t>
      </w:r>
      <w:r>
        <w:t>.  A series of checks and balances also exist to confirm that only appropriate roles can approve the final sign-off of work.</w:t>
      </w:r>
    </w:p>
    <w:p w14:paraId="4F522A29" w14:textId="627C7F72" w:rsidR="00C23081" w:rsidRDefault="001B490C" w:rsidP="001B490C">
      <w:pPr>
        <w:pStyle w:val="Heading2"/>
      </w:pPr>
      <w:r>
        <w:t>Balancing Business Impact</w:t>
      </w:r>
    </w:p>
    <w:p w14:paraId="5D322EB9" w14:textId="13557C21" w:rsidR="00E03928" w:rsidRDefault="00E03928" w:rsidP="00E03928">
      <w:r>
        <w:tab/>
        <w:t xml:space="preserve">Translating the protection requirements into security implementations has a wide range of maturity levels that could follow a good, better, best approach.  Ideally, Hi-Tech would only follow the </w:t>
      </w:r>
      <w:proofErr w:type="gramStart"/>
      <w:r>
        <w:t>most strict</w:t>
      </w:r>
      <w:proofErr w:type="gramEnd"/>
      <w:r>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w:t>
      </w:r>
      <w:r w:rsidR="00326B6F">
        <w:t>though th</w:t>
      </w:r>
      <w:r>
        <w:t xml:space="preserve">e labor costs are too high for monthly cadences.  </w:t>
      </w:r>
      <w:r w:rsidR="00326B6F">
        <w:t xml:space="preserve">In many scenarios, choosing a </w:t>
      </w:r>
      <w:r>
        <w:t>security investment</w:t>
      </w:r>
      <w:r w:rsidR="00326B6F">
        <w:t xml:space="preserve"> is not </w:t>
      </w:r>
      <w:r>
        <w:t>binary</w:t>
      </w:r>
      <w:r w:rsidR="00326B6F">
        <w:t xml:space="preserve"> (do everything versus do nothing).  Instead, the purchase can be in the middle and follow a phased release</w:t>
      </w:r>
      <w:sdt>
        <w:sdtPr>
          <w:id w:val="594208851"/>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This approach could divide the upgrade task into subgroups based on the criticality, like safety systems versus temperature sensors.  Each subgroup can feed into the prioritization discussion</w:t>
      </w:r>
      <w:r w:rsidR="007B2570">
        <w:t>,</w:t>
      </w:r>
      <w:r>
        <w:t xml:space="preserve"> perhaps </w:t>
      </w:r>
      <w:r w:rsidR="007B2570">
        <w:t xml:space="preserve">resulting in </w:t>
      </w:r>
      <w:r>
        <w:t xml:space="preserve">safety systems </w:t>
      </w:r>
      <w:r w:rsidR="007B2570">
        <w:t xml:space="preserve">landing on a quarterly </w:t>
      </w:r>
      <w:r>
        <w:t xml:space="preserve">upgrade </w:t>
      </w:r>
      <w:r w:rsidR="007B2570">
        <w:t>cycle</w:t>
      </w:r>
      <w:r>
        <w:t>, and the less critical sensors remain on an annual cycle.</w:t>
      </w:r>
      <w:r w:rsidR="007B2570">
        <w:t xml:space="preserve">  This decomposition of large bodies of work keeps the costs down and enables more focused efforts.</w:t>
      </w:r>
    </w:p>
    <w:p w14:paraId="48F33F54" w14:textId="161A72D9" w:rsidR="0036284C" w:rsidRDefault="0036284C" w:rsidP="0036284C">
      <w:pPr>
        <w:ind w:firstLine="720"/>
      </w:pPr>
      <w:r>
        <w:t xml:space="preserve">Vulnerabilities exist at the intersect of three conditions. </w:t>
      </w:r>
      <w:r w:rsidR="00636D51">
        <w:t>"</w:t>
      </w:r>
      <w:r w:rsidRPr="0036284C">
        <w:t>(1) system susceptibility, such as a design or implementation flaw; (2) threat accessibility, such as system access points or services; (3) threat capability, such as an opponent with the knowledge and resources to discover, access, and exploit a flaw</w:t>
      </w:r>
      <w:r w:rsidR="00636D51">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rsidR="00326B6F">
        <w:t>.</w:t>
      </w:r>
      <w:r>
        <w:t xml:space="preserve">  </w:t>
      </w:r>
      <w:r>
        <w:t>Often</w:t>
      </w:r>
      <w:r>
        <w:t>,</w:t>
      </w:r>
      <w:r>
        <w:t xml:space="preserve"> </w:t>
      </w:r>
      <w:r>
        <w:t xml:space="preserve">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w:t>
      </w:r>
      <w:r>
        <w:lastRenderedPageBreak/>
        <w:t>blocking access at the network switch level removes the issue.</w:t>
      </w:r>
      <w:r w:rsidR="00633258">
        <w:t xml:space="preserve">  Another vulnerability exists in the Telnet daemon communicating in </w:t>
      </w:r>
      <w:proofErr w:type="gramStart"/>
      <w:r w:rsidR="00633258">
        <w:t>plain-text</w:t>
      </w:r>
      <w:proofErr w:type="gramEnd"/>
      <w:r w:rsidR="00633258">
        <w:t>.  Similarly, the administrators can place those interactions on a Virtual Local Area Network (VLAN) to limit access.</w:t>
      </w:r>
    </w:p>
    <w:p w14:paraId="74519C6B" w14:textId="1C535843" w:rsidR="00C23081" w:rsidRDefault="00105B96" w:rsidP="00326B6F">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w:t>
      </w:r>
      <w:r w:rsidR="00326B6F">
        <w:t>an</w:t>
      </w:r>
      <w:r>
        <w:t xml:space="preserve"> override code to bypass this requirement and get the invoices out the door.  While the rule intends to ensure that invoices are complete and </w:t>
      </w:r>
      <w:r w:rsidR="00D47213">
        <w:t xml:space="preserve">promote </w:t>
      </w:r>
      <w:r>
        <w:t xml:space="preserve">accountability, it </w:t>
      </w:r>
      <w:r w:rsidR="00D47213">
        <w:t xml:space="preserve">also causes </w:t>
      </w:r>
      <w:r>
        <w:t>a bottleneck that impedes timely delivery.</w:t>
      </w:r>
      <w:r w:rsidR="00D47213">
        <w:t xml:space="preserve">  On the one hand, the security team could remove the bypass feature, but this introduces additional</w:t>
      </w:r>
      <w:r w:rsidR="00326B6F">
        <w:t xml:space="preserve"> work</w:t>
      </w:r>
      <w:r w:rsidR="00D47213">
        <w:t xml:space="preserve"> for the team.  Approaching the prioritization of these scenarios requires a gentle touch, as security enables the business, not the other way around</w:t>
      </w:r>
      <w:sdt>
        <w:sdtPr>
          <w:id w:val="-1333684060"/>
          <w:citation/>
        </w:sdtPr>
        <w:sdtContent>
          <w:r w:rsidR="00D47213">
            <w:fldChar w:fldCharType="begin"/>
          </w:r>
          <w:r w:rsidR="00D47213">
            <w:instrText xml:space="preserve"> CITATION Dai191 \l 1033 </w:instrText>
          </w:r>
          <w:r w:rsidR="00D47213">
            <w:fldChar w:fldCharType="separate"/>
          </w:r>
          <w:r w:rsidR="00D47213">
            <w:rPr>
              <w:noProof/>
            </w:rPr>
            <w:t xml:space="preserve"> (Dai Zovi, 2019)</w:t>
          </w:r>
          <w:r w:rsidR="00D47213">
            <w:fldChar w:fldCharType="end"/>
          </w:r>
        </w:sdtContent>
      </w:sdt>
      <w:r w:rsidR="00D47213">
        <w:t>.</w:t>
      </w:r>
      <w:r w:rsidR="007F76B6">
        <w:t xml:space="preserve">  Instead, a conversation could begin with senior leadership to understand if the previous decision still make</w:t>
      </w:r>
      <w:r w:rsidR="00DE12E5">
        <w:t>s</w:t>
      </w:r>
      <w:r w:rsidR="007F76B6">
        <w:t xml:space="preserve"> sense.  If the idea is valid, perhaps minor tweaks can maintain the central concept under more amenable terms.</w:t>
      </w:r>
    </w:p>
    <w:p w14:paraId="69AF235D" w14:textId="38DFF35D" w:rsidR="006F4812" w:rsidRDefault="006F4812" w:rsidP="00C23081">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w:t>
      </w:r>
      <w:r w:rsidR="000B32C7">
        <w:t>d</w:t>
      </w:r>
      <w:r>
        <w:t xml:space="preserve">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w:t>
      </w:r>
      <w:r w:rsidR="00A46717">
        <w:t xml:space="preserve">  Ultimately these decisions are trading one set of risks for another.</w:t>
      </w:r>
    </w:p>
    <w:p w14:paraId="04A0EE22" w14:textId="57B6F4B8" w:rsidR="00A46717" w:rsidRDefault="00110E66" w:rsidP="00110E66">
      <w:pPr>
        <w:pStyle w:val="Heading2"/>
      </w:pPr>
      <w:r>
        <w:lastRenderedPageBreak/>
        <w:t>Disaster Recovery Priorities</w:t>
      </w:r>
    </w:p>
    <w:p w14:paraId="05287FF9" w14:textId="77777777" w:rsidR="00472F27" w:rsidRDefault="00E90942" w:rsidP="00110E66">
      <w:r>
        <w:tab/>
        <w:t>The operations and security teams at Hi-Tech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472F27">
        <w:t xml:space="preserve">  </w:t>
      </w:r>
    </w:p>
    <w:p w14:paraId="4AB692AA" w14:textId="463A91D0" w:rsidR="00472F27" w:rsidRDefault="00B25215" w:rsidP="00472F27">
      <w:pPr>
        <w:ind w:firstLine="720"/>
      </w:pPr>
      <w:r>
        <w:t>The compensation strategy will need to follow a procedure</w:t>
      </w:r>
      <w:r w:rsidR="00E90942">
        <w:t xml:space="preserve"> that restores service</w:t>
      </w:r>
      <w:r>
        <w:t xml:space="preserve">.  </w:t>
      </w:r>
      <w:r w:rsidR="00E90942">
        <w:t>If the procedure is poorly defined or not implemented, then the Mean Time to Recovery (MTTR) can be unacceptably long</w:t>
      </w:r>
      <w:r>
        <w:t>, creating new risks to the business.  These risks need a prioritization discussion that chooses which ones become self-protected, self-insured, transferred, or deferred</w:t>
      </w:r>
      <w:sdt>
        <w:sdtPr>
          <w:id w:val="1425541932"/>
          <w:citation/>
        </w:sdtPr>
        <w:sdtContent>
          <w:r w:rsidR="000475DF">
            <w:fldChar w:fldCharType="begin"/>
          </w:r>
          <w:r w:rsidR="000475DF">
            <w:instrText xml:space="preserve"> CITATION Bas181 \l 1033 </w:instrText>
          </w:r>
          <w:r w:rsidR="000475DF">
            <w:fldChar w:fldCharType="separate"/>
          </w:r>
          <w:r w:rsidR="000475DF">
            <w:rPr>
              <w:noProof/>
            </w:rPr>
            <w:t xml:space="preserve"> (Baskerville, Rowe, &amp; Wolff, 2018)</w:t>
          </w:r>
          <w:r w:rsidR="000475DF">
            <w:fldChar w:fldCharType="end"/>
          </w:r>
        </w:sdtContent>
      </w:sdt>
      <w:r>
        <w:t>.</w:t>
      </w:r>
      <w:r w:rsidR="000475DF">
        <w:t xml:space="preserve">  Those conversations will need to consider the likelihood and potential costs under a deferment.</w:t>
      </w:r>
    </w:p>
    <w:p w14:paraId="6534E9DB" w14:textId="0B92CC00" w:rsidR="00472F27" w:rsidRDefault="00636D51" w:rsidP="00472F27">
      <w:pPr>
        <w:ind w:firstLine="720"/>
      </w:pPr>
      <w:r>
        <w:t xml:space="preserve">Consider the common scenario that </w:t>
      </w:r>
      <w:r w:rsidR="00472F27">
        <w:t xml:space="preserve">an </w:t>
      </w:r>
      <w:r w:rsidR="009F25FB">
        <w:t>employe</w:t>
      </w:r>
      <w:r>
        <w:t>e'</w:t>
      </w:r>
      <w:r w:rsidR="00472F27">
        <w:t>s workstation becomes infected with ransomware.  If the helpdesk can respond by reinstalling the operating system and downloading a recent backup of personal information, then the cost is minimized.  Alternatively, if the automation does not exist or backup processes are not consistent, then the losses are magnified.  Given the frequency of these types of situations, it makes economic sense to devise a generic repeatable solution upfront.  Meanwhile, other disaster recovery scenarios are prohibitively expensive to even approach from a technical or process perspective.  Imagine that 80% of manufacturing takes place at the headquarter location, and a meteor crashes into the building (e.g., black swan event).  These risks require a transference to third-party insurance providers.</w:t>
      </w:r>
    </w:p>
    <w:sdt>
      <w:sdtPr>
        <w:id w:val="-659776440"/>
        <w:docPartObj>
          <w:docPartGallery w:val="Bibliographies"/>
          <w:docPartUnique/>
        </w:docPartObj>
      </w:sdtPr>
      <w:sdtEndPr>
        <w:rPr>
          <w:b w:val="0"/>
        </w:rPr>
      </w:sdtEndPr>
      <w:sdtContent>
        <w:p w14:paraId="5E2271AF" w14:textId="05461313" w:rsidR="001A3F41" w:rsidRDefault="001A3F41">
          <w:pPr>
            <w:pStyle w:val="Heading1"/>
          </w:pPr>
          <w:r>
            <w:t>References</w:t>
          </w:r>
        </w:p>
        <w:sdt>
          <w:sdtPr>
            <w:id w:val="-573587230"/>
            <w:bibliography/>
          </w:sdtPr>
          <w:sdtContent>
            <w:p w14:paraId="55EA776C" w14:textId="53C12BCD" w:rsidR="001A3F41" w:rsidRDefault="001A3F41" w:rsidP="001A3F41">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1EF4431A" w14:textId="77777777" w:rsidR="001A3F41" w:rsidRDefault="001A3F41" w:rsidP="001A3F41">
              <w:pPr>
                <w:pStyle w:val="Bibliography"/>
                <w:ind w:left="720" w:hanging="720"/>
                <w:rPr>
                  <w:noProof/>
                </w:rPr>
              </w:pPr>
              <w:r>
                <w:rPr>
                  <w:noProof/>
                </w:rPr>
                <w:t xml:space="preserve">Baskerville, R., Rowe, F., &amp; Wolff, F. (2018, February). Integration of information systems and cybersecurity countermeasures: an exposure to risk perspective. </w:t>
              </w:r>
              <w:r>
                <w:rPr>
                  <w:i/>
                  <w:iCs/>
                  <w:noProof/>
                </w:rPr>
                <w:t>Special Interest Group on Management Information Systems (SIGMIS) Databases, 49</w:t>
              </w:r>
              <w:r>
                <w:rPr>
                  <w:noProof/>
                </w:rPr>
                <w:t>(1), 33-52. doi:https://doi.org/10.1145/3184444.3184448</w:t>
              </w:r>
            </w:p>
            <w:p w14:paraId="1BBF0042" w14:textId="34BA38E1" w:rsidR="001A3F41" w:rsidRDefault="001A3F41" w:rsidP="001A3F41">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9th, 2020, from https://www.youtube.com/watch?v=8armE3Wz0jk</w:t>
              </w:r>
            </w:p>
            <w:p w14:paraId="0979A638" w14:textId="6724EEAC" w:rsidR="001A3F41" w:rsidRDefault="001A3F41" w:rsidP="001A3F41">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May 9th, 2020, from https://search-ebscohost-com.proxy1.ncu.edu/login.aspx?direct=true&amp;db=bth&amp;AN=129631258&amp;site=eds-live</w:t>
              </w:r>
            </w:p>
            <w:p w14:paraId="1AEA5556" w14:textId="77777777" w:rsidR="001A3F41" w:rsidRDefault="001A3F41" w:rsidP="001A3F4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AD8976A" w14:textId="0A7794C2" w:rsidR="001A3F41" w:rsidRDefault="001A3F41" w:rsidP="001A3F41">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523588CF" w14:textId="0EE51BA6" w:rsidR="001A3F41" w:rsidRDefault="001A3F41" w:rsidP="001A3F41">
              <w:pPr>
                <w:pStyle w:val="Bibliography"/>
                <w:ind w:left="720" w:hanging="720"/>
                <w:rPr>
                  <w:noProof/>
                </w:rPr>
              </w:pPr>
              <w:r>
                <w:rPr>
                  <w:noProof/>
                </w:rPr>
                <w:lastRenderedPageBreak/>
                <w:t xml:space="preserve">Grohmann, A. (2018). Evolution of the cybersecurity framework. </w:t>
              </w:r>
              <w:r>
                <w:rPr>
                  <w:i/>
                  <w:iCs/>
                  <w:noProof/>
                </w:rPr>
                <w:t>Information Systems Security Association, 16</w:t>
              </w:r>
              <w:r>
                <w:rPr>
                  <w:noProof/>
                </w:rPr>
                <w:t>(7), 14-18. Retrieved May 2nd, 2020, from https://search-ebscohost-com.proxy1.ncu.edu/login.aspx?direct=true&amp;db=tsh&amp;AN=130572679&amp;site=eds-live</w:t>
              </w:r>
            </w:p>
            <w:p w14:paraId="6ACE5C17" w14:textId="066256A5" w:rsidR="001A3F41" w:rsidRDefault="001A3F41" w:rsidP="001A3F4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9th, 2020, from https://www.youtube.com/watch?v=qCOefMiakps</w:t>
              </w:r>
            </w:p>
            <w:p w14:paraId="09AFD7F8" w14:textId="07D2A8A9" w:rsidR="001A3F41" w:rsidRDefault="001A3F41" w:rsidP="001A3F41">
              <w:pPr>
                <w:pStyle w:val="Bibliography"/>
                <w:ind w:left="720" w:hanging="720"/>
                <w:rPr>
                  <w:noProof/>
                </w:rPr>
              </w:pPr>
              <w:r>
                <w:rPr>
                  <w:noProof/>
                </w:rPr>
                <w:t xml:space="preserve">Kilgallon, S., De La Rosa, L., &amp; Cavazos, J. (2017, September 18-22). Improving the effectiveness and efficiency of dynamic malware analysis with machine learning. </w:t>
              </w:r>
              <w:r>
                <w:rPr>
                  <w:i/>
                  <w:iCs/>
                  <w:noProof/>
                </w:rPr>
                <w:t>Resilience Week.</w:t>
              </w:r>
              <w:r>
                <w:rPr>
                  <w:noProof/>
                </w:rPr>
                <w:t xml:space="preserve"> Wilmington, DE, USA. doi:https://doi.org/10.1109/RWEEK.2017.8088644</w:t>
              </w:r>
            </w:p>
            <w:p w14:paraId="39FCF114" w14:textId="77777777" w:rsidR="001A3F41" w:rsidRDefault="001A3F41" w:rsidP="001A3F4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37B957A5" w14:textId="05A2B948" w:rsidR="001A3F41" w:rsidRDefault="001A3F41" w:rsidP="001A3F4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C642470" w14:textId="77777777" w:rsidR="001A3F41" w:rsidRDefault="001A3F41" w:rsidP="001A3F41">
              <w:pPr>
                <w:pStyle w:val="Bibliography"/>
                <w:ind w:left="720" w:hanging="720"/>
                <w:rPr>
                  <w:noProof/>
                </w:rPr>
              </w:pPr>
              <w:r>
                <w:rPr>
                  <w:noProof/>
                </w:rPr>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08D6D22E" w14:textId="4EAAC19E" w:rsidR="001A3F41" w:rsidRDefault="001A3F41" w:rsidP="001A3F41">
              <w:pPr>
                <w:pStyle w:val="Bibliography"/>
                <w:ind w:left="720" w:hanging="720"/>
                <w:rPr>
                  <w:noProof/>
                </w:rPr>
              </w:pPr>
              <w:r>
                <w:rPr>
                  <w:noProof/>
                </w:rPr>
                <w:t xml:space="preserve">Valiente, C. (2017, October). Addressing malware with cybersecurity awareness. </w:t>
              </w:r>
              <w:r>
                <w:rPr>
                  <w:i/>
                  <w:iCs/>
                  <w:noProof/>
                </w:rPr>
                <w:t>Information Systems Security Association, 15</w:t>
              </w:r>
              <w:r>
                <w:rPr>
                  <w:noProof/>
                </w:rPr>
                <w:t>(10), 16-22. Retrieved May 9th, 2020, from https://search-ebscohost-com.proxy1.ncu.edu/login.aspx?direct=true&amp;db=tsh&amp;AN=125478200&amp;site=eds-live</w:t>
              </w:r>
            </w:p>
            <w:p w14:paraId="04255DD7" w14:textId="69F91041" w:rsidR="00472F27" w:rsidRPr="00110E66" w:rsidRDefault="001A3F41" w:rsidP="00472F27">
              <w:r>
                <w:rPr>
                  <w:b/>
                  <w:bCs/>
                  <w:noProof/>
                </w:rPr>
                <w:fldChar w:fldCharType="end"/>
              </w:r>
            </w:p>
          </w:sdtContent>
        </w:sdt>
      </w:sdtContent>
    </w:sdt>
    <w:sectPr w:rsidR="00472F27" w:rsidRPr="00110E6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C1C39" w14:textId="77777777" w:rsidR="00FC01EA" w:rsidRDefault="00FC01EA" w:rsidP="0082223F">
      <w:pPr>
        <w:spacing w:line="240" w:lineRule="auto"/>
      </w:pPr>
      <w:r>
        <w:separator/>
      </w:r>
    </w:p>
  </w:endnote>
  <w:endnote w:type="continuationSeparator" w:id="0">
    <w:p w14:paraId="55482BF0" w14:textId="77777777" w:rsidR="00FC01EA" w:rsidRDefault="00FC01E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28688" w14:textId="77777777" w:rsidR="00FC01EA" w:rsidRDefault="00FC01EA" w:rsidP="0082223F">
      <w:pPr>
        <w:spacing w:line="240" w:lineRule="auto"/>
      </w:pPr>
      <w:r>
        <w:separator/>
      </w:r>
    </w:p>
  </w:footnote>
  <w:footnote w:type="continuationSeparator" w:id="0">
    <w:p w14:paraId="2B342A13" w14:textId="77777777" w:rsidR="00FC01EA" w:rsidRDefault="00FC01E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37D5"/>
    <w:rsid w:val="000475DF"/>
    <w:rsid w:val="00047877"/>
    <w:rsid w:val="00062A7F"/>
    <w:rsid w:val="0007473F"/>
    <w:rsid w:val="000B32C7"/>
    <w:rsid w:val="000B6EEF"/>
    <w:rsid w:val="000E28AF"/>
    <w:rsid w:val="000F3A25"/>
    <w:rsid w:val="00105B96"/>
    <w:rsid w:val="00110158"/>
    <w:rsid w:val="00110E66"/>
    <w:rsid w:val="001553B4"/>
    <w:rsid w:val="00183597"/>
    <w:rsid w:val="001A3F41"/>
    <w:rsid w:val="001B490C"/>
    <w:rsid w:val="00207A34"/>
    <w:rsid w:val="002806B7"/>
    <w:rsid w:val="002A530A"/>
    <w:rsid w:val="002B3C0C"/>
    <w:rsid w:val="002D209D"/>
    <w:rsid w:val="00326B6F"/>
    <w:rsid w:val="0036284C"/>
    <w:rsid w:val="003973EC"/>
    <w:rsid w:val="003A20BA"/>
    <w:rsid w:val="003F4714"/>
    <w:rsid w:val="00401D65"/>
    <w:rsid w:val="004223E8"/>
    <w:rsid w:val="00472F27"/>
    <w:rsid w:val="004968A8"/>
    <w:rsid w:val="004A6823"/>
    <w:rsid w:val="004A784B"/>
    <w:rsid w:val="00597DCE"/>
    <w:rsid w:val="005B7079"/>
    <w:rsid w:val="005C442F"/>
    <w:rsid w:val="0060057B"/>
    <w:rsid w:val="00617187"/>
    <w:rsid w:val="0062290A"/>
    <w:rsid w:val="00633258"/>
    <w:rsid w:val="00636D51"/>
    <w:rsid w:val="00670B26"/>
    <w:rsid w:val="006D31D5"/>
    <w:rsid w:val="006D793E"/>
    <w:rsid w:val="006E578D"/>
    <w:rsid w:val="006F4812"/>
    <w:rsid w:val="007033F4"/>
    <w:rsid w:val="0073677D"/>
    <w:rsid w:val="00743CFD"/>
    <w:rsid w:val="0076442C"/>
    <w:rsid w:val="007A7587"/>
    <w:rsid w:val="007B2570"/>
    <w:rsid w:val="007F76B6"/>
    <w:rsid w:val="0080111D"/>
    <w:rsid w:val="0082223F"/>
    <w:rsid w:val="00832468"/>
    <w:rsid w:val="00881E57"/>
    <w:rsid w:val="0089258A"/>
    <w:rsid w:val="008B5129"/>
    <w:rsid w:val="008B6A07"/>
    <w:rsid w:val="00930F45"/>
    <w:rsid w:val="00993631"/>
    <w:rsid w:val="009A757D"/>
    <w:rsid w:val="009F25FB"/>
    <w:rsid w:val="009F597D"/>
    <w:rsid w:val="00A31040"/>
    <w:rsid w:val="00A46717"/>
    <w:rsid w:val="00A94031"/>
    <w:rsid w:val="00B071EB"/>
    <w:rsid w:val="00B25215"/>
    <w:rsid w:val="00B52D83"/>
    <w:rsid w:val="00C23081"/>
    <w:rsid w:val="00C46FB2"/>
    <w:rsid w:val="00C73692"/>
    <w:rsid w:val="00C85E15"/>
    <w:rsid w:val="00C93BB7"/>
    <w:rsid w:val="00CB25E9"/>
    <w:rsid w:val="00CC1E7F"/>
    <w:rsid w:val="00CC42D3"/>
    <w:rsid w:val="00D249CB"/>
    <w:rsid w:val="00D47213"/>
    <w:rsid w:val="00D75C7B"/>
    <w:rsid w:val="00D85C7B"/>
    <w:rsid w:val="00D9084D"/>
    <w:rsid w:val="00D91593"/>
    <w:rsid w:val="00DB70CE"/>
    <w:rsid w:val="00DE12E5"/>
    <w:rsid w:val="00DE2224"/>
    <w:rsid w:val="00DE4618"/>
    <w:rsid w:val="00E03928"/>
    <w:rsid w:val="00E90942"/>
    <w:rsid w:val="00ED3713"/>
    <w:rsid w:val="00ED6F94"/>
    <w:rsid w:val="00F92669"/>
    <w:rsid w:val="00FC01EA"/>
    <w:rsid w:val="00FF1833"/>
    <w:rsid w:val="00FF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1A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6744">
      <w:bodyDiv w:val="1"/>
      <w:marLeft w:val="0"/>
      <w:marRight w:val="0"/>
      <w:marTop w:val="0"/>
      <w:marBottom w:val="0"/>
      <w:divBdr>
        <w:top w:val="none" w:sz="0" w:space="0" w:color="auto"/>
        <w:left w:val="none" w:sz="0" w:space="0" w:color="auto"/>
        <w:bottom w:val="none" w:sz="0" w:space="0" w:color="auto"/>
        <w:right w:val="none" w:sz="0" w:space="0" w:color="auto"/>
      </w:divBdr>
    </w:div>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114668348">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622613087">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812211153">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 w:id="21222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12</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13</b:RefOrder>
  </b:Source>
</b:Sources>
</file>

<file path=customXml/itemProps1.xml><?xml version="1.0" encoding="utf-8"?>
<ds:datastoreItem xmlns:ds="http://schemas.openxmlformats.org/officeDocument/2006/customXml" ds:itemID="{E825E818-B974-4647-85E0-B59C2004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11</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88</cp:revision>
  <dcterms:created xsi:type="dcterms:W3CDTF">2019-05-19T17:38:00Z</dcterms:created>
  <dcterms:modified xsi:type="dcterms:W3CDTF">2020-05-11T02:44:00Z</dcterms:modified>
</cp:coreProperties>
</file>