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C436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337E613C"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38FA439A"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not stopping or safety systems not initiating</w:t>
      </w:r>
      <w:r w:rsidR="00592D54">
        <w:t xml:space="preserve"> quick 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software administrators.</w:t>
      </w:r>
    </w:p>
    <w:p w14:paraId="293E4C6F" w14:textId="139BF116" w:rsidR="00574F04" w:rsidRDefault="00574F04" w:rsidP="00574F04">
      <w:pPr>
        <w:pStyle w:val="Heading2"/>
      </w:pPr>
      <w:r>
        <w:t>Products</w:t>
      </w:r>
    </w:p>
    <w:p w14:paraId="0B5AD239" w14:textId="6C57CAC5"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variations are still active</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38548B3C"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For many retail markets, the customer makes purchasing decisions solely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55810597" w:rsidR="00154BCF" w:rsidRDefault="007D1FE6" w:rsidP="00154BCF">
      <w:pPr>
        <w:pStyle w:val="Heading2"/>
      </w:pPr>
      <w:r>
        <w:t>Regulation</w:t>
      </w:r>
    </w:p>
    <w:p w14:paraId="539DDD0E" w14:textId="02765D32"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077A1C">
        <w:t>for embedded 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p w14:paraId="11E200DD" w14:textId="6C70FCD0" w:rsidR="008B201B" w:rsidRDefault="008B201B" w:rsidP="008B201B">
      <w:pPr>
        <w:ind w:firstLine="720"/>
      </w:pPr>
      <w:r>
        <w:t xml:space="preserve">When a customer purchases a traditional device, like a video player, they </w:t>
      </w:r>
      <w:r w:rsidR="00933599">
        <w:t xml:space="preserve">can </w:t>
      </w:r>
      <w:r>
        <w:t>exert full ownership.  However, with everything as a service (XaaS), manufactures are relying on service integrations and Digital Rights Management (DRM) to retain control</w:t>
      </w:r>
      <w:r w:rsidR="00933599">
        <w:t xml:space="preserve"> after the procurement</w:t>
      </w:r>
      <w:sdt>
        <w:sdtPr>
          <w:id w:val="-11843742"/>
          <w:citation/>
        </w:sdtPr>
        <w:sdtContent>
          <w:r w:rsidR="00933599">
            <w:fldChar w:fldCharType="begin"/>
          </w:r>
          <w:r w:rsidR="00933599">
            <w:instrText xml:space="preserve"> CITATION Ora17 \l 1033 </w:instrText>
          </w:r>
          <w:r w:rsidR="00933599">
            <w:fldChar w:fldCharType="separate"/>
          </w:r>
          <w:r w:rsidR="00933599">
            <w:rPr>
              <w:noProof/>
            </w:rPr>
            <w:t xml:space="preserve"> </w:t>
          </w:r>
          <w:r w:rsidR="00933599">
            <w:rPr>
              <w:noProof/>
            </w:rPr>
            <w:lastRenderedPageBreak/>
            <w:t>(Oravec, 2017)</w:t>
          </w:r>
          <w:r w:rsidR="00933599">
            <w:fldChar w:fldCharType="end"/>
          </w:r>
        </w:sdtContent>
      </w:sdt>
      <w:r>
        <w:t>.  These new licensing models enable organizations to collect monthly subscription fees and provide new features through software updates</w:t>
      </w:r>
      <w:r w:rsidR="00933599">
        <w:t xml:space="preserve">.  This paradigm shift introduces dependencies, where </w:t>
      </w:r>
      <w:r w:rsidR="009860DC">
        <w:t xml:space="preserve">the manufacture becomes liable for the responsible storage of customer data.  Selling these products to international audiences adds </w:t>
      </w:r>
      <w:r w:rsidR="009F59A3">
        <w:t xml:space="preserve">additional </w:t>
      </w:r>
      <w:r w:rsidR="009860DC">
        <w:t xml:space="preserve">complexity, as it can </w:t>
      </w:r>
      <w:r w:rsidR="009F59A3">
        <w:t xml:space="preserve">bring the </w:t>
      </w:r>
      <w:r w:rsidR="009860DC">
        <w:t xml:space="preserve">Global Data Protection Regulation (GDPR) </w:t>
      </w:r>
      <w:r w:rsidR="009F59A3">
        <w:t xml:space="preserve">and similar foreign policy </w:t>
      </w:r>
      <w:r w:rsidR="009860DC">
        <w:t>into scope.</w:t>
      </w:r>
    </w:p>
    <w:p w14:paraId="459F9C31" w14:textId="3357F00E" w:rsidR="00106C27" w:rsidRDefault="00106C27" w:rsidP="00106C27">
      <w:pPr>
        <w:pStyle w:val="Heading1"/>
      </w:pPr>
      <w:r>
        <w:t>Conclusion</w:t>
      </w:r>
    </w:p>
    <w:p w14:paraId="4FA10939" w14:textId="4B108EAF" w:rsidR="00106C27" w:rsidRDefault="00EF3D57" w:rsidP="00EF3D57">
      <w:pPr>
        <w:ind w:firstLine="720"/>
      </w:pPr>
      <w:r>
        <w:t xml:space="preserve">The Internet of Things (IoT) provides a mechanism for bridging the cyber and physical worlds into a unified system.  This bridge enables businesses to collect sensor data for powering artificial intelligence solutions that control mechanical devices (e.g., motors and actuators).  Ensuring the integrity, confidentiality, and availability of that communication channel requires </w:t>
      </w:r>
      <w:r>
        <w:t>protections for the people, processes, and products that participate</w:t>
      </w:r>
      <w:r w:rsidR="00C26999">
        <w:t xml:space="preserve"> in</w:t>
      </w:r>
      <w:r>
        <w:t xml:space="preserve"> th</w:t>
      </w:r>
      <w:r>
        <w:t>ose conversations.</w:t>
      </w:r>
    </w:p>
    <w:p w14:paraId="553EA1D8" w14:textId="268282BF" w:rsidR="00D421EB" w:rsidRPr="00106C27" w:rsidRDefault="00D421EB" w:rsidP="00EF3D57">
      <w:pPr>
        <w:ind w:firstLine="720"/>
      </w:pPr>
      <w:r>
        <w:t>If the system supports a notion of different user-profiles and contexts, then it can be more easily customized and provide a more meaningful experience.</w:t>
      </w:r>
      <w:r w:rsidR="002E143D">
        <w:t xml:space="preserve">  However, </w:t>
      </w:r>
      <w:r w:rsidR="00E460F4">
        <w:t xml:space="preserve">efficiently segmenting profiles is complex because </w:t>
      </w:r>
    </w:p>
    <w:sectPr w:rsidR="00D421EB" w:rsidRPr="00106C2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82791" w14:textId="77777777" w:rsidR="00FC4366" w:rsidRDefault="00FC4366" w:rsidP="0082223F">
      <w:pPr>
        <w:spacing w:line="240" w:lineRule="auto"/>
      </w:pPr>
      <w:r>
        <w:separator/>
      </w:r>
    </w:p>
  </w:endnote>
  <w:endnote w:type="continuationSeparator" w:id="0">
    <w:p w14:paraId="014E6857" w14:textId="77777777" w:rsidR="00FC4366" w:rsidRDefault="00FC436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6C111" w14:textId="77777777" w:rsidR="00FC4366" w:rsidRDefault="00FC4366" w:rsidP="0082223F">
      <w:pPr>
        <w:spacing w:line="240" w:lineRule="auto"/>
      </w:pPr>
      <w:r>
        <w:separator/>
      </w:r>
    </w:p>
  </w:footnote>
  <w:footnote w:type="continuationSeparator" w:id="0">
    <w:p w14:paraId="5EAB9CAD" w14:textId="77777777" w:rsidR="00FC4366" w:rsidRDefault="00FC436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7FDF"/>
    <w:rsid w:val="00077A1C"/>
    <w:rsid w:val="000C26D5"/>
    <w:rsid w:val="00106C27"/>
    <w:rsid w:val="0012355A"/>
    <w:rsid w:val="00154BCF"/>
    <w:rsid w:val="00183597"/>
    <w:rsid w:val="00194483"/>
    <w:rsid w:val="002173E6"/>
    <w:rsid w:val="00223358"/>
    <w:rsid w:val="002255AA"/>
    <w:rsid w:val="00267AFF"/>
    <w:rsid w:val="00276E62"/>
    <w:rsid w:val="002806B7"/>
    <w:rsid w:val="002A3870"/>
    <w:rsid w:val="002E143D"/>
    <w:rsid w:val="002F1222"/>
    <w:rsid w:val="003576B0"/>
    <w:rsid w:val="003A6261"/>
    <w:rsid w:val="003E1082"/>
    <w:rsid w:val="003F401E"/>
    <w:rsid w:val="003F4714"/>
    <w:rsid w:val="00401D65"/>
    <w:rsid w:val="004223E8"/>
    <w:rsid w:val="0047463E"/>
    <w:rsid w:val="004A44F4"/>
    <w:rsid w:val="004A784B"/>
    <w:rsid w:val="004D0A79"/>
    <w:rsid w:val="005407B6"/>
    <w:rsid w:val="0056415A"/>
    <w:rsid w:val="00574F04"/>
    <w:rsid w:val="005801F0"/>
    <w:rsid w:val="00586A89"/>
    <w:rsid w:val="00592D54"/>
    <w:rsid w:val="005B7079"/>
    <w:rsid w:val="005E33B2"/>
    <w:rsid w:val="006329F1"/>
    <w:rsid w:val="00673CC7"/>
    <w:rsid w:val="006D793E"/>
    <w:rsid w:val="0073677D"/>
    <w:rsid w:val="007D1FE6"/>
    <w:rsid w:val="007F0EEE"/>
    <w:rsid w:val="0082223F"/>
    <w:rsid w:val="00824617"/>
    <w:rsid w:val="008B201B"/>
    <w:rsid w:val="008B5129"/>
    <w:rsid w:val="008C58C8"/>
    <w:rsid w:val="00933599"/>
    <w:rsid w:val="009860DC"/>
    <w:rsid w:val="009A757D"/>
    <w:rsid w:val="009B281F"/>
    <w:rsid w:val="009F24A8"/>
    <w:rsid w:val="009F59A3"/>
    <w:rsid w:val="00C26999"/>
    <w:rsid w:val="00C43F08"/>
    <w:rsid w:val="00C6450E"/>
    <w:rsid w:val="00C73692"/>
    <w:rsid w:val="00C93BB7"/>
    <w:rsid w:val="00CB25E9"/>
    <w:rsid w:val="00D421EB"/>
    <w:rsid w:val="00D75C7B"/>
    <w:rsid w:val="00D85C7B"/>
    <w:rsid w:val="00DE2224"/>
    <w:rsid w:val="00DE45AD"/>
    <w:rsid w:val="00E460F4"/>
    <w:rsid w:val="00E5045D"/>
    <w:rsid w:val="00E51AF8"/>
    <w:rsid w:val="00E7096D"/>
    <w:rsid w:val="00E832DD"/>
    <w:rsid w:val="00E97C1E"/>
    <w:rsid w:val="00ED3713"/>
    <w:rsid w:val="00EE602F"/>
    <w:rsid w:val="00EE7580"/>
    <w:rsid w:val="00EF3D57"/>
    <w:rsid w:val="00F017AB"/>
    <w:rsid w:val="00F53305"/>
    <w:rsid w:val="00FC4366"/>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374163067">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
    <b:Tag>Ora17</b:Tag>
    <b:SourceType>JournalArticle</b:SourceType>
    <b:Guid>{0E712C6A-F0EA-4B17-BCCA-076790F29574}</b:Guid>
    <b:Title>Kill switches, remote deletion, and intelligent agents</b:Title>
    <b:JournalName>Technology in Society</b:JournalName>
    <b:Year>2017</b:Year>
    <b:Pages>189-198</b:Pages>
    <b:Author>
      <b:Author>
        <b:NameList>
          <b:Person>
            <b:Last>Oravec</b:Last>
            <b:First>J</b:First>
          </b:Person>
        </b:NameList>
      </b:Author>
    </b:Author>
    <b:Month>November</b:Month>
    <b:Volume>51</b:Volume>
    <b:YearAccessed>2020</b:YearAccessed>
    <b:MonthAccessed>May</b:MonthAccessed>
    <b:DayAccessed>16</b:DayAccessed>
    <b:DOI>https://doi.org/10.1016/j.techsoc.2017.09.004</b:DOI>
    <b:RefOrder>14</b:RefOrder>
  </b:Source>
</b:Sources>
</file>

<file path=customXml/itemProps1.xml><?xml version="1.0" encoding="utf-8"?>
<ds:datastoreItem xmlns:ds="http://schemas.openxmlformats.org/officeDocument/2006/customXml" ds:itemID="{4BEA849E-0356-4B67-B313-DBEC26E1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74</cp:revision>
  <dcterms:created xsi:type="dcterms:W3CDTF">2019-05-19T17:38:00Z</dcterms:created>
  <dcterms:modified xsi:type="dcterms:W3CDTF">2020-05-17T23:14:00Z</dcterms:modified>
</cp:coreProperties>
</file>