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9B283B"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E3AF279" w:rsidR="0082223F" w:rsidRDefault="0082223F" w:rsidP="0082223F">
      <w:pPr>
        <w:pStyle w:val="Title"/>
      </w:pPr>
      <w:r>
        <w:t xml:space="preserve">Section </w:t>
      </w:r>
      <w:r w:rsidR="003576B0">
        <w:t>3</w:t>
      </w:r>
      <w:r>
        <w:t xml:space="preserve">: Week </w:t>
      </w:r>
      <w:r w:rsidR="003576B0">
        <w:t>7</w:t>
      </w:r>
      <w:r>
        <w:t xml:space="preserve">: </w:t>
      </w:r>
      <w:r w:rsidR="003576B0">
        <w:t>Future Needs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501CA490" w:rsidR="00CB25E9" w:rsidRDefault="006D793E" w:rsidP="0082223F">
      <w:pPr>
        <w:jc w:val="center"/>
      </w:pPr>
      <w:r>
        <w:t>April 5,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0F41ADB7" w:rsidR="0082223F" w:rsidRDefault="003576B0" w:rsidP="005B7079">
      <w:pPr>
        <w:pStyle w:val="Heading1"/>
      </w:pPr>
      <w:r>
        <w:lastRenderedPageBreak/>
        <w:t>Future Needs</w:t>
      </w:r>
    </w:p>
    <w:p w14:paraId="65B20278" w14:textId="1A3EFCDF" w:rsidR="003F401E" w:rsidRDefault="003F401E" w:rsidP="003F401E">
      <w:r>
        <w:tab/>
        <w:t xml:space="preserve">The Internet of Things (IoT) represents the next evolutionary step in communication and system connectivity.  </w:t>
      </w:r>
      <w:r w:rsidR="0047463E">
        <w:t xml:space="preserve">Naïve outsiders </w:t>
      </w:r>
      <w:r>
        <w:t xml:space="preserve">see this industry as a series of gimmicks, Apple watches, and smart </w:t>
      </w:r>
      <w:r w:rsidR="005801F0">
        <w:t>toasters</w:t>
      </w:r>
      <w:r w:rsidR="0047463E">
        <w:t xml:space="preserve">.  Those statements are true, but more importantly, </w:t>
      </w:r>
      <w:r>
        <w:t xml:space="preserve">it also creates the missing bridge between cyber and physical </w:t>
      </w:r>
      <w:r w:rsidR="0047463E">
        <w:t>systems (CPS)</w:t>
      </w:r>
      <w:r>
        <w:t xml:space="preserve">.  This capability comes from sensor and input networks that emit telemetry into ubiquitous cloud computing and </w:t>
      </w:r>
      <w:r w:rsidR="00EE7580">
        <w:t>machine learning</w:t>
      </w:r>
      <w:r w:rsidR="005801F0">
        <w:t xml:space="preserve"> </w:t>
      </w:r>
      <w:r w:rsidR="0047463E">
        <w:t>platforms</w:t>
      </w:r>
      <w:r>
        <w:t>.</w:t>
      </w:r>
      <w:r w:rsidR="00EE7580">
        <w:t xml:space="preserve">  </w:t>
      </w:r>
      <w:r w:rsidR="005801F0">
        <w:t>Using physical motors and actuators, a</w:t>
      </w:r>
      <w:r w:rsidR="00EE7580">
        <w:t xml:space="preserve">rtificial intelligence </w:t>
      </w:r>
      <w:r w:rsidR="005801F0">
        <w:t xml:space="preserve">and big data solutions </w:t>
      </w:r>
      <w:r w:rsidR="00EE7580">
        <w:t xml:space="preserve">can </w:t>
      </w:r>
      <w:r w:rsidR="005801F0">
        <w:t xml:space="preserve">then reach back into manufacturing and safety systems.  As information and decision processes transact across this bridge, it enables </w:t>
      </w:r>
      <w:r w:rsidR="0047463E">
        <w:t>organizations</w:t>
      </w:r>
      <w:r w:rsidR="005801F0">
        <w:t xml:space="preserve"> to execute </w:t>
      </w:r>
      <w:r w:rsidR="00F53305">
        <w:t xml:space="preserve">expert </w:t>
      </w:r>
      <w:r w:rsidR="005801F0">
        <w:t>workflows autonomously</w:t>
      </w:r>
      <w:r w:rsidR="0047463E">
        <w:t xml:space="preserve"> and </w:t>
      </w:r>
      <w:r w:rsidR="0047463E" w:rsidRPr="0047463E">
        <w:t>prevent costly failures</w:t>
      </w:r>
      <w:r w:rsidR="005801F0">
        <w:t>.</w:t>
      </w:r>
      <w:r w:rsidR="0047463E">
        <w:t xml:space="preserve">  </w:t>
      </w:r>
      <w:r w:rsidR="00E97C1E">
        <w:t>However, m</w:t>
      </w:r>
      <w:r w:rsidR="0047463E">
        <w:t xml:space="preserve">any challenges exist around ensuring the </w:t>
      </w:r>
      <w:r w:rsidR="002255AA">
        <w:t>confidentiality,</w:t>
      </w:r>
      <w:r w:rsidR="002255AA">
        <w:t xml:space="preserve"> </w:t>
      </w:r>
      <w:r w:rsidR="0047463E">
        <w:t>integrity, and availability</w:t>
      </w:r>
      <w:r w:rsidR="002255AA">
        <w:t xml:space="preserve"> (CIA)</w:t>
      </w:r>
      <w:r w:rsidR="0047463E">
        <w:t xml:space="preserve"> of all participants </w:t>
      </w:r>
      <w:r w:rsidR="003E1082">
        <w:t xml:space="preserve">of </w:t>
      </w:r>
      <w:r w:rsidR="00267AFF">
        <w:t>this system</w:t>
      </w:r>
      <w:r w:rsidR="0047463E">
        <w:t>.</w:t>
      </w:r>
    </w:p>
    <w:p w14:paraId="7D77B473" w14:textId="00655F68" w:rsidR="00574F04" w:rsidRDefault="00574F04" w:rsidP="00574F04">
      <w:pPr>
        <w:pStyle w:val="Heading2"/>
      </w:pPr>
      <w:r>
        <w:t>People</w:t>
      </w:r>
    </w:p>
    <w:p w14:paraId="022B9E4E" w14:textId="337E613C" w:rsidR="00067FDF" w:rsidRDefault="002173E6" w:rsidP="002173E6">
      <w:r>
        <w:tab/>
        <w:t>It can be helpful to think of identity within IoT as a profile of historical choices, stated preferences, user roles, and known associations</w:t>
      </w:r>
      <w:sdt>
        <w:sdtPr>
          <w:id w:val="801051225"/>
          <w:citation/>
        </w:sdtPr>
        <w:sdtContent>
          <w:r>
            <w:fldChar w:fldCharType="begin"/>
          </w:r>
          <w:r>
            <w:instrText xml:space="preserve"> CITATION Wac18 \l 1033 </w:instrText>
          </w:r>
          <w:r>
            <w:fldChar w:fldCharType="separate"/>
          </w:r>
          <w:r>
            <w:rPr>
              <w:noProof/>
            </w:rPr>
            <w:t xml:space="preserve"> (Wachter, 2018)</w:t>
          </w:r>
          <w:r>
            <w:fldChar w:fldCharType="end"/>
          </w:r>
        </w:sdtContent>
      </w:sdt>
      <w:r>
        <w:t xml:space="preserve">.  When the device understands the context of the user’s profile, the experience can be customized and produce more accurate predictions.  </w:t>
      </w:r>
      <w:r w:rsidR="00067FDF">
        <w:t xml:space="preserve">The payment for access to these inferences and decision processes comes from personal information, such as </w:t>
      </w:r>
      <w:r w:rsidR="007F0EEE">
        <w:t>calendars, contacts,</w:t>
      </w:r>
      <w:r w:rsidR="00067FDF">
        <w:t xml:space="preserve"> and routines</w:t>
      </w:r>
      <w:sdt>
        <w:sdtPr>
          <w:id w:val="-57322718"/>
          <w:citation/>
        </w:sdtPr>
        <w:sdtContent>
          <w:r w:rsidR="00067FDF">
            <w:fldChar w:fldCharType="begin"/>
          </w:r>
          <w:r w:rsidR="00067FDF">
            <w:instrText xml:space="preserve"> CITATION Mic18 \l 1033 </w:instrText>
          </w:r>
          <w:r w:rsidR="00067FDF">
            <w:fldChar w:fldCharType="separate"/>
          </w:r>
          <w:r w:rsidR="00067FDF">
            <w:rPr>
              <w:noProof/>
            </w:rPr>
            <w:t xml:space="preserve"> (Mickens, 2018)</w:t>
          </w:r>
          <w:r w:rsidR="00067FDF">
            <w:fldChar w:fldCharType="end"/>
          </w:r>
        </w:sdtContent>
      </w:sdt>
      <w:r w:rsidR="00067FDF">
        <w:t>.  This trade creates privacy concerns that can be subtle and barely noticed until much later.</w:t>
      </w:r>
    </w:p>
    <w:p w14:paraId="073AC835" w14:textId="701D3C20" w:rsidR="00C6450E" w:rsidRPr="002173E6" w:rsidRDefault="00067FDF" w:rsidP="00C6450E">
      <w:pPr>
        <w:ind w:firstLine="720"/>
      </w:pPr>
      <w:r>
        <w:t>For instance, numerous platforms integrate into open identity provides like Google and Facebook as a mechanism to simplify enrollment.</w:t>
      </w:r>
      <w:r w:rsidR="005407B6">
        <w:t xml:space="preserve">  However, is that the job the user intended to hire</w:t>
      </w:r>
      <w:sdt>
        <w:sdtPr>
          <w:id w:val="-1225990394"/>
          <w:citation/>
        </w:sdtPr>
        <w:sdtContent>
          <w:r w:rsidR="005407B6">
            <w:fldChar w:fldCharType="begin"/>
          </w:r>
          <w:r w:rsidR="005407B6">
            <w:instrText xml:space="preserve"> CITATION Dai191 \l 1033 </w:instrText>
          </w:r>
          <w:r w:rsidR="005407B6">
            <w:fldChar w:fldCharType="separate"/>
          </w:r>
          <w:r w:rsidR="005407B6">
            <w:rPr>
              <w:noProof/>
            </w:rPr>
            <w:t xml:space="preserve"> (Dai Zovi, 2019)</w:t>
          </w:r>
          <w:r w:rsidR="005407B6">
            <w:fldChar w:fldCharType="end"/>
          </w:r>
        </w:sdtContent>
      </w:sdt>
      <w:r w:rsidR="005407B6">
        <w:t xml:space="preserve">?  Through an </w:t>
      </w:r>
      <w:r>
        <w:t>exchang</w:t>
      </w:r>
      <w:r w:rsidR="005407B6">
        <w:t xml:space="preserve">e of </w:t>
      </w:r>
      <w:r>
        <w:t>convenience</w:t>
      </w:r>
      <w:r w:rsidR="005407B6">
        <w:t>,</w:t>
      </w:r>
      <w:r>
        <w:t xml:space="preserve"> </w:t>
      </w:r>
      <w:r w:rsidR="005407B6">
        <w:t xml:space="preserve">the </w:t>
      </w:r>
      <w:r>
        <w:t>user becomes trackable across multiple sites and web services</w:t>
      </w:r>
      <w:sdt>
        <w:sdtPr>
          <w:id w:val="1253400899"/>
          <w:citation/>
        </w:sdtPr>
        <w:sdtContent>
          <w:r>
            <w:fldChar w:fldCharType="begin"/>
          </w:r>
          <w:r>
            <w:instrText xml:space="preserve"> CITATION Pal20 \l 1033 </w:instrText>
          </w:r>
          <w:r>
            <w:fldChar w:fldCharType="separate"/>
          </w:r>
          <w:r>
            <w:rPr>
              <w:noProof/>
            </w:rPr>
            <w:t xml:space="preserve"> (Paller, Mahalik, Skoudis, &amp; Ullrich, 2020)</w:t>
          </w:r>
          <w:r>
            <w:fldChar w:fldCharType="end"/>
          </w:r>
        </w:sdtContent>
      </w:sdt>
      <w:r>
        <w:t>.</w:t>
      </w:r>
      <w:r w:rsidR="005407B6">
        <w:t xml:space="preserve">  While the </w:t>
      </w:r>
      <w:r w:rsidR="005407B6" w:rsidRPr="009F24A8">
        <w:t>physical</w:t>
      </w:r>
      <w:r w:rsidR="005407B6">
        <w:t xml:space="preserve"> person wants a single sign-on experience, they also desire distinct virtual profiles</w:t>
      </w:r>
      <w:r w:rsidR="009F24A8">
        <w:t xml:space="preserve"> across those </w:t>
      </w:r>
      <w:r w:rsidR="000C26D5">
        <w:lastRenderedPageBreak/>
        <w:t xml:space="preserve">providers </w:t>
      </w:r>
      <w:r w:rsidR="009F24A8">
        <w:t xml:space="preserve">(e.g., </w:t>
      </w:r>
      <w:r w:rsidR="004A44F4">
        <w:t xml:space="preserve">LinkedIn </w:t>
      </w:r>
      <w:r w:rsidR="009F24A8">
        <w:t>versus PornHub).</w:t>
      </w:r>
      <w:r w:rsidR="00EE602F">
        <w:t xml:space="preserve">  </w:t>
      </w:r>
      <w:r w:rsidR="00C6450E">
        <w:t>Traditionally users have found these entanglements of context on their mobile devices, but these are not the only scenarios.  Asking personal assistants, such as Siri, Alexa, and Google Home, if they spy on us, results in recommendations to review the privacy policy</w:t>
      </w:r>
      <w:sdt>
        <w:sdtPr>
          <w:id w:val="-793837831"/>
          <w:citation/>
        </w:sdtPr>
        <w:sdtContent>
          <w:r w:rsidR="00C6450E">
            <w:fldChar w:fldCharType="begin"/>
          </w:r>
          <w:r w:rsidR="00C6450E">
            <w:instrText xml:space="preserve"> CITATION Has18 \l 1033 </w:instrText>
          </w:r>
          <w:r w:rsidR="00C6450E">
            <w:fldChar w:fldCharType="separate"/>
          </w:r>
          <w:r w:rsidR="00C6450E">
            <w:rPr>
              <w:noProof/>
            </w:rPr>
            <w:t xml:space="preserve"> (Haselton, 2018)</w:t>
          </w:r>
          <w:r w:rsidR="00C6450E">
            <w:fldChar w:fldCharType="end"/>
          </w:r>
        </w:sdtContent>
      </w:sdt>
      <w:r w:rsidR="00C6450E">
        <w:t>.</w:t>
      </w:r>
      <w:r w:rsidR="00EE602F">
        <w:t xml:space="preserve">  That response can be misleading since these policies exist as a liability disclaimer, not for the direct benefit of the user</w:t>
      </w:r>
      <w:sdt>
        <w:sdtPr>
          <w:id w:val="-704022857"/>
          <w:citation/>
        </w:sdtPr>
        <w:sdtContent>
          <w:r w:rsidR="00EE602F">
            <w:fldChar w:fldCharType="begin"/>
          </w:r>
          <w:r w:rsidR="00EE602F">
            <w:instrText xml:space="preserve"> CITATION Wac18 \l 1033 </w:instrText>
          </w:r>
          <w:r w:rsidR="00EE602F">
            <w:fldChar w:fldCharType="separate"/>
          </w:r>
          <w:r w:rsidR="00EE602F">
            <w:rPr>
              <w:noProof/>
            </w:rPr>
            <w:t xml:space="preserve"> (Wachter, 2018)</w:t>
          </w:r>
          <w:r w:rsidR="00EE602F">
            <w:fldChar w:fldCharType="end"/>
          </w:r>
        </w:sdtContent>
      </w:sdt>
      <w:r w:rsidR="00EE602F">
        <w:t>.</w:t>
      </w:r>
    </w:p>
    <w:p w14:paraId="7D9715A9" w14:textId="7DA1797A" w:rsidR="00574F04" w:rsidRDefault="00574F04" w:rsidP="00574F04">
      <w:pPr>
        <w:pStyle w:val="Heading2"/>
      </w:pPr>
      <w:r>
        <w:t>Process</w:t>
      </w:r>
    </w:p>
    <w:p w14:paraId="36BE3368" w14:textId="38FA439A" w:rsidR="007F0EEE" w:rsidRDefault="007F0EEE" w:rsidP="007F0EEE">
      <w:r>
        <w:tab/>
        <w:t>Manufacturing facilities are evolving into massive CPS ecosystems through Industrial IoT devices feeding into complex event processing systems</w:t>
      </w:r>
      <w:sdt>
        <w:sdtPr>
          <w:id w:val="1182395945"/>
          <w:citation/>
        </w:sdtPr>
        <w:sdtContent>
          <w:r w:rsidR="00FD0F28">
            <w:fldChar w:fldCharType="begin"/>
          </w:r>
          <w:r w:rsidR="00FD0F28">
            <w:instrText xml:space="preserve"> CITATION Bab16 \l 1033 </w:instrText>
          </w:r>
          <w:r w:rsidR="00FD0F28">
            <w:fldChar w:fldCharType="separate"/>
          </w:r>
          <w:r w:rsidR="00FD0F28">
            <w:rPr>
              <w:noProof/>
            </w:rPr>
            <w:t xml:space="preserve"> (Babiceanu, 2016)</w:t>
          </w:r>
          <w:r w:rsidR="00FD0F28">
            <w:fldChar w:fldCharType="end"/>
          </w:r>
        </w:sdtContent>
      </w:sdt>
      <w:r>
        <w:t xml:space="preserve">.  This approach reduces costs by increasing automation efficiencies.  Reliance on automation also increases the opacity of decision-making processes and introduces </w:t>
      </w:r>
      <w:r w:rsidR="00FD0F28">
        <w:t>additional risk vectors</w:t>
      </w:r>
      <w:sdt>
        <w:sdtPr>
          <w:id w:val="-1035345066"/>
          <w:citation/>
        </w:sdtPr>
        <w:sdtContent>
          <w:r w:rsidR="00FD0F28">
            <w:fldChar w:fldCharType="begin"/>
          </w:r>
          <w:r w:rsidR="00FD0F28">
            <w:instrText xml:space="preserve"> CITATION Mic18 \l 1033 </w:instrText>
          </w:r>
          <w:r w:rsidR="00FD0F28">
            <w:fldChar w:fldCharType="separate"/>
          </w:r>
          <w:r w:rsidR="00FD0F28">
            <w:rPr>
              <w:noProof/>
            </w:rPr>
            <w:t xml:space="preserve"> (Mickens, 2018)</w:t>
          </w:r>
          <w:r w:rsidR="00FD0F28">
            <w:fldChar w:fldCharType="end"/>
          </w:r>
        </w:sdtContent>
      </w:sdt>
      <w:r w:rsidR="00FD0F28">
        <w:t>.  For example, an increase in network latencies might cause decision processes to act on outdated information.</w:t>
      </w:r>
      <w:r w:rsidR="002A3870">
        <w:t xml:space="preserve">  When perspective distortion exists between the cyber and physical structures, then accidents can follow, like autonomous vehicles not stopping or safety systems not initiating</w:t>
      </w:r>
      <w:r w:rsidR="00592D54">
        <w:t xml:space="preserve"> quick enough</w:t>
      </w:r>
      <w:sdt>
        <w:sdtPr>
          <w:id w:val="-1099015800"/>
          <w:citation/>
        </w:sdtPr>
        <w:sdtContent>
          <w:r w:rsidR="00E7096D">
            <w:fldChar w:fldCharType="begin"/>
          </w:r>
          <w:r w:rsidR="00E7096D">
            <w:instrText xml:space="preserve"> CITATION Fro181 \l 1033 </w:instrText>
          </w:r>
          <w:r w:rsidR="00E7096D">
            <w:fldChar w:fldCharType="separate"/>
          </w:r>
          <w:r w:rsidR="00E7096D">
            <w:rPr>
              <w:noProof/>
            </w:rPr>
            <w:t xml:space="preserve"> (Frodigh, 2018)</w:t>
          </w:r>
          <w:r w:rsidR="00E7096D">
            <w:fldChar w:fldCharType="end"/>
          </w:r>
        </w:sdtContent>
      </w:sdt>
      <w:r w:rsidR="002A3870">
        <w:t>.</w:t>
      </w:r>
      <w:r w:rsidR="00E7096D">
        <w:t xml:space="preserve">  CPS technologies can enter into this erroneous state due to Denial of Service states (DoS) caused by malicious actors, malware, and negligent software administrators.</w:t>
      </w:r>
    </w:p>
    <w:p w14:paraId="293E4C6F" w14:textId="139BF116" w:rsidR="00574F04" w:rsidRDefault="00574F04" w:rsidP="00574F04">
      <w:pPr>
        <w:pStyle w:val="Heading2"/>
      </w:pPr>
      <w:r>
        <w:t>Products</w:t>
      </w:r>
    </w:p>
    <w:p w14:paraId="0B5AD239" w14:textId="6C57CAC5" w:rsidR="00824617" w:rsidRDefault="00E832DD" w:rsidP="00C43F08">
      <w:pPr>
        <w:ind w:firstLine="720"/>
      </w:pPr>
      <w:r>
        <w:t xml:space="preserve">According to Gartner, the trend of weak authentication </w:t>
      </w:r>
      <w:r>
        <w:t>controls</w:t>
      </w:r>
      <w:r>
        <w:t xml:space="preserve"> impacts nearly </w:t>
      </w:r>
      <w:r w:rsidR="00223358">
        <w:t xml:space="preserve">50% </w:t>
      </w:r>
      <w:r>
        <w:t>of all IoT vendors</w:t>
      </w:r>
      <w:sdt>
        <w:sdtPr>
          <w:id w:val="1002161015"/>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w:t>
      </w:r>
      <w:r>
        <w:t xml:space="preserve">  </w:t>
      </w:r>
      <w:r w:rsidR="00C43F08">
        <w:t xml:space="preserve">The Mirai </w:t>
      </w:r>
      <w:r>
        <w:t>m</w:t>
      </w:r>
      <w:r w:rsidR="00C43F08">
        <w:t xml:space="preserve">alware </w:t>
      </w:r>
      <w:r>
        <w:t xml:space="preserve">was able to span half a million </w:t>
      </w:r>
      <w:r w:rsidR="00C43F08">
        <w:t xml:space="preserve">devices using a small dictionary file </w:t>
      </w:r>
      <w:r>
        <w:t xml:space="preserve">to </w:t>
      </w:r>
      <w:r w:rsidR="00C43F08">
        <w:t>brute force access</w:t>
      </w:r>
      <w:sdt>
        <w:sdtPr>
          <w:id w:val="-944850106"/>
          <w:citation/>
        </w:sdtPr>
        <w:sdtContent>
          <w:r w:rsidR="00C43F08">
            <w:fldChar w:fldCharType="begin"/>
          </w:r>
          <w:r w:rsidR="00C43F08">
            <w:instrText xml:space="preserve"> CITATION Gam17 \l 1033 </w:instrText>
          </w:r>
          <w:r w:rsidR="00C43F08">
            <w:fldChar w:fldCharType="separate"/>
          </w:r>
          <w:r w:rsidR="00C43F08">
            <w:rPr>
              <w:noProof/>
            </w:rPr>
            <w:t xml:space="preserve"> (Gamblin, 2017)</w:t>
          </w:r>
          <w:r w:rsidR="00C43F08">
            <w:fldChar w:fldCharType="end"/>
          </w:r>
        </w:sdtContent>
      </w:sdt>
      <w:r w:rsidR="00C43F08">
        <w:t xml:space="preserve">.  </w:t>
      </w:r>
      <w:r w:rsidR="00C43F08">
        <w:t>Although its source code has been available for several years, and its particularly noisy approach to gaining entry</w:t>
      </w:r>
      <w:r w:rsidR="00154BCF">
        <w:t xml:space="preserve"> are discoverable</w:t>
      </w:r>
      <w:r w:rsidR="00C43F08">
        <w:t>, variations are still active</w:t>
      </w:r>
      <w:sdt>
        <w:sdtPr>
          <w:id w:val="282934556"/>
          <w:citation/>
        </w:sdtPr>
        <w:sdtContent>
          <w:r w:rsidR="00C43F08">
            <w:fldChar w:fldCharType="begin"/>
          </w:r>
          <w:r w:rsidR="00C43F08">
            <w:instrText xml:space="preserve">CITATION Kol17 \l 1033 </w:instrText>
          </w:r>
          <w:r w:rsidR="00C43F08">
            <w:fldChar w:fldCharType="separate"/>
          </w:r>
          <w:r w:rsidR="00C43F08">
            <w:rPr>
              <w:noProof/>
            </w:rPr>
            <w:t xml:space="preserve"> (Kolias, Kambourakis, Stavrou, &amp; Voas, 2017)</w:t>
          </w:r>
          <w:r w:rsidR="00C43F08">
            <w:fldChar w:fldCharType="end"/>
          </w:r>
        </w:sdtContent>
      </w:sdt>
      <w:r w:rsidR="00C43F08">
        <w:t xml:space="preserve">.  </w:t>
      </w:r>
      <w:r w:rsidR="00154BCF">
        <w:t xml:space="preserve">While </w:t>
      </w:r>
      <w:r w:rsidR="00154BCF">
        <w:lastRenderedPageBreak/>
        <w:t>these programs should have encouraged a movement toward security by default, t</w:t>
      </w:r>
      <w:r w:rsidR="00C43F08">
        <w:t xml:space="preserve">he </w:t>
      </w:r>
      <w:r w:rsidR="00154BCF">
        <w:t xml:space="preserve">broad </w:t>
      </w:r>
      <w:r w:rsidR="00C43F08">
        <w:t xml:space="preserve">industry has </w:t>
      </w:r>
      <w:r w:rsidR="00154BCF">
        <w:t xml:space="preserve">failed to act against even </w:t>
      </w:r>
      <w:r w:rsidR="00C43F08">
        <w:t>this rudimentary attack.</w:t>
      </w:r>
    </w:p>
    <w:p w14:paraId="7D677616" w14:textId="38548B3C" w:rsidR="004D0A79" w:rsidRDefault="00E7096D" w:rsidP="004D0A79">
      <w:pPr>
        <w:ind w:firstLine="720"/>
      </w:pPr>
      <w:r>
        <w:t>There is an economic incentive for businesses to churn out new IoT devices with more innovative, instead of investing in security protections for those features</w:t>
      </w:r>
      <w:sdt>
        <w:sdtPr>
          <w:id w:val="-31344440"/>
          <w:citation/>
        </w:sdtPr>
        <w:sdtContent>
          <w:r w:rsidR="005E33B2">
            <w:fldChar w:fldCharType="begin"/>
          </w:r>
          <w:r w:rsidR="005E33B2">
            <w:instrText xml:space="preserve">CITATION LiZ18 \l 1033 </w:instrText>
          </w:r>
          <w:r w:rsidR="005E33B2">
            <w:fldChar w:fldCharType="separate"/>
          </w:r>
          <w:r w:rsidR="005E33B2">
            <w:rPr>
              <w:noProof/>
            </w:rPr>
            <w:t xml:space="preserve"> (Li &amp; Liao, 2018)</w:t>
          </w:r>
          <w:r w:rsidR="005E33B2">
            <w:fldChar w:fldCharType="end"/>
          </w:r>
        </w:sdtContent>
      </w:sdt>
      <w:r w:rsidR="00E51AF8">
        <w:t>.</w:t>
      </w:r>
      <w:r w:rsidR="00C43F08">
        <w:t xml:space="preserve">  </w:t>
      </w:r>
      <w:r w:rsidR="00824617">
        <w:t>For many retail markets, the customer makes purchasing decisions solely on which product has the most features at the lowest price.</w:t>
      </w:r>
      <w:r w:rsidR="004D0A79">
        <w:t xml:space="preserve">  Meanwhile, devices </w:t>
      </w:r>
      <w:r w:rsidR="00E51AF8">
        <w:t xml:space="preserve">such as 8-bit micro-controllers, </w:t>
      </w:r>
      <w:r w:rsidR="004D0A79">
        <w:t xml:space="preserve">lack the computing resources necessary to </w:t>
      </w:r>
      <w:r w:rsidR="00E51AF8">
        <w:t xml:space="preserve">support </w:t>
      </w:r>
      <w:r w:rsidR="0056415A">
        <w:t xml:space="preserve">authentication, authorization, auditing, </w:t>
      </w:r>
      <w:r w:rsidR="00E51AF8">
        <w:t>and</w:t>
      </w:r>
      <w:r w:rsidR="0056415A">
        <w:t xml:space="preserve"> transport encryption</w:t>
      </w:r>
      <w:sdt>
        <w:sdtPr>
          <w:id w:val="1940564546"/>
          <w:citation/>
        </w:sdtPr>
        <w:sdtContent>
          <w:r w:rsidR="00E51AF8">
            <w:fldChar w:fldCharType="begin"/>
          </w:r>
          <w:r w:rsidR="00E51AF8">
            <w:instrText xml:space="preserve"> CITATION Web16 \l 1033 </w:instrText>
          </w:r>
          <w:r w:rsidR="00E51AF8">
            <w:fldChar w:fldCharType="separate"/>
          </w:r>
          <w:r w:rsidR="00E51AF8">
            <w:rPr>
              <w:noProof/>
            </w:rPr>
            <w:t xml:space="preserve"> (Weber &amp; Studer, 2016)</w:t>
          </w:r>
          <w:r w:rsidR="00E51AF8">
            <w:fldChar w:fldCharType="end"/>
          </w:r>
        </w:sdtContent>
      </w:sdt>
      <w:r w:rsidR="0056415A">
        <w:t>.</w:t>
      </w:r>
      <w:r w:rsidR="004D0A79">
        <w:t xml:space="preserve">  Even when there are sufficient resources available, security protections can cause interoperation (interop) challenges, which leads to customers assuming that the device does not work.  If the customer believes that the equipment is faulty, they leave bad reviews online, contact support, and request replacements—all of which cost the business money.</w:t>
      </w:r>
    </w:p>
    <w:p w14:paraId="6A36345B" w14:textId="55810597" w:rsidR="00154BCF" w:rsidRDefault="007D1FE6" w:rsidP="00154BCF">
      <w:pPr>
        <w:pStyle w:val="Heading2"/>
      </w:pPr>
      <w:r>
        <w:t>Regulation</w:t>
      </w:r>
    </w:p>
    <w:p w14:paraId="539DDD0E" w14:textId="02765D32" w:rsidR="00154BCF" w:rsidRDefault="00154BCF" w:rsidP="00F017AB">
      <w:r>
        <w:tab/>
      </w:r>
      <w:r w:rsidR="00E5045D">
        <w:t xml:space="preserve">Creating universal regulations </w:t>
      </w:r>
      <w:r w:rsidR="00F017AB">
        <w:t xml:space="preserve">around security and compliance </w:t>
      </w:r>
      <w:r w:rsidR="00E5045D">
        <w:t>is a very challenging topic due to different political values</w:t>
      </w:r>
      <w:sdt>
        <w:sdtPr>
          <w:id w:val="-76599964"/>
          <w:citation/>
        </w:sdtPr>
        <w:sdtContent>
          <w:r w:rsidR="00F017AB">
            <w:fldChar w:fldCharType="begin"/>
          </w:r>
          <w:r w:rsidR="00F017AB">
            <w:instrText xml:space="preserve"> CITATION Mat14 \l 1033 </w:instrText>
          </w:r>
          <w:r w:rsidR="00F017AB">
            <w:fldChar w:fldCharType="separate"/>
          </w:r>
          <w:r w:rsidR="00F017AB">
            <w:rPr>
              <w:noProof/>
            </w:rPr>
            <w:t xml:space="preserve"> (Matsubara, 2014)</w:t>
          </w:r>
          <w:r w:rsidR="00F017AB">
            <w:fldChar w:fldCharType="end"/>
          </w:r>
        </w:sdtContent>
      </w:sdt>
      <w:r w:rsidR="00E5045D">
        <w:t>.</w:t>
      </w:r>
      <w:r w:rsidR="00F017AB">
        <w:t xml:space="preserve">  Even domestically, states like California, Delaware, and Utah have stricter expectations of privacy than federal requirements.  When states redefine the minimum bar, it varies the expectation of acceptable use and results in litigation risks.  Some organization approaches the problem by meeting the strictest set of requirements</w:t>
      </w:r>
      <w:r w:rsidR="00077A1C">
        <w:t xml:space="preserve">, but </w:t>
      </w:r>
      <w:r w:rsidR="00F017AB">
        <w:t>implement</w:t>
      </w:r>
      <w:r w:rsidR="00077A1C">
        <w:t xml:space="preserve">ing the best protections might not be feasible on </w:t>
      </w:r>
      <w:r w:rsidR="00F017AB">
        <w:t xml:space="preserve">large codebases or </w:t>
      </w:r>
      <w:r w:rsidR="00077A1C">
        <w:t>for embedded systems</w:t>
      </w:r>
      <w:sdt>
        <w:sdtPr>
          <w:id w:val="776606035"/>
          <w:citation/>
        </w:sdtPr>
        <w:sdtContent>
          <w:r w:rsidR="00077A1C">
            <w:fldChar w:fldCharType="begin"/>
          </w:r>
          <w:r w:rsidR="00077A1C">
            <w:instrText xml:space="preserve"> CITATION Web16 \l 1033 </w:instrText>
          </w:r>
          <w:r w:rsidR="00077A1C">
            <w:fldChar w:fldCharType="separate"/>
          </w:r>
          <w:r w:rsidR="00077A1C">
            <w:rPr>
              <w:noProof/>
            </w:rPr>
            <w:t xml:space="preserve"> (Weber &amp; Studer, 2016)</w:t>
          </w:r>
          <w:r w:rsidR="00077A1C">
            <w:fldChar w:fldCharType="end"/>
          </w:r>
        </w:sdtContent>
      </w:sdt>
      <w:r w:rsidR="00077A1C">
        <w:t>.</w:t>
      </w:r>
    </w:p>
    <w:p w14:paraId="11E200DD" w14:textId="6C70FCD0" w:rsidR="008B201B" w:rsidRDefault="008B201B" w:rsidP="008B201B">
      <w:pPr>
        <w:ind w:firstLine="720"/>
      </w:pPr>
      <w:r>
        <w:t xml:space="preserve">When a customer purchases a traditional device, like a video player, they </w:t>
      </w:r>
      <w:r w:rsidR="00933599">
        <w:t xml:space="preserve">can </w:t>
      </w:r>
      <w:r>
        <w:t>exert full ownership.  However, with everything as a service (XaaS), manufactures are relying on service integrations and Digital Rights Management (DRM) to retain control</w:t>
      </w:r>
      <w:r w:rsidR="00933599">
        <w:t xml:space="preserve"> after the procurement</w:t>
      </w:r>
      <w:sdt>
        <w:sdtPr>
          <w:id w:val="-11843742"/>
          <w:citation/>
        </w:sdtPr>
        <w:sdtContent>
          <w:r w:rsidR="00933599">
            <w:fldChar w:fldCharType="begin"/>
          </w:r>
          <w:r w:rsidR="00933599">
            <w:instrText xml:space="preserve"> CITATION Ora17 \l 1033 </w:instrText>
          </w:r>
          <w:r w:rsidR="00933599">
            <w:fldChar w:fldCharType="separate"/>
          </w:r>
          <w:r w:rsidR="00933599">
            <w:rPr>
              <w:noProof/>
            </w:rPr>
            <w:t xml:space="preserve"> </w:t>
          </w:r>
          <w:r w:rsidR="00933599">
            <w:rPr>
              <w:noProof/>
            </w:rPr>
            <w:lastRenderedPageBreak/>
            <w:t>(Oravec, 2017)</w:t>
          </w:r>
          <w:r w:rsidR="00933599">
            <w:fldChar w:fldCharType="end"/>
          </w:r>
        </w:sdtContent>
      </w:sdt>
      <w:r>
        <w:t>.  These new licensing models enable organizations to collect monthly subscription fees and provide new features through software updates</w:t>
      </w:r>
      <w:r w:rsidR="00933599">
        <w:t xml:space="preserve">.  This paradigm shift introduces dependencies, where </w:t>
      </w:r>
      <w:r w:rsidR="009860DC">
        <w:t xml:space="preserve">the manufacture becomes liable for the responsible storage of customer data.  Selling these products to international audiences adds </w:t>
      </w:r>
      <w:r w:rsidR="009F59A3">
        <w:t xml:space="preserve">additional </w:t>
      </w:r>
      <w:r w:rsidR="009860DC">
        <w:t xml:space="preserve">complexity, as it can </w:t>
      </w:r>
      <w:r w:rsidR="009F59A3">
        <w:t xml:space="preserve">bring the </w:t>
      </w:r>
      <w:r w:rsidR="009860DC">
        <w:t xml:space="preserve">Global Data Protection Regulation (GDPR) </w:t>
      </w:r>
      <w:r w:rsidR="009F59A3">
        <w:t xml:space="preserve">and similar foreign policy </w:t>
      </w:r>
      <w:r w:rsidR="009860DC">
        <w:t>into scope.</w:t>
      </w:r>
    </w:p>
    <w:p w14:paraId="459F9C31" w14:textId="3357F00E" w:rsidR="00106C27" w:rsidRDefault="00106C27" w:rsidP="00106C27">
      <w:pPr>
        <w:pStyle w:val="Heading1"/>
      </w:pPr>
      <w:r>
        <w:t>Conclusion</w:t>
      </w:r>
    </w:p>
    <w:p w14:paraId="3CDFB944" w14:textId="77777777" w:rsidR="002F6ADF" w:rsidRDefault="00EF3D57" w:rsidP="00054883">
      <w:pPr>
        <w:ind w:firstLine="720"/>
      </w:pPr>
      <w:r>
        <w:t xml:space="preserve">The Internet of Things (IoT) provides a mechanism for bridging the cyber and physical worlds into a unified system.  This bridge enables businesses to collect sensor data for powering artificial intelligence solutions that control mechanical devices (e.g., motors and actuators).  Ensuring the integrity, confidentiality, and availability of that communication channel requires </w:t>
      </w:r>
      <w:r>
        <w:t>protections for the people, processes, and products that participate</w:t>
      </w:r>
      <w:r w:rsidR="00C26999">
        <w:t xml:space="preserve"> in</w:t>
      </w:r>
      <w:r>
        <w:t xml:space="preserve"> th</w:t>
      </w:r>
      <w:r>
        <w:t>ose conversations.</w:t>
      </w:r>
      <w:r w:rsidR="00054883">
        <w:t xml:space="preserve">  </w:t>
      </w:r>
    </w:p>
    <w:p w14:paraId="7FB8EC42" w14:textId="671572BD" w:rsidR="00054883" w:rsidRDefault="00054883" w:rsidP="00054883">
      <w:pPr>
        <w:ind w:firstLine="720"/>
      </w:pPr>
      <w:r>
        <w:t>Unique classes of risk exist against each of these entities that come from several trade-offs between convenience, control, and privacy.</w:t>
      </w:r>
      <w:r w:rsidR="005E34A5">
        <w:t xml:space="preserve">  For instance, user profiles provide the capabilities necessary for customizing personalized experiences.  However, leaking that information can generate privacy concerns.</w:t>
      </w:r>
      <w:r w:rsidR="002F6ADF">
        <w:t xml:space="preserve">  Giving control to autonomous safety systems are only effective if both the cyber and physical structures are in sync.</w:t>
      </w:r>
    </w:p>
    <w:p w14:paraId="5C9E24A4" w14:textId="3D2E21D9" w:rsidR="002F6ADF" w:rsidRDefault="002F6ADF" w:rsidP="002741F4">
      <w:pPr>
        <w:ind w:firstLine="720"/>
      </w:pPr>
      <w:r>
        <w:t xml:space="preserve">Nearly half of the IoT manufacturers lack sufficient authentication controls and can become compromised with simple dictionaries.  One of the core challenges comes with a disincentive for the broader industry to mitigate these problems.  Customers choose products that contain the most features at the lowest cost.  These features contain increased attack surface and need to optimize for interoperation scenarios.  Regulation and compliance of these security controls are challenging due to political fragmentation and technical limitations.  For example, building industry-standard encryption protocols on specific embedded systems is not possible </w:t>
      </w:r>
      <w:r>
        <w:lastRenderedPageBreak/>
        <w:t>given the necessary compute resources.</w:t>
      </w:r>
      <w:r w:rsidR="002741F4">
        <w:t xml:space="preserve">  </w:t>
      </w:r>
      <w:r w:rsidR="002741F4">
        <w:t>However, these challenges cannot be the end of the story, and iterative changes can move the industry in the right direction.  For instance, printing a random password onto physical IoT devices can trade (a) reductions of malware spread rates for (b) physical security risk.  While this is not acceptable for military bases, other scenarios like small branch offices might find this amenable.</w:t>
      </w:r>
    </w:p>
    <w:p w14:paraId="2DD55F92" w14:textId="6DC0206E" w:rsidR="00757225" w:rsidRDefault="00757225" w:rsidP="00757225"/>
    <w:p w14:paraId="7EA9053B" w14:textId="353AB094" w:rsidR="00757225" w:rsidRDefault="00757225">
      <w:r>
        <w:br w:type="page"/>
      </w:r>
    </w:p>
    <w:sdt>
      <w:sdtPr>
        <w:id w:val="-1274550886"/>
        <w:docPartObj>
          <w:docPartGallery w:val="Bibliographies"/>
          <w:docPartUnique/>
        </w:docPartObj>
      </w:sdtPr>
      <w:sdtEndPr>
        <w:rPr>
          <w:b w:val="0"/>
        </w:rPr>
      </w:sdtEndPr>
      <w:sdtContent>
        <w:p w14:paraId="696A5D91" w14:textId="77A041AC" w:rsidR="00757225" w:rsidRDefault="00757225">
          <w:pPr>
            <w:pStyle w:val="Heading1"/>
          </w:pPr>
          <w:r>
            <w:t>References</w:t>
          </w:r>
        </w:p>
        <w:sdt>
          <w:sdtPr>
            <w:id w:val="-573587230"/>
            <w:bibliography/>
          </w:sdtPr>
          <w:sdtContent>
            <w:p w14:paraId="0D795FD8" w14:textId="77777777" w:rsidR="00757225" w:rsidRDefault="00757225" w:rsidP="00757225">
              <w:pPr>
                <w:pStyle w:val="Bibliography"/>
                <w:ind w:left="720" w:hanging="720"/>
                <w:rPr>
                  <w:noProof/>
                </w:rPr>
              </w:pPr>
              <w:r>
                <w:fldChar w:fldCharType="begin"/>
              </w:r>
              <w:r>
                <w:instrText xml:space="preserve"> BIBLIOGRAPHY </w:instrText>
              </w:r>
              <w:r>
                <w:fldChar w:fldCharType="separate"/>
              </w:r>
              <w:r>
                <w:rPr>
                  <w:noProof/>
                </w:rPr>
                <w:t xml:space="preserve">Babiceanu, R. &amp;. (2016, September). Big data and virtualization for manufacturing cyber-physical systems. </w:t>
              </w:r>
              <w:r>
                <w:rPr>
                  <w:i/>
                  <w:iCs/>
                  <w:noProof/>
                </w:rPr>
                <w:t>Computers in Industry, 81</w:t>
              </w:r>
              <w:r>
                <w:rPr>
                  <w:noProof/>
                </w:rPr>
                <w:t>, 128-137. doi:https://doi.org/10.1016/j.compind.2016.02.004</w:t>
              </w:r>
            </w:p>
            <w:p w14:paraId="045EAC07" w14:textId="77777777" w:rsidR="00757225" w:rsidRDefault="00757225" w:rsidP="00757225">
              <w:pPr>
                <w:pStyle w:val="Bibliography"/>
                <w:ind w:left="720" w:hanging="720"/>
                <w:rPr>
                  <w:noProof/>
                </w:rPr>
              </w:pPr>
              <w:r>
                <w:rPr>
                  <w:noProof/>
                </w:rPr>
                <w:t xml:space="preserve">Dai Zovi, D. (2019). Every Security Team is a Software Team Now. </w:t>
              </w:r>
              <w:r>
                <w:rPr>
                  <w:i/>
                  <w:iCs/>
                  <w:noProof/>
                </w:rPr>
                <w:t>Black Hat USA.</w:t>
              </w:r>
              <w:r>
                <w:rPr>
                  <w:noProof/>
                </w:rPr>
                <w:t xml:space="preserve"> Las Vegas, NV, USA: Black Hat. Retrieved May 9, 2020, from https://www.youtube.com/watch?v=8armE3Wz0jk</w:t>
              </w:r>
            </w:p>
            <w:p w14:paraId="3EFA31C1" w14:textId="77777777" w:rsidR="00757225" w:rsidRDefault="00757225" w:rsidP="00757225">
              <w:pPr>
                <w:pStyle w:val="Bibliography"/>
                <w:ind w:left="720" w:hanging="720"/>
                <w:rPr>
                  <w:noProof/>
                </w:rPr>
              </w:pPr>
              <w:r>
                <w:rPr>
                  <w:noProof/>
                </w:rPr>
                <w:t xml:space="preserve">Frodigh, M. (2018, May 27). Keynote Opening. </w:t>
              </w:r>
              <w:r>
                <w:rPr>
                  <w:i/>
                  <w:iCs/>
                  <w:noProof/>
                </w:rPr>
                <w:t>40th International Conference on Software Engineering.</w:t>
              </w:r>
              <w:r>
                <w:rPr>
                  <w:noProof/>
                </w:rPr>
                <w:t xml:space="preserve"> Gothenburg, Sweden: International Conference on Software Engineering (ICSE). Retrieved April 8, 2019, from YouTube: https://www.youtube.com/watch?v=cpeMmMh7Syk</w:t>
              </w:r>
            </w:p>
            <w:p w14:paraId="1F538F35" w14:textId="77777777" w:rsidR="00757225" w:rsidRDefault="00757225" w:rsidP="00757225">
              <w:pPr>
                <w:pStyle w:val="Bibliography"/>
                <w:ind w:left="720" w:hanging="720"/>
                <w:rPr>
                  <w:noProof/>
                </w:rPr>
              </w:pPr>
              <w:r>
                <w:rPr>
                  <w:noProof/>
                </w:rPr>
                <w:t xml:space="preserve">Galinec, D., &amp; Steingartner, W. (2017). Combining cybersecurity and cyber defense to achieve cyber resilience. </w:t>
              </w:r>
              <w:r>
                <w:rPr>
                  <w:i/>
                  <w:iCs/>
                  <w:noProof/>
                </w:rPr>
                <w:t>14th International Scientific Conference on Informatics.</w:t>
              </w:r>
              <w:r>
                <w:rPr>
                  <w:noProof/>
                </w:rPr>
                <w:t xml:space="preserve"> Poprad, Slovakia: Institute of Electrical and Electronics Engineers. doi:https://doi.org/10.1109/INFORMATICS.2017.8327227</w:t>
              </w:r>
            </w:p>
            <w:p w14:paraId="63A9B2C7" w14:textId="77777777" w:rsidR="00757225" w:rsidRDefault="00757225" w:rsidP="00757225">
              <w:pPr>
                <w:pStyle w:val="Bibliography"/>
                <w:ind w:left="720" w:hanging="720"/>
                <w:rPr>
                  <w:noProof/>
                </w:rPr>
              </w:pPr>
              <w:r>
                <w:rPr>
                  <w:noProof/>
                </w:rPr>
                <w:t xml:space="preserve">Gamblin, J. (2017, July 15). </w:t>
              </w:r>
              <w:r>
                <w:rPr>
                  <w:i/>
                  <w:iCs/>
                  <w:noProof/>
                </w:rPr>
                <w:t>Mirai-Source-Code</w:t>
              </w:r>
              <w:r>
                <w:rPr>
                  <w:noProof/>
                </w:rPr>
                <w:t>. Retrieved May 17, 2020, from GitHub: https://github.com/jgamblin/Mirai-Source-Code</w:t>
              </w:r>
            </w:p>
            <w:p w14:paraId="003C63EC" w14:textId="1C3C008B" w:rsidR="00757225" w:rsidRDefault="00757225" w:rsidP="00757225">
              <w:pPr>
                <w:pStyle w:val="Bibliography"/>
                <w:ind w:left="720" w:hanging="720"/>
                <w:rPr>
                  <w:noProof/>
                </w:rPr>
              </w:pPr>
              <w:r>
                <w:rPr>
                  <w:noProof/>
                </w:rPr>
                <w:t xml:space="preserve">Haselton, T. (2018, May 13). </w:t>
              </w:r>
              <w:r>
                <w:rPr>
                  <w:i/>
                  <w:iCs/>
                  <w:noProof/>
                </w:rPr>
                <w:t>I asked Siri, Alexa, and Google Assistant if they are spying on me — here is what they said</w:t>
              </w:r>
              <w:r>
                <w:rPr>
                  <w:noProof/>
                </w:rPr>
                <w:t>. Retrieved May 17, 2020, from CNBC: https://www.cnbc.com/2018/05/13/are-siri-alexa-and-google-assistant-spying-on-me.html</w:t>
              </w:r>
            </w:p>
            <w:p w14:paraId="27D2103B" w14:textId="77777777" w:rsidR="00757225" w:rsidRDefault="00757225" w:rsidP="00757225">
              <w:pPr>
                <w:pStyle w:val="Bibliography"/>
                <w:ind w:left="720" w:hanging="720"/>
                <w:rPr>
                  <w:noProof/>
                </w:rPr>
              </w:pPr>
              <w:r>
                <w:rPr>
                  <w:noProof/>
                </w:rPr>
                <w:t xml:space="preserve">Kolias, C., Kambourakis, G., Stavrou, A., &amp; Voas, J. (2017). DDoS in the IoT: Mirai and other botnets. </w:t>
              </w:r>
              <w:r>
                <w:rPr>
                  <w:i/>
                  <w:iCs/>
                  <w:noProof/>
                </w:rPr>
                <w:t>Computer, 50</w:t>
              </w:r>
              <w:r>
                <w:rPr>
                  <w:noProof/>
                </w:rPr>
                <w:t>(7), 80-84. doi:https://doi.org/10.1109/MC.2017.201</w:t>
              </w:r>
            </w:p>
            <w:p w14:paraId="40C56374" w14:textId="44ED9CA7" w:rsidR="00757225" w:rsidRDefault="00757225" w:rsidP="00757225">
              <w:pPr>
                <w:pStyle w:val="Bibliography"/>
                <w:ind w:left="720" w:hanging="720"/>
                <w:rPr>
                  <w:noProof/>
                </w:rPr>
              </w:pPr>
              <w:r>
                <w:rPr>
                  <w:noProof/>
                </w:rPr>
                <w:lastRenderedPageBreak/>
                <w:t xml:space="preserve">Li, Z., &amp; Liao, Q. (2018, January). Economic solutions to improve the cybersecurity of governments and smart cities via vulnerability markets. </w:t>
              </w:r>
              <w:r>
                <w:rPr>
                  <w:i/>
                  <w:iCs/>
                  <w:noProof/>
                </w:rPr>
                <w:t>Government Information Quarterly, 35</w:t>
              </w:r>
              <w:r>
                <w:rPr>
                  <w:noProof/>
                </w:rPr>
                <w:t>(1), 151-160. doi:https://doi.org/10.1016/j.giq.2017.10.006</w:t>
              </w:r>
            </w:p>
            <w:p w14:paraId="6F852DF5" w14:textId="77777777" w:rsidR="00757225" w:rsidRDefault="00757225" w:rsidP="00757225">
              <w:pPr>
                <w:pStyle w:val="Bibliography"/>
                <w:ind w:left="720" w:hanging="720"/>
                <w:rPr>
                  <w:noProof/>
                </w:rPr>
              </w:pPr>
              <w:r>
                <w:rPr>
                  <w:noProof/>
                </w:rPr>
                <w:t xml:space="preserve">Matsubara, M. (2014). Countering Cyber-Espionage and Sabotage. </w:t>
              </w:r>
              <w:r>
                <w:rPr>
                  <w:i/>
                  <w:iCs/>
                  <w:noProof/>
                </w:rPr>
                <w:t>Royal United Services Institute for Defence Studies, 159</w:t>
              </w:r>
              <w:r>
                <w:rPr>
                  <w:noProof/>
                </w:rPr>
                <w:t>(1), 86-93. doi:https://doi.org/10.1080/03071847.2014.895263</w:t>
              </w:r>
            </w:p>
            <w:p w14:paraId="63410185" w14:textId="77777777" w:rsidR="00757225" w:rsidRDefault="00757225" w:rsidP="00757225">
              <w:pPr>
                <w:pStyle w:val="Bibliography"/>
                <w:ind w:left="720" w:hanging="720"/>
                <w:rPr>
                  <w:noProof/>
                </w:rPr>
              </w:pPr>
              <w:r>
                <w:rPr>
                  <w:noProof/>
                </w:rPr>
                <w:t xml:space="preserve">Mickens, J. (2018, August 16). </w:t>
              </w:r>
              <w:r>
                <w:rPr>
                  <w:i/>
                  <w:iCs/>
                  <w:noProof/>
                </w:rPr>
                <w:t>Why Do Keynote Speakers Keep Suggesting That Improving Security Is Possible?</w:t>
              </w:r>
              <w:r>
                <w:rPr>
                  <w:noProof/>
                </w:rPr>
                <w:t xml:space="preserve"> Retrieved from YouTube: https://www.youtube.com/watch?v=ajGX7odA87k</w:t>
              </w:r>
            </w:p>
            <w:p w14:paraId="4FE42C59" w14:textId="77777777" w:rsidR="00757225" w:rsidRDefault="00757225" w:rsidP="00757225">
              <w:pPr>
                <w:pStyle w:val="Bibliography"/>
                <w:ind w:left="720" w:hanging="720"/>
                <w:rPr>
                  <w:noProof/>
                </w:rPr>
              </w:pPr>
              <w:r>
                <w:rPr>
                  <w:noProof/>
                </w:rPr>
                <w:t xml:space="preserve">Oravec, J. (2017, November). Kill switches, remote deletion, and intelligent agents. </w:t>
              </w:r>
              <w:r>
                <w:rPr>
                  <w:i/>
                  <w:iCs/>
                  <w:noProof/>
                </w:rPr>
                <w:t>Technology in Society, 51</w:t>
              </w:r>
              <w:r>
                <w:rPr>
                  <w:noProof/>
                </w:rPr>
                <w:t>, 189-198. doi:https://doi.org/10.1016/j.techsoc.2017.09.004</w:t>
              </w:r>
            </w:p>
            <w:p w14:paraId="7F8634C9" w14:textId="77777777" w:rsidR="00757225" w:rsidRDefault="00757225" w:rsidP="00757225">
              <w:pPr>
                <w:pStyle w:val="Bibliography"/>
                <w:ind w:left="720" w:hanging="720"/>
                <w:rPr>
                  <w:noProof/>
                </w:rPr>
              </w:pPr>
              <w:r>
                <w:rPr>
                  <w:noProof/>
                </w:rPr>
                <w:t xml:space="preserve">Paller, A., Mahalik, H., Skoudis, E., &amp; Ullrich, J. (2020). The five most dangerous new attack techniques and how to counter them. </w:t>
              </w:r>
              <w:r>
                <w:rPr>
                  <w:i/>
                  <w:iCs/>
                  <w:noProof/>
                </w:rPr>
                <w:t>RSA Conference.</w:t>
              </w:r>
              <w:r>
                <w:rPr>
                  <w:noProof/>
                </w:rPr>
                <w:t xml:space="preserve"> RSA. Retrieved May 9, 2020, from https://youtu.be/xz7IFVJf3Lk</w:t>
              </w:r>
            </w:p>
            <w:p w14:paraId="5AA3F6C8" w14:textId="77777777" w:rsidR="00757225" w:rsidRDefault="00757225" w:rsidP="00757225">
              <w:pPr>
                <w:pStyle w:val="Bibliography"/>
                <w:ind w:left="720" w:hanging="720"/>
                <w:rPr>
                  <w:noProof/>
                </w:rPr>
              </w:pPr>
              <w:r>
                <w:rPr>
                  <w:noProof/>
                </w:rPr>
                <w:t xml:space="preserve">Wachter, S. (2018, June). Normative challenges of identification in the Internet of Things: privacy, profiling, discrimination, and the GDPR. </w:t>
              </w:r>
              <w:r>
                <w:rPr>
                  <w:i/>
                  <w:iCs/>
                  <w:noProof/>
                </w:rPr>
                <w:t>Computer Law &amp; Security Review, 34</w:t>
              </w:r>
              <w:r>
                <w:rPr>
                  <w:noProof/>
                </w:rPr>
                <w:t>(3), 436-449. doi:https://doi.org/10.1016/j.clsr.2018.02.002</w:t>
              </w:r>
            </w:p>
            <w:p w14:paraId="5F3F48EC" w14:textId="77777777" w:rsidR="00757225" w:rsidRDefault="00757225" w:rsidP="00757225">
              <w:pPr>
                <w:pStyle w:val="Bibliography"/>
                <w:ind w:left="720" w:hanging="720"/>
                <w:rPr>
                  <w:noProof/>
                </w:rPr>
              </w:pPr>
              <w:r>
                <w:rPr>
                  <w:noProof/>
                </w:rPr>
                <w:t xml:space="preserve">Weber, R. H., &amp; Studer, E. (2016, October). Cybersecurity in the Internet of Things: Legal aspects. </w:t>
              </w:r>
              <w:r>
                <w:rPr>
                  <w:i/>
                  <w:iCs/>
                  <w:noProof/>
                </w:rPr>
                <w:t>Computer Law &amp; Security Review, 32</w:t>
              </w:r>
              <w:r>
                <w:rPr>
                  <w:noProof/>
                </w:rPr>
                <w:t>(5), 715-728. doi:https://doi.org/10.1016/j.clsr.2016.07.002</w:t>
              </w:r>
            </w:p>
            <w:p w14:paraId="30946F80" w14:textId="3027882F" w:rsidR="00757225" w:rsidRDefault="00757225" w:rsidP="00757225">
              <w:r>
                <w:rPr>
                  <w:b/>
                  <w:bCs/>
                  <w:noProof/>
                </w:rPr>
                <w:fldChar w:fldCharType="end"/>
              </w:r>
            </w:p>
          </w:sdtContent>
        </w:sdt>
      </w:sdtContent>
    </w:sdt>
    <w:p w14:paraId="2794F941" w14:textId="77777777" w:rsidR="00757225" w:rsidRDefault="00757225" w:rsidP="00757225"/>
    <w:sectPr w:rsidR="00757225"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3696B8" w14:textId="77777777" w:rsidR="009B283B" w:rsidRDefault="009B283B" w:rsidP="0082223F">
      <w:pPr>
        <w:spacing w:line="240" w:lineRule="auto"/>
      </w:pPr>
      <w:r>
        <w:separator/>
      </w:r>
    </w:p>
  </w:endnote>
  <w:endnote w:type="continuationSeparator" w:id="0">
    <w:p w14:paraId="403BDB79" w14:textId="77777777" w:rsidR="009B283B" w:rsidRDefault="009B283B"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CE5A5A" w14:textId="77777777" w:rsidR="009B283B" w:rsidRDefault="009B283B" w:rsidP="0082223F">
      <w:pPr>
        <w:spacing w:line="240" w:lineRule="auto"/>
      </w:pPr>
      <w:r>
        <w:separator/>
      </w:r>
    </w:p>
  </w:footnote>
  <w:footnote w:type="continuationSeparator" w:id="0">
    <w:p w14:paraId="51D9A4E0" w14:textId="77777777" w:rsidR="009B283B" w:rsidRDefault="009B283B"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wUA3ylJFCwAAAA="/>
  </w:docVars>
  <w:rsids>
    <w:rsidRoot w:val="0082223F"/>
    <w:rsid w:val="00036708"/>
    <w:rsid w:val="00036F58"/>
    <w:rsid w:val="00054883"/>
    <w:rsid w:val="00067FDF"/>
    <w:rsid w:val="00077A1C"/>
    <w:rsid w:val="000C26D5"/>
    <w:rsid w:val="00106C27"/>
    <w:rsid w:val="0012355A"/>
    <w:rsid w:val="00154BCF"/>
    <w:rsid w:val="00183597"/>
    <w:rsid w:val="00194483"/>
    <w:rsid w:val="002173E6"/>
    <w:rsid w:val="00223358"/>
    <w:rsid w:val="002255AA"/>
    <w:rsid w:val="00267AFF"/>
    <w:rsid w:val="002741F4"/>
    <w:rsid w:val="00276E62"/>
    <w:rsid w:val="002806B7"/>
    <w:rsid w:val="002A3870"/>
    <w:rsid w:val="002E143D"/>
    <w:rsid w:val="002F1222"/>
    <w:rsid w:val="002F6ADF"/>
    <w:rsid w:val="003576B0"/>
    <w:rsid w:val="003A6261"/>
    <w:rsid w:val="003E1082"/>
    <w:rsid w:val="003F401E"/>
    <w:rsid w:val="003F4714"/>
    <w:rsid w:val="00401D65"/>
    <w:rsid w:val="004223E8"/>
    <w:rsid w:val="0047463E"/>
    <w:rsid w:val="004A44F4"/>
    <w:rsid w:val="004A784B"/>
    <w:rsid w:val="004D0A79"/>
    <w:rsid w:val="005407B6"/>
    <w:rsid w:val="0056415A"/>
    <w:rsid w:val="00574F04"/>
    <w:rsid w:val="005801F0"/>
    <w:rsid w:val="00586A89"/>
    <w:rsid w:val="00592D54"/>
    <w:rsid w:val="005B7079"/>
    <w:rsid w:val="005E33B2"/>
    <w:rsid w:val="005E34A5"/>
    <w:rsid w:val="006329F1"/>
    <w:rsid w:val="00673CC7"/>
    <w:rsid w:val="006D793E"/>
    <w:rsid w:val="0073677D"/>
    <w:rsid w:val="00757225"/>
    <w:rsid w:val="007D1FE6"/>
    <w:rsid w:val="007F0EEE"/>
    <w:rsid w:val="0082223F"/>
    <w:rsid w:val="00824617"/>
    <w:rsid w:val="008B201B"/>
    <w:rsid w:val="008B5129"/>
    <w:rsid w:val="008C58C8"/>
    <w:rsid w:val="00933599"/>
    <w:rsid w:val="009860DC"/>
    <w:rsid w:val="009A757D"/>
    <w:rsid w:val="009B281F"/>
    <w:rsid w:val="009B283B"/>
    <w:rsid w:val="009F24A8"/>
    <w:rsid w:val="009F59A3"/>
    <w:rsid w:val="00AA5938"/>
    <w:rsid w:val="00C26999"/>
    <w:rsid w:val="00C43F08"/>
    <w:rsid w:val="00C6450E"/>
    <w:rsid w:val="00C73692"/>
    <w:rsid w:val="00C93BB7"/>
    <w:rsid w:val="00CB25E9"/>
    <w:rsid w:val="00D421EB"/>
    <w:rsid w:val="00D75C7B"/>
    <w:rsid w:val="00D85C7B"/>
    <w:rsid w:val="00DE2224"/>
    <w:rsid w:val="00DE45AD"/>
    <w:rsid w:val="00E43212"/>
    <w:rsid w:val="00E460F4"/>
    <w:rsid w:val="00E5045D"/>
    <w:rsid w:val="00E51AF8"/>
    <w:rsid w:val="00E7096D"/>
    <w:rsid w:val="00E832DD"/>
    <w:rsid w:val="00E97C1E"/>
    <w:rsid w:val="00ED3713"/>
    <w:rsid w:val="00EE602F"/>
    <w:rsid w:val="00EE7580"/>
    <w:rsid w:val="00EF3D57"/>
    <w:rsid w:val="00F017AB"/>
    <w:rsid w:val="00F53305"/>
    <w:rsid w:val="00FD0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Bibliography">
    <w:name w:val="Bibliography"/>
    <w:basedOn w:val="Normal"/>
    <w:next w:val="Normal"/>
    <w:uiPriority w:val="37"/>
    <w:unhideWhenUsed/>
    <w:rsid w:val="00757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2938">
      <w:bodyDiv w:val="1"/>
      <w:marLeft w:val="0"/>
      <w:marRight w:val="0"/>
      <w:marTop w:val="0"/>
      <w:marBottom w:val="0"/>
      <w:divBdr>
        <w:top w:val="none" w:sz="0" w:space="0" w:color="auto"/>
        <w:left w:val="none" w:sz="0" w:space="0" w:color="auto"/>
        <w:bottom w:val="none" w:sz="0" w:space="0" w:color="auto"/>
        <w:right w:val="none" w:sz="0" w:space="0" w:color="auto"/>
      </w:divBdr>
    </w:div>
    <w:div w:id="245041524">
      <w:bodyDiv w:val="1"/>
      <w:marLeft w:val="0"/>
      <w:marRight w:val="0"/>
      <w:marTop w:val="0"/>
      <w:marBottom w:val="0"/>
      <w:divBdr>
        <w:top w:val="none" w:sz="0" w:space="0" w:color="auto"/>
        <w:left w:val="none" w:sz="0" w:space="0" w:color="auto"/>
        <w:bottom w:val="none" w:sz="0" w:space="0" w:color="auto"/>
        <w:right w:val="none" w:sz="0" w:space="0" w:color="auto"/>
      </w:divBdr>
    </w:div>
    <w:div w:id="374163067">
      <w:bodyDiv w:val="1"/>
      <w:marLeft w:val="0"/>
      <w:marRight w:val="0"/>
      <w:marTop w:val="0"/>
      <w:marBottom w:val="0"/>
      <w:divBdr>
        <w:top w:val="none" w:sz="0" w:space="0" w:color="auto"/>
        <w:left w:val="none" w:sz="0" w:space="0" w:color="auto"/>
        <w:bottom w:val="none" w:sz="0" w:space="0" w:color="auto"/>
        <w:right w:val="none" w:sz="0" w:space="0" w:color="auto"/>
      </w:divBdr>
    </w:div>
    <w:div w:id="432747253">
      <w:bodyDiv w:val="1"/>
      <w:marLeft w:val="0"/>
      <w:marRight w:val="0"/>
      <w:marTop w:val="0"/>
      <w:marBottom w:val="0"/>
      <w:divBdr>
        <w:top w:val="none" w:sz="0" w:space="0" w:color="auto"/>
        <w:left w:val="none" w:sz="0" w:space="0" w:color="auto"/>
        <w:bottom w:val="none" w:sz="0" w:space="0" w:color="auto"/>
        <w:right w:val="none" w:sz="0" w:space="0" w:color="auto"/>
      </w:divBdr>
    </w:div>
    <w:div w:id="441651859">
      <w:bodyDiv w:val="1"/>
      <w:marLeft w:val="0"/>
      <w:marRight w:val="0"/>
      <w:marTop w:val="0"/>
      <w:marBottom w:val="0"/>
      <w:divBdr>
        <w:top w:val="none" w:sz="0" w:space="0" w:color="auto"/>
        <w:left w:val="none" w:sz="0" w:space="0" w:color="auto"/>
        <w:bottom w:val="none" w:sz="0" w:space="0" w:color="auto"/>
        <w:right w:val="none" w:sz="0" w:space="0" w:color="auto"/>
      </w:divBdr>
    </w:div>
    <w:div w:id="513345563">
      <w:bodyDiv w:val="1"/>
      <w:marLeft w:val="0"/>
      <w:marRight w:val="0"/>
      <w:marTop w:val="0"/>
      <w:marBottom w:val="0"/>
      <w:divBdr>
        <w:top w:val="none" w:sz="0" w:space="0" w:color="auto"/>
        <w:left w:val="none" w:sz="0" w:space="0" w:color="auto"/>
        <w:bottom w:val="none" w:sz="0" w:space="0" w:color="auto"/>
        <w:right w:val="none" w:sz="0" w:space="0" w:color="auto"/>
      </w:divBdr>
    </w:div>
    <w:div w:id="601836853">
      <w:bodyDiv w:val="1"/>
      <w:marLeft w:val="0"/>
      <w:marRight w:val="0"/>
      <w:marTop w:val="0"/>
      <w:marBottom w:val="0"/>
      <w:divBdr>
        <w:top w:val="none" w:sz="0" w:space="0" w:color="auto"/>
        <w:left w:val="none" w:sz="0" w:space="0" w:color="auto"/>
        <w:bottom w:val="none" w:sz="0" w:space="0" w:color="auto"/>
        <w:right w:val="none" w:sz="0" w:space="0" w:color="auto"/>
      </w:divBdr>
    </w:div>
    <w:div w:id="614602455">
      <w:bodyDiv w:val="1"/>
      <w:marLeft w:val="0"/>
      <w:marRight w:val="0"/>
      <w:marTop w:val="0"/>
      <w:marBottom w:val="0"/>
      <w:divBdr>
        <w:top w:val="none" w:sz="0" w:space="0" w:color="auto"/>
        <w:left w:val="none" w:sz="0" w:space="0" w:color="auto"/>
        <w:bottom w:val="none" w:sz="0" w:space="0" w:color="auto"/>
        <w:right w:val="none" w:sz="0" w:space="0" w:color="auto"/>
      </w:divBdr>
    </w:div>
    <w:div w:id="619915306">
      <w:bodyDiv w:val="1"/>
      <w:marLeft w:val="0"/>
      <w:marRight w:val="0"/>
      <w:marTop w:val="0"/>
      <w:marBottom w:val="0"/>
      <w:divBdr>
        <w:top w:val="none" w:sz="0" w:space="0" w:color="auto"/>
        <w:left w:val="none" w:sz="0" w:space="0" w:color="auto"/>
        <w:bottom w:val="none" w:sz="0" w:space="0" w:color="auto"/>
        <w:right w:val="none" w:sz="0" w:space="0" w:color="auto"/>
      </w:divBdr>
    </w:div>
    <w:div w:id="744956242">
      <w:bodyDiv w:val="1"/>
      <w:marLeft w:val="0"/>
      <w:marRight w:val="0"/>
      <w:marTop w:val="0"/>
      <w:marBottom w:val="0"/>
      <w:divBdr>
        <w:top w:val="none" w:sz="0" w:space="0" w:color="auto"/>
        <w:left w:val="none" w:sz="0" w:space="0" w:color="auto"/>
        <w:bottom w:val="none" w:sz="0" w:space="0" w:color="auto"/>
        <w:right w:val="none" w:sz="0" w:space="0" w:color="auto"/>
      </w:divBdr>
    </w:div>
    <w:div w:id="937131634">
      <w:bodyDiv w:val="1"/>
      <w:marLeft w:val="0"/>
      <w:marRight w:val="0"/>
      <w:marTop w:val="0"/>
      <w:marBottom w:val="0"/>
      <w:divBdr>
        <w:top w:val="none" w:sz="0" w:space="0" w:color="auto"/>
        <w:left w:val="none" w:sz="0" w:space="0" w:color="auto"/>
        <w:bottom w:val="none" w:sz="0" w:space="0" w:color="auto"/>
        <w:right w:val="none" w:sz="0" w:space="0" w:color="auto"/>
      </w:divBdr>
    </w:div>
    <w:div w:id="988484876">
      <w:bodyDiv w:val="1"/>
      <w:marLeft w:val="0"/>
      <w:marRight w:val="0"/>
      <w:marTop w:val="0"/>
      <w:marBottom w:val="0"/>
      <w:divBdr>
        <w:top w:val="none" w:sz="0" w:space="0" w:color="auto"/>
        <w:left w:val="none" w:sz="0" w:space="0" w:color="auto"/>
        <w:bottom w:val="none" w:sz="0" w:space="0" w:color="auto"/>
        <w:right w:val="none" w:sz="0" w:space="0" w:color="auto"/>
      </w:divBdr>
    </w:div>
    <w:div w:id="1027752563">
      <w:bodyDiv w:val="1"/>
      <w:marLeft w:val="0"/>
      <w:marRight w:val="0"/>
      <w:marTop w:val="0"/>
      <w:marBottom w:val="0"/>
      <w:divBdr>
        <w:top w:val="none" w:sz="0" w:space="0" w:color="auto"/>
        <w:left w:val="none" w:sz="0" w:space="0" w:color="auto"/>
        <w:bottom w:val="none" w:sz="0" w:space="0" w:color="auto"/>
        <w:right w:val="none" w:sz="0" w:space="0" w:color="auto"/>
      </w:divBdr>
    </w:div>
    <w:div w:id="1169439417">
      <w:bodyDiv w:val="1"/>
      <w:marLeft w:val="0"/>
      <w:marRight w:val="0"/>
      <w:marTop w:val="0"/>
      <w:marBottom w:val="0"/>
      <w:divBdr>
        <w:top w:val="none" w:sz="0" w:space="0" w:color="auto"/>
        <w:left w:val="none" w:sz="0" w:space="0" w:color="auto"/>
        <w:bottom w:val="none" w:sz="0" w:space="0" w:color="auto"/>
        <w:right w:val="none" w:sz="0" w:space="0" w:color="auto"/>
      </w:divBdr>
    </w:div>
    <w:div w:id="1174957367">
      <w:bodyDiv w:val="1"/>
      <w:marLeft w:val="0"/>
      <w:marRight w:val="0"/>
      <w:marTop w:val="0"/>
      <w:marBottom w:val="0"/>
      <w:divBdr>
        <w:top w:val="none" w:sz="0" w:space="0" w:color="auto"/>
        <w:left w:val="none" w:sz="0" w:space="0" w:color="auto"/>
        <w:bottom w:val="none" w:sz="0" w:space="0" w:color="auto"/>
        <w:right w:val="none" w:sz="0" w:space="0" w:color="auto"/>
      </w:divBdr>
    </w:div>
    <w:div w:id="1233469148">
      <w:bodyDiv w:val="1"/>
      <w:marLeft w:val="0"/>
      <w:marRight w:val="0"/>
      <w:marTop w:val="0"/>
      <w:marBottom w:val="0"/>
      <w:divBdr>
        <w:top w:val="none" w:sz="0" w:space="0" w:color="auto"/>
        <w:left w:val="none" w:sz="0" w:space="0" w:color="auto"/>
        <w:bottom w:val="none" w:sz="0" w:space="0" w:color="auto"/>
        <w:right w:val="none" w:sz="0" w:space="0" w:color="auto"/>
      </w:divBdr>
    </w:div>
    <w:div w:id="1362897357">
      <w:bodyDiv w:val="1"/>
      <w:marLeft w:val="0"/>
      <w:marRight w:val="0"/>
      <w:marTop w:val="0"/>
      <w:marBottom w:val="0"/>
      <w:divBdr>
        <w:top w:val="none" w:sz="0" w:space="0" w:color="auto"/>
        <w:left w:val="none" w:sz="0" w:space="0" w:color="auto"/>
        <w:bottom w:val="none" w:sz="0" w:space="0" w:color="auto"/>
        <w:right w:val="none" w:sz="0" w:space="0" w:color="auto"/>
      </w:divBdr>
    </w:div>
    <w:div w:id="1580871817">
      <w:bodyDiv w:val="1"/>
      <w:marLeft w:val="0"/>
      <w:marRight w:val="0"/>
      <w:marTop w:val="0"/>
      <w:marBottom w:val="0"/>
      <w:divBdr>
        <w:top w:val="none" w:sz="0" w:space="0" w:color="auto"/>
        <w:left w:val="none" w:sz="0" w:space="0" w:color="auto"/>
        <w:bottom w:val="none" w:sz="0" w:space="0" w:color="auto"/>
        <w:right w:val="none" w:sz="0" w:space="0" w:color="auto"/>
      </w:divBdr>
    </w:div>
    <w:div w:id="1872765824">
      <w:bodyDiv w:val="1"/>
      <w:marLeft w:val="0"/>
      <w:marRight w:val="0"/>
      <w:marTop w:val="0"/>
      <w:marBottom w:val="0"/>
      <w:divBdr>
        <w:top w:val="none" w:sz="0" w:space="0" w:color="auto"/>
        <w:left w:val="none" w:sz="0" w:space="0" w:color="auto"/>
        <w:bottom w:val="none" w:sz="0" w:space="0" w:color="auto"/>
        <w:right w:val="none" w:sz="0" w:space="0" w:color="auto"/>
      </w:divBdr>
    </w:div>
    <w:div w:id="1938978340">
      <w:bodyDiv w:val="1"/>
      <w:marLeft w:val="0"/>
      <w:marRight w:val="0"/>
      <w:marTop w:val="0"/>
      <w:marBottom w:val="0"/>
      <w:divBdr>
        <w:top w:val="none" w:sz="0" w:space="0" w:color="auto"/>
        <w:left w:val="none" w:sz="0" w:space="0" w:color="auto"/>
        <w:bottom w:val="none" w:sz="0" w:space="0" w:color="auto"/>
        <w:right w:val="none" w:sz="0" w:space="0" w:color="auto"/>
      </w:divBdr>
    </w:div>
    <w:div w:id="2025354022">
      <w:bodyDiv w:val="1"/>
      <w:marLeft w:val="0"/>
      <w:marRight w:val="0"/>
      <w:marTop w:val="0"/>
      <w:marBottom w:val="0"/>
      <w:divBdr>
        <w:top w:val="none" w:sz="0" w:space="0" w:color="auto"/>
        <w:left w:val="none" w:sz="0" w:space="0" w:color="auto"/>
        <w:bottom w:val="none" w:sz="0" w:space="0" w:color="auto"/>
        <w:right w:val="none" w:sz="0" w:space="0" w:color="auto"/>
      </w:divBdr>
    </w:div>
    <w:div w:id="205488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1</b:RefOrder>
  </b:Source>
  <b:Source>
    <b:Tag>Mic18</b:Tag>
    <b:SourceType>InternetSite</b:SourceType>
    <b:Guid>{DE6187D2-D9D0-4983-AD33-8AE5ABCE366E}</b:Guid>
    <b:Title>Why Do Keynote Speakers Keep Suggesting That Improving Security Is Possible?</b:Title>
    <b:Year>2018</b:Year>
    <b:Author>
      <b:Author>
        <b:NameList>
          <b:Person>
            <b:Last>Mickens</b:Last>
            <b:First>J</b:First>
          </b:Person>
        </b:NameList>
      </b:Author>
    </b:Author>
    <b:ConferenceName>Usenix Security</b:ConferenceName>
    <b:InternetSiteTitle>YouTube</b:InternetSiteTitle>
    <b:Month>August</b:Month>
    <b:Day>16</b:Day>
    <b:URL>https://www.youtube.com/watch?v=ajGX7odA87k</b:URL>
    <b:RefOrder>2</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4</b:RefOrder>
  </b:Source>
  <b:Source>
    <b:Tag>Dai191</b:Tag>
    <b:SourceType>ConferenceProceedings</b:SourceType>
    <b:Guid>{2FC5F22B-B26D-4A93-97E4-57A2DD0C2BC5}</b:Guid>
    <b:Title>Every Security Team is a Software Team Now</b:Title>
    <b:Year>2019</b:Year>
    <b:Author>
      <b:Author>
        <b:NameList>
          <b:Person>
            <b:Last>Dai Zovi</b:Last>
            <b:First>D</b:First>
          </b:Person>
        </b:NameList>
      </b:Author>
    </b:Author>
    <b:City>Las Vegas, NV, USA</b:City>
    <b:Publisher>Black Hat</b:Publisher>
    <b:Medium>Video</b:Medium>
    <b:YearAccessed>2020</b:YearAccessed>
    <b:MonthAccessed>May</b:MonthAccessed>
    <b:DayAccessed>9</b:DayAccessed>
    <b:URL>https://www.youtube.com/watch?v=8armE3Wz0jk</b:URL>
    <b:ConferenceName>Black Hat USA</b:ConferenceName>
    <b:RefOrder>3</b:RefOrder>
  </b:Source>
  <b:Source>
    <b:Tag>Has18</b:Tag>
    <b:SourceType>InternetSite</b:SourceType>
    <b:Guid>{1FCFF32D-C546-4646-A17E-ADFC3A237675}</b:Guid>
    <b:Title>I asked Siri, Alexa and Google Assistant if they’re spying on me — here’s what they said</b:Title>
    <b:Year>2018</b:Year>
    <b:Month>May</b:Month>
    <b:Day>13</b:Day>
    <b:YearAccessed>2020</b:YearAccessed>
    <b:MonthAccessed>May</b:MonthAccessed>
    <b:DayAccessed>17</b:DayAccessed>
    <b:URL>https://www.cnbc.com/2018/05/13/are-siri-alexa-and-google-assistant-spying-on-me.html</b:URL>
    <b:Author>
      <b:Author>
        <b:NameList>
          <b:Person>
            <b:Last>Haselton</b:Last>
            <b:First>T</b:First>
          </b:Person>
        </b:NameList>
      </b:Author>
    </b:Author>
    <b:InternetSiteTitle>CNBC</b:InternetSiteTitle>
    <b:RefOrder>5</b:RefOrder>
  </b:Source>
  <b:Source>
    <b:Tag>Bab16</b:Tag>
    <b:SourceType>JournalArticle</b:SourceType>
    <b:Guid>{D46F49D5-779F-4D90-AD6A-B6B71C270564}</b:Guid>
    <b:Title>Big data and virtualization for manufacturing cyber-physical systems</b:Title>
    <b:Year>2016</b:Year>
    <b:Month>September</b:Month>
    <b:YearAccessed>2020</b:YearAccessed>
    <b:MonthAccessed>May</b:MonthAccessed>
    <b:DayAccessed>16</b:DayAccessed>
    <b:DOI>https://doi.org/10.1016/j.compind.2016.02.004</b:DOI>
    <b:Author>
      <b:Author>
        <b:NameList>
          <b:Person>
            <b:Last>Babiceanu</b:Last>
            <b:First>R</b:First>
            <b:Middle>&amp; Seker, R.</b:Middle>
          </b:Person>
        </b:NameList>
      </b:Author>
    </b:Author>
    <b:JournalName>Computers in Industry</b:JournalName>
    <b:Pages>128-137</b:Pages>
    <b:Volume>81</b:Volume>
    <b:RefOrder>6</b:RefOrder>
  </b:Source>
  <b:Source>
    <b:Tag>Fro181</b:Tag>
    <b:SourceType>ConferenceProceedings</b:SourceType>
    <b:Guid>{7B1B96A6-288A-451A-92E7-5A83E94AC83B}</b:Guid>
    <b:Title>Keynote Opening</b:Title>
    <b:JournalName>International Conference On Software Engineering</b:JournalName>
    <b:Year>2018</b:Year>
    <b:City>Gothenburg, Sweden</b:City>
    <b:Month>May</b:Month>
    <b:Day>27</b:Day>
    <b:Publisher>International Conference on Software Engineering (ICSE)</b:Publisher>
    <b:YearAccessed>2019</b:YearAccessed>
    <b:MonthAccessed>April</b:MonthAccessed>
    <b:DayAccessed>8</b:DayAccessed>
    <b:URL>https://www.youtube.com/watch?v=cpeMmMh7Syk</b:URL>
    <b:Author>
      <b:Author>
        <b:NameList>
          <b:Person>
            <b:Last>Frodigh</b:Last>
            <b:First>M</b:First>
          </b:Person>
        </b:NameList>
      </b:Author>
    </b:Author>
    <b:ConferenceName>40th International Conference on Software Engineering</b:ConferenceName>
    <b:InternetSiteTitle>YouTube</b:InternetSiteTitle>
    <b:RefOrder>7</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11</b:RefOrder>
  </b:Source>
  <b:Source>
    <b:Tag>Web16</b:Tag>
    <b:SourceType>JournalArticle</b:SourceType>
    <b:Guid>{6F5F05E0-C6DD-4FF9-980F-E4BFD96F76CB}</b:Guid>
    <b:Title>Cybersecurity in the Internet of Things: Legal aspects</b:Title>
    <b:JournalName>Computer Law &amp; Security Review</b:JournalName>
    <b:Year>2016</b:Year>
    <b:Pages>715-728</b:Pages>
    <b:Author>
      <b:Author>
        <b:NameList>
          <b:Person>
            <b:Last>Weber</b:Last>
            <b:First>R.</b:First>
            <b:Middle>H.,</b:Middle>
          </b:Person>
          <b:Person>
            <b:Last>Studer</b:Last>
            <b:First>E.</b:First>
          </b:Person>
        </b:NameList>
      </b:Author>
    </b:Author>
    <b:Month>October</b:Month>
    <b:Volume>32</b:Volume>
    <b:Issue>5</b:Issue>
    <b:YearAccessed>2020</b:YearAccessed>
    <b:MonthAccessed>May</b:MonthAccessed>
    <b:DayAccessed>16</b:DayAccessed>
    <b:DOI>https://doi.org/10.1016/j.clsr.2016.07.002</b:DOI>
    <b:RefOrder>12</b:RefOrder>
  </b:Source>
  <b:Source>
    <b:Tag>Gam17</b:Tag>
    <b:SourceType>InternetSite</b:SourceType>
    <b:Guid>{83F33213-2BEC-46E5-A4CF-2AECC31DE09A}</b:Guid>
    <b:Title>Mirai-Source-Code</b:Title>
    <b:Year>2017</b:Year>
    <b:Month>July</b:Month>
    <b:Day>15</b:Day>
    <b:YearAccessed>2020</b:YearAccessed>
    <b:MonthAccessed>May</b:MonthAccessed>
    <b:DayAccessed>17</b:DayAccessed>
    <b:URL>https://github.com/jgamblin/Mirai-Source-Code</b:URL>
    <b:InternetSiteTitle>GitHub</b:InternetSiteTitle>
    <b:Author>
      <b:Author>
        <b:NameList>
          <b:Person>
            <b:Last>Gamblin</b:Last>
            <b:First>J</b:First>
          </b:Person>
        </b:NameList>
      </b:Author>
    </b:Author>
    <b:RefOrder>9</b:RefOrder>
  </b:Source>
  <b:Source>
    <b:Tag>Kol17</b:Tag>
    <b:SourceType>JournalArticle</b:SourceType>
    <b:Guid>{DE8A39DC-E30E-45D8-A243-1336A36A364D}</b:Guid>
    <b:Title>DDoS in the IoT: Mirai and other botnets</b:Title>
    <b:Year>2017</b:Year>
    <b:JournalName>Computer</b:JournalName>
    <b:Pages>80-84</b:Pages>
    <b:Author>
      <b:Author>
        <b:NameList>
          <b:Person>
            <b:Last>Kolias</b:Last>
            <b:First>C.</b:First>
          </b:Person>
          <b:Person>
            <b:Last>Kambourakis</b:Last>
            <b:First>G</b:First>
          </b:Person>
          <b:Person>
            <b:Last>Stavrou</b:Last>
            <b:First>A.</b:First>
          </b:Person>
          <b:Person>
            <b:Last>Voas</b:Last>
            <b:First>J.</b:First>
          </b:Person>
        </b:NameList>
      </b:Author>
    </b:Author>
    <b:Publisher>Institute of Electrical and Electronics Engineers Computer Society</b:Publisher>
    <b:Volume>50</b:Volume>
    <b:Issue>7</b:Issue>
    <b:YearAccessed>2020</b:YearAccessed>
    <b:MonthAccessed>May</b:MonthAccessed>
    <b:DayAccessed>16</b:DayAccessed>
    <b:DOI>https://doi.org/10.1109/MC.2017.201</b:DOI>
    <b:RefOrder>10</b:RefOrder>
  </b:Source>
  <b:Source>
    <b:Tag>Gal17</b:Tag>
    <b:SourceType>ConferenceProceedings</b:SourceType>
    <b:Guid>{8DDE938B-ABD7-43A9-9136-586623202638}</b:Guid>
    <b:Author>
      <b:Author>
        <b:NameList>
          <b:Person>
            <b:Last>Galinec</b:Last>
            <b:First>D</b:First>
          </b:Person>
          <b:Person>
            <b:Last>Steingartner</b:Last>
            <b:First>W</b:First>
          </b:Person>
        </b:NameList>
      </b:Author>
    </b:Author>
    <b:Title>Combining cybersecurity and cyber defense to achieve cyber resilience</b:Title>
    <b:Year>2017</b:Year>
    <b:ConferenceName>14th International Scientific Conference on Informatics</b:ConferenceName>
    <b:City>Poprad, Slovakia</b:City>
    <b:Publisher>Institute of Electrical and Electronics Engineers</b:Publisher>
    <b:YearAccessed>2020</b:YearAccessed>
    <b:MonthAccessed>May</b:MonthAccessed>
    <b:DayAccessed>9</b:DayAccessed>
    <b:DOI>https://doi.org/10.1109/INFORMATICS.2017.8327227</b:DOI>
    <b:RefOrder>8</b:RefOrder>
  </b:Source>
  <b:Source>
    <b:Tag>Mat14</b:Tag>
    <b:SourceType>JournalArticle</b:SourceType>
    <b:Guid>{3593BF8E-DD9D-4F5F-8BD2-EB8F47D18019}</b:Guid>
    <b:Author>
      <b:Author>
        <b:NameList>
          <b:Person>
            <b:Last>Matsubara</b:Last>
            <b:First>M</b:First>
          </b:Person>
        </b:NameList>
      </b:Author>
    </b:Author>
    <b:Title>Countering Cyber-Espionage and Sabotage</b:Title>
    <b:JournalName>Royal United Services Institute for Defence Studies</b:JournalName>
    <b:Year>2014</b:Year>
    <b:Pages>86-93</b:Pages>
    <b:Volume>159</b:Volume>
    <b:Issue>1</b:Issue>
    <b:YearAccessed>2020</b:YearAccessed>
    <b:MonthAccessed>May</b:MonthAccessed>
    <b:DayAccessed>16</b:DayAccessed>
    <b:DOI>https://doi.org/10.1080/03071847.2014.895263</b:DOI>
    <b:RefOrder>13</b:RefOrder>
  </b:Source>
  <b:Source>
    <b:Tag>Ora17</b:Tag>
    <b:SourceType>JournalArticle</b:SourceType>
    <b:Guid>{0E712C6A-F0EA-4B17-BCCA-076790F29574}</b:Guid>
    <b:Title>Kill switches, remote deletion, and intelligent agents</b:Title>
    <b:JournalName>Technology in Society</b:JournalName>
    <b:Year>2017</b:Year>
    <b:Pages>189-198</b:Pages>
    <b:Author>
      <b:Author>
        <b:NameList>
          <b:Person>
            <b:Last>Oravec</b:Last>
            <b:First>J</b:First>
          </b:Person>
        </b:NameList>
      </b:Author>
    </b:Author>
    <b:Month>November</b:Month>
    <b:Volume>51</b:Volume>
    <b:YearAccessed>2020</b:YearAccessed>
    <b:MonthAccessed>May</b:MonthAccessed>
    <b:DayAccessed>16</b:DayAccessed>
    <b:DOI>https://doi.org/10.1016/j.techsoc.2017.09.004</b:DOI>
    <b:RefOrder>14</b:RefOrder>
  </b:Source>
</b:Sources>
</file>

<file path=customXml/itemProps1.xml><?xml version="1.0" encoding="utf-8"?>
<ds:datastoreItem xmlns:ds="http://schemas.openxmlformats.org/officeDocument/2006/customXml" ds:itemID="{711F7C44-5807-4CFB-9077-015D1C4DE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1610</TotalTime>
  <Pages>8</Pages>
  <Words>1740</Words>
  <Characters>9923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81</cp:revision>
  <dcterms:created xsi:type="dcterms:W3CDTF">2019-05-19T17:38:00Z</dcterms:created>
  <dcterms:modified xsi:type="dcterms:W3CDTF">2020-05-18T00:38:00Z</dcterms:modified>
</cp:coreProperties>
</file>