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9358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C7357C">
      <w:pPr>
        <w:pStyle w:val="Heading1"/>
      </w:pPr>
      <w:r>
        <w:lastRenderedPageBreak/>
        <w:t>Setting the stage</w:t>
      </w:r>
    </w:p>
    <w:p w14:paraId="419A2AE8" w14:textId="2910C2AE" w:rsidR="00F47BD1" w:rsidRDefault="00F47BD1" w:rsidP="00C7357C">
      <w:pPr>
        <w:pStyle w:val="Heading2"/>
      </w:pPr>
      <w:r>
        <w:t>What is Cybersecurity</w:t>
      </w:r>
    </w:p>
    <w:p w14:paraId="03094D81" w14:textId="32CB42C8" w:rsidR="00854D29" w:rsidRPr="00854D29" w:rsidRDefault="00854D29" w:rsidP="00854D29">
      <w:pPr>
        <w:ind w:firstLine="720"/>
      </w:pP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w:t>
      </w:r>
      <w:sdt>
        <w:sdtPr>
          <w:id w:val="-1494180555"/>
          <w:citation/>
        </w:sdtPr>
        <w:sdtEnd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and lossy.  Security protections, like Transport Layer Security (TLS), can detect the hardware failure through checksums that are visible at the application layer.  A second product defect might cause a surge of traffic, and without traffic-shaping technologies results in overloading the downstream services.  A third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They care that the system works.  These scenarios hurt the reputation of the service operators and weaken the competitive position of the business.</w:t>
      </w:r>
    </w:p>
    <w:p w14:paraId="05D9F5DC" w14:textId="372A6C8D" w:rsidR="00F47BD1" w:rsidRDefault="00F47BD1" w:rsidP="00C7357C">
      <w:pPr>
        <w:pStyle w:val="Heading2"/>
      </w:pPr>
      <w:r>
        <w:t xml:space="preserve">How does security enable the </w:t>
      </w:r>
      <w:proofErr w:type="gramStart"/>
      <w:r>
        <w:t>business</w:t>
      </w:r>
      <w:proofErr w:type="gramEnd"/>
    </w:p>
    <w:p w14:paraId="71932381" w14:textId="21358DD2" w:rsidR="00EF1AD6" w:rsidRDefault="00EF1AD6" w:rsidP="00EF1AD6">
      <w:pPr>
        <w:ind w:firstLine="720"/>
      </w:pPr>
      <w:r>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  However, investments in other aspects of the organization reduce risk and improve continuity.  </w:t>
      </w:r>
    </w:p>
    <w:p w14:paraId="1E8E6631" w14:textId="77777777" w:rsidR="00EF1AD6" w:rsidRPr="00EF1AD6" w:rsidRDefault="00EF1AD6" w:rsidP="00EF1AD6">
      <w:pPr>
        <w:ind w:firstLine="720"/>
      </w:pPr>
    </w:p>
    <w:p w14:paraId="5C043304" w14:textId="7B829566" w:rsidR="00854D29" w:rsidRDefault="00854D29" w:rsidP="00854D29">
      <w:pPr>
        <w:pStyle w:val="Heading2"/>
      </w:pPr>
      <w:r>
        <w:lastRenderedPageBreak/>
        <w:t>Framing a Security Message</w:t>
      </w:r>
    </w:p>
    <w:p w14:paraId="21E8E472" w14:textId="1A064046" w:rsidR="00854D29" w:rsidRPr="00854D29" w:rsidRDefault="00854D29" w:rsidP="001C78B2">
      <w:pPr>
        <w:ind w:firstLine="720"/>
      </w:pPr>
      <w:r>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sdt>
        <w:sdtPr>
          <w:id w:val="1230808670"/>
          <w:citation/>
        </w:sdtPr>
        <w:sdtEndPr/>
        <w:sdtContent>
          <w:r>
            <w:fldChar w:fldCharType="begin"/>
          </w:r>
          <w:r>
            <w:instrText xml:space="preserve"> CITATION Bru17 \l 1033 </w:instrText>
          </w:r>
          <w:r>
            <w:fldChar w:fldCharType="separate"/>
          </w:r>
          <w:r>
            <w:rPr>
              <w:noProof/>
            </w:rPr>
            <w:t xml:space="preserve"> (Bruijn &amp; Janssen, 2017)</w:t>
          </w:r>
          <w:r>
            <w:fldChar w:fldCharType="end"/>
          </w:r>
        </w:sdtContent>
      </w:sdt>
      <w:r>
        <w:t xml:space="preserve">.  These sophisticated adversaries will stop at nothing to exploit our websites and exfiltrate the data.  From the employee perspective, this sounds </w:t>
      </w:r>
      <w:proofErr w:type="spellStart"/>
      <w:r>
        <w:t>far fetched</w:t>
      </w:r>
      <w:proofErr w:type="spellEnd"/>
      <w:r>
        <w:t xml:space="preserve"> and reminiscent of a Michael Bay film.   They do not understand why they should care. Admittedly, our data is not attractive, so why would anyone bother to attack us?  Instead, the message should center around the risks that our software and business processes accept, implicitly, and explicitly.  Many risks exist within technology, though a more alarming number originate from the employees</w:t>
      </w:r>
      <w:r w:rsidRPr="007A0CDC">
        <w:t xml:space="preserve"> </w:t>
      </w:r>
      <w:sdt>
        <w:sdtPr>
          <w:id w:val="1569614785"/>
          <w:citation/>
        </w:sdtPr>
        <w:sdtEndPr/>
        <w:sdtContent>
          <w:r>
            <w:fldChar w:fldCharType="begin"/>
          </w:r>
          <w:r>
            <w:instrText xml:space="preserve"> CITATION Val17 \l 1033 </w:instrText>
          </w:r>
          <w:r>
            <w:fldChar w:fldCharType="separate"/>
          </w:r>
          <w:r>
            <w:rPr>
              <w:noProof/>
            </w:rPr>
            <w:t xml:space="preserve"> (Valiente, 2017)</w:t>
          </w:r>
          <w:r>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Fundamentally, conveying these risks results in the awareness and the formation of strategies around both prevention and recovery.  Perhaps more importantly, it addresses the question, </w:t>
      </w:r>
      <w:r w:rsidR="006F6C46">
        <w:t>"</w:t>
      </w:r>
      <w:r>
        <w:t>why should I care?</w:t>
      </w:r>
      <w:r w:rsidR="006F6C46">
        <w:t>"</w:t>
      </w:r>
    </w:p>
    <w:p w14:paraId="6DEB613C" w14:textId="3C07C210" w:rsidR="00F47BD1" w:rsidRDefault="00F47BD1" w:rsidP="00C7357C">
      <w:pPr>
        <w:pStyle w:val="Heading2"/>
      </w:pPr>
      <w:r>
        <w:t>Applying a framework to security</w:t>
      </w:r>
    </w:p>
    <w:p w14:paraId="4CA8D55C" w14:textId="32A1A666" w:rsidR="00A341C7" w:rsidRDefault="00A341C7" w:rsidP="004957FF">
      <w:pPr>
        <w:ind w:firstLine="720"/>
      </w:pPr>
      <w:r>
        <w:t xml:space="preserve">There is an abundance of standards and frameworks available to determine if decisions are being made consistently across the industry.  Four common incarnations are the Risk Management Framework (RMF), ISO2700x, NIST Cybersecurity Framework, and COBIT v5.  Each of these approaches follows a similar cycle of plan-act-assess-revise across different aspects of the stack (e.g., authentication, authorization, and auditing).  However, there are differences between the degree of enforcement versus guidance.  The origin of the standard also </w:t>
      </w:r>
      <w:r>
        <w:lastRenderedPageBreak/>
        <w:t>has a significant influence on the framework designers</w:t>
      </w:r>
      <w:r w:rsidR="006F6C46">
        <w:t>'</w:t>
      </w:r>
      <w:r>
        <w:t xml:space="preserve"> perspective, such as COBIT deriving from IT auditing then expanding with industry commonalities.</w:t>
      </w:r>
    </w:p>
    <w:p w14:paraId="10ACB502" w14:textId="30C0CA59" w:rsidR="00A341C7" w:rsidRPr="00A341C7" w:rsidRDefault="00A341C7" w:rsidP="00A341C7">
      <w:pPr>
        <w:ind w:firstLine="720"/>
      </w:pPr>
      <w:r>
        <w:t>While each of these frameworks possesses a similar structure, they differ in terms of prescriptive guidance versus generalizations.  For instance, ISO2700x has stringent requirements that necessitate a cultural shift for many businesses, and this is difficult to scale to an enterprise environment</w:t>
      </w:r>
      <w:sdt>
        <w:sdtPr>
          <w:id w:val="2115399420"/>
          <w:citation/>
        </w:sdtPr>
        <w:sdtEnd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sdt>
        <w:sdtPr>
          <w:id w:val="613792373"/>
          <w:citation/>
        </w:sdtPr>
        <w:sdtEndPr/>
        <w:sdtContent>
          <w:r>
            <w:fldChar w:fldCharType="begin"/>
          </w:r>
          <w:r>
            <w:instrText xml:space="preserve">CITATION Gro18 \l 1033 </w:instrText>
          </w:r>
          <w:r>
            <w:fldChar w:fldCharType="separate"/>
          </w:r>
          <w:r>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EndPr/>
        <w:sdtContent>
          <w:r>
            <w:fldChar w:fldCharType="begin"/>
          </w:r>
          <w:r>
            <w:instrText xml:space="preserve">CITATION Dai19 \l 1033 </w:instrText>
          </w:r>
          <w:r>
            <w:fldChar w:fldCharType="separate"/>
          </w:r>
          <w:r>
            <w:rPr>
              <w:noProof/>
            </w:rPr>
            <w:t xml:space="preserve"> (Dai Zovi, 2019)</w:t>
          </w:r>
          <w:r>
            <w:fldChar w:fldCharType="end"/>
          </w:r>
        </w:sdtContent>
      </w:sdt>
      <w:r>
        <w:t>.</w:t>
      </w:r>
      <w:r w:rsidRPr="00FE5CC8">
        <w:t xml:space="preserve"> </w:t>
      </w:r>
      <w:r>
        <w:t xml:space="preserve">  For many businesses like HTM, having the flexibility to adopt a framework and then iteratively mature their processes over time reduces that risk and is an easier sell to leadership.  Arguably, this is not the utopian course during the interim. However, movement in the right direction is better than no action.</w:t>
      </w:r>
    </w:p>
    <w:p w14:paraId="63EE4C1F" w14:textId="3D1AC18E" w:rsidR="00F47BD1" w:rsidRDefault="00F47BD1" w:rsidP="00C7357C">
      <w:pPr>
        <w:pStyle w:val="Heading1"/>
      </w:pPr>
      <w:r>
        <w:t xml:space="preserve">What are we </w:t>
      </w:r>
      <w:proofErr w:type="gramStart"/>
      <w:r>
        <w:t>protecting</w:t>
      </w:r>
      <w:proofErr w:type="gramEnd"/>
    </w:p>
    <w:p w14:paraId="6D174F4D" w14:textId="47CBDDC3" w:rsidR="00F47BD1" w:rsidRDefault="00F47BD1" w:rsidP="00C7357C">
      <w:pPr>
        <w:pStyle w:val="Heading2"/>
      </w:pPr>
      <w:r>
        <w:t>People</w:t>
      </w:r>
    </w:p>
    <w:p w14:paraId="7BCAFA16" w14:textId="77777777" w:rsidR="003C04D6" w:rsidRDefault="003C04D6" w:rsidP="003C04D6">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 of how various levels of legal enforceability </w:t>
      </w:r>
      <w:r>
        <w:lastRenderedPageBreak/>
        <w:t>influence release schedules of new features and innovation into foreign markets.  This training applies to all levels of the business, such as how technicians assist international customers, and how executives bundle products for international distribution.</w:t>
      </w:r>
    </w:p>
    <w:p w14:paraId="518D03B5" w14:textId="6ED816C6" w:rsidR="00D37CFD" w:rsidRDefault="00D37CFD" w:rsidP="00D37CFD">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When the device understands the context of the user</w:t>
      </w:r>
      <w:r w:rsidR="006F6C46">
        <w:t>'</w:t>
      </w:r>
      <w:r>
        <w:t>s profile, the experience can be customized and produce more accurate predictions.  The payment for access to these inferences and decision processes comes from personal information, such as calendars, contacts, and routines</w:t>
      </w:r>
      <w:sdt>
        <w:sdtPr>
          <w:id w:val="-2030861568"/>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This trade creates privacy concerns that can be subtle and can go unnoticed for some time.</w:t>
      </w:r>
    </w:p>
    <w:p w14:paraId="6FA96B79" w14:textId="49D7BF7A" w:rsidR="00D37CFD" w:rsidRPr="00D37CFD" w:rsidRDefault="00D37CFD" w:rsidP="00D37CFD">
      <w:pPr>
        <w:ind w:firstLine="720"/>
      </w:pPr>
      <w:r>
        <w:t>For instance, numerous platforms integrate into open identity provides like Google and Facebook as a mechanism to simplify enrollment.  However, is that the job the user intended to hire</w:t>
      </w:r>
      <w:sdt>
        <w:sdtPr>
          <w:id w:val="-902989080"/>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Through an exchange of convenience, the user becomes trackable across multiple sites and web services</w:t>
      </w:r>
      <w:sdt>
        <w:sdtPr>
          <w:id w:val="1253400899"/>
          <w:citation/>
        </w:sdtPr>
        <w:sdtEnd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End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EF022E2" w14:textId="22761C08" w:rsidR="00F47BD1" w:rsidRDefault="00F47BD1" w:rsidP="00C7357C">
      <w:pPr>
        <w:pStyle w:val="Heading2"/>
      </w:pPr>
      <w:r>
        <w:t>Processes</w:t>
      </w:r>
    </w:p>
    <w:p w14:paraId="698D6BD1" w14:textId="77777777" w:rsidR="003C04D6" w:rsidRDefault="003C04D6" w:rsidP="00D37CFD">
      <w:pPr>
        <w:ind w:firstLine="720"/>
      </w:pPr>
      <w:r>
        <w:t xml:space="preserve">Protecting against global risks requires augmenting business processes and asset lifecycle management.  Hennig (2018) recommends starting with a threat modeling to identify what </w:t>
      </w:r>
      <w:r>
        <w:lastRenderedPageBreak/>
        <w:t xml:space="preserve">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w:t>
      </w:r>
      <w:proofErr w:type="gramStart"/>
      <w:r>
        <w:t>and also</w:t>
      </w:r>
      <w:proofErr w:type="gramEnd"/>
      <w:r>
        <w:t xml:space="preserve"> viewed nation-states, either across the wire an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  Leadership teams need to prioritize building these intra-team trust relationships through combinations of social outreach and bug bounty programs.</w:t>
      </w:r>
    </w:p>
    <w:p w14:paraId="4F490028" w14:textId="57F3226B" w:rsidR="00D37CFD" w:rsidRDefault="00D37CFD" w:rsidP="00D37CFD">
      <w:pPr>
        <w:ind w:firstLine="720"/>
      </w:pPr>
      <w:r>
        <w:t>Manufacturing facilities are evolving into massive CPS ecosystems through Industrial IoT devices feeding into complex event processing systems</w:t>
      </w:r>
      <w:sdt>
        <w:sdtPr>
          <w:id w:val="1182395945"/>
          <w:citation/>
        </w:sdtPr>
        <w:sdtEndPr/>
        <w:sdtContent>
          <w:r>
            <w:fldChar w:fldCharType="begin"/>
          </w:r>
          <w:r>
            <w:instrText xml:space="preserve"> CITATION Bab16 \l 1033 </w:instrText>
          </w:r>
          <w:r>
            <w:fldChar w:fldCharType="separate"/>
          </w:r>
          <w:r>
            <w:rPr>
              <w:noProof/>
            </w:rPr>
            <w:t xml:space="preserve"> (Babiceanu, 2016)</w:t>
          </w:r>
          <w:r>
            <w:fldChar w:fldCharType="end"/>
          </w:r>
        </w:sdtContent>
      </w:sdt>
      <w:r>
        <w:t>.  This approach reduces costs by increasing automation efficiencies.  Reliance on automation also increases the opacity of decision-making processes and introduces additional risk vectors</w:t>
      </w:r>
      <w:sdt>
        <w:sdtPr>
          <w:id w:val="-1283337630"/>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sdt>
        <w:sdtPr>
          <w:id w:val="-1099015800"/>
          <w:citation/>
        </w:sdtPr>
        <w:sdtEndPr/>
        <w:sdtContent>
          <w:r>
            <w:fldChar w:fldCharType="begin"/>
          </w:r>
          <w:r>
            <w:instrText xml:space="preserve"> CITATION Fro181 \l 1033 </w:instrText>
          </w:r>
          <w:r>
            <w:fldChar w:fldCharType="separate"/>
          </w:r>
          <w:r>
            <w:rPr>
              <w:noProof/>
            </w:rPr>
            <w:t xml:space="preserve"> (Frodigh, 2018)</w:t>
          </w:r>
          <w:r>
            <w:fldChar w:fldCharType="end"/>
          </w:r>
        </w:sdtContent>
      </w:sdt>
      <w:r>
        <w:t xml:space="preserve">.  CPS technologies can </w:t>
      </w:r>
      <w:proofErr w:type="gramStart"/>
      <w:r>
        <w:t>enter into</w:t>
      </w:r>
      <w:proofErr w:type="gramEnd"/>
      <w:r>
        <w:t xml:space="preserve"> this erroneous state due to Denial of Service states (DoS) caused by malicious actors, malware, and negligent administrators.</w:t>
      </w:r>
    </w:p>
    <w:p w14:paraId="257C3AB0" w14:textId="5A361569" w:rsidR="00EF1AD6" w:rsidRDefault="00EF1AD6" w:rsidP="00D37CFD">
      <w:pPr>
        <w:ind w:firstLine="720"/>
      </w:pPr>
    </w:p>
    <w:p w14:paraId="67E04657" w14:textId="77777777" w:rsidR="00EF1AD6" w:rsidRPr="00D37CFD" w:rsidRDefault="00EF1AD6" w:rsidP="00D37CFD">
      <w:pPr>
        <w:ind w:firstLine="720"/>
      </w:pPr>
    </w:p>
    <w:p w14:paraId="2EEA0CE1" w14:textId="28D30E05" w:rsidR="00F47BD1" w:rsidRDefault="00F47BD1" w:rsidP="00C7357C">
      <w:pPr>
        <w:pStyle w:val="Heading2"/>
      </w:pPr>
      <w:r>
        <w:lastRenderedPageBreak/>
        <w:t>Products</w:t>
      </w:r>
    </w:p>
    <w:p w14:paraId="43CD97AE" w14:textId="7CE018C6" w:rsidR="003C04D6" w:rsidRPr="003C04D6" w:rsidRDefault="003C04D6" w:rsidP="003C04D6">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210106688"/>
          <w:citation/>
        </w:sdtPr>
        <w:sdtEnd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A33F30B" w14:textId="77777777" w:rsidR="00D37CFD" w:rsidRDefault="00D37CFD" w:rsidP="00D37CFD">
      <w:pPr>
        <w:ind w:firstLine="720"/>
      </w:pPr>
      <w:r>
        <w:t>According to Gartner, the trend of weak authentication controls impacts nearly 50% of all IoT vendors</w:t>
      </w:r>
      <w:sdt>
        <w:sdtPr>
          <w:id w:val="1002161015"/>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The </w:t>
      </w:r>
      <w:proofErr w:type="spellStart"/>
      <w:r>
        <w:t>Mirai</w:t>
      </w:r>
      <w:proofErr w:type="spellEnd"/>
      <w:r>
        <w:t xml:space="preserve"> malware was able to span half a million devices using a small dictionary file to brute force access</w:t>
      </w:r>
      <w:sdt>
        <w:sdtPr>
          <w:id w:val="-944850106"/>
          <w:citation/>
        </w:sdtPr>
        <w:sdtEndPr/>
        <w:sdtContent>
          <w:r>
            <w:fldChar w:fldCharType="begin"/>
          </w:r>
          <w:r>
            <w:instrText xml:space="preserve"> CITATION Gam17 \l 1033 </w:instrText>
          </w:r>
          <w:r>
            <w:fldChar w:fldCharType="separate"/>
          </w:r>
          <w:r>
            <w:rPr>
              <w:noProof/>
            </w:rPr>
            <w:t xml:space="preserve"> (Gamblin, 2017)</w:t>
          </w:r>
          <w:r>
            <w:fldChar w:fldCharType="end"/>
          </w:r>
        </w:sdtContent>
      </w:sdt>
      <w:r>
        <w:t>.  Although its source code has been available for several years, and its particularly noisy approach to gaining entry are discoverable, variations are still thriving</w:t>
      </w:r>
      <w:sdt>
        <w:sdtPr>
          <w:id w:val="282934556"/>
          <w:citation/>
        </w:sdtPr>
        <w:sdtEndPr/>
        <w:sdtContent>
          <w:r>
            <w:fldChar w:fldCharType="begin"/>
          </w:r>
          <w:r>
            <w:instrText xml:space="preserve">CITATION Kol17 \l 1033 </w:instrText>
          </w:r>
          <w:r>
            <w:fldChar w:fldCharType="separate"/>
          </w:r>
          <w:r>
            <w:rPr>
              <w:noProof/>
            </w:rPr>
            <w:t xml:space="preserve"> (Kolias, Kambourakis, Stavrou, &amp; Voas, 2017)</w:t>
          </w:r>
          <w:r>
            <w:fldChar w:fldCharType="end"/>
          </w:r>
        </w:sdtContent>
      </w:sdt>
      <w:r>
        <w:t>.  While these programs should have encouraged a movement toward security by default, the broad industry has failed to act against even this rudimentary attack.</w:t>
      </w:r>
    </w:p>
    <w:p w14:paraId="35FFE7E1" w14:textId="77777777" w:rsidR="00D37CFD" w:rsidRDefault="00D37CFD" w:rsidP="00D37CFD">
      <w:pPr>
        <w:ind w:firstLine="720"/>
      </w:pPr>
      <w:r>
        <w:t>There is an economic incentive for businesses to churn out new IoT devices with more innovative, instead of investing in security protections for those features</w:t>
      </w:r>
      <w:sdt>
        <w:sdtPr>
          <w:id w:val="-31344440"/>
          <w:citation/>
        </w:sdtPr>
        <w:sdtEnd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For many retail markets, the customer makes purchasing decisions predominantly on which product has the most features at the lowest price.  Meanwhile, devices such as 8-bit micro-controllers, </w:t>
      </w:r>
      <w:r>
        <w:lastRenderedPageBreak/>
        <w:t>lack the computing resources necessary to support authentication, authorization, auditing, and transport encryption</w:t>
      </w:r>
      <w:sdt>
        <w:sdtPr>
          <w:id w:val="1940564546"/>
          <w:citation/>
        </w:sdtPr>
        <w:sdtEnd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device does not work.  If the customer believes that the equipment is faulty, they leave bad reviews online, contact support, and request replacements—all of which cost the business money.</w:t>
      </w:r>
    </w:p>
    <w:p w14:paraId="61D45D31" w14:textId="4C5052AD" w:rsidR="00F47BD1" w:rsidRDefault="00F47BD1" w:rsidP="00C7357C">
      <w:pPr>
        <w:pStyle w:val="Heading2"/>
      </w:pPr>
      <w:r>
        <w:t>Information</w:t>
      </w:r>
    </w:p>
    <w:p w14:paraId="408095A2" w14:textId="2D0831FE" w:rsidR="00F47BD1" w:rsidRDefault="00F47BD1" w:rsidP="00C7357C">
      <w:pPr>
        <w:pStyle w:val="Heading2"/>
      </w:pPr>
      <w:r>
        <w:t>Customers</w:t>
      </w:r>
    </w:p>
    <w:p w14:paraId="3E8368D1" w14:textId="6D05E267" w:rsidR="00F47BD1" w:rsidRDefault="00F47BD1" w:rsidP="00C7357C">
      <w:pPr>
        <w:pStyle w:val="Heading1"/>
      </w:pPr>
      <w:r>
        <w:t>Who</w:t>
      </w:r>
      <w:r w:rsidR="00C7357C">
        <w:t>m</w:t>
      </w:r>
      <w:r>
        <w:t xml:space="preserve"> are we protecting </w:t>
      </w:r>
      <w:proofErr w:type="gramStart"/>
      <w:r>
        <w:t>against</w:t>
      </w:r>
      <w:proofErr w:type="gramEnd"/>
    </w:p>
    <w:p w14:paraId="49C41E61" w14:textId="1B2C7905" w:rsidR="00F47BD1" w:rsidRDefault="00F47BD1" w:rsidP="00C7357C">
      <w:pPr>
        <w:pStyle w:val="Heading2"/>
      </w:pPr>
      <w:r>
        <w:t>Negligence</w:t>
      </w:r>
    </w:p>
    <w:p w14:paraId="142B6D51" w14:textId="6C37B9A7" w:rsidR="003B150F" w:rsidRPr="003B150F" w:rsidRDefault="003B150F" w:rsidP="003B150F">
      <w:pPr>
        <w:ind w:firstLine="720"/>
      </w:pPr>
      <w:r>
        <w:t>When we step back and look at the numbers, half of the attacks target technology assets explicitly, such as probing for cross-site scripting bugs in our websites. The next quarter comes from humans interacting with hostile automation, e.g., phishing attacks and malicious mobile apps, and the final quarter from erroneous behaviors.  These figures suggest that creating a more security-aware culture could remove nearly half of the attack surface and strengthen business continuity</w:t>
      </w:r>
      <w:sdt>
        <w:sdtPr>
          <w:id w:val="-176345196"/>
          <w:citation/>
        </w:sdtPr>
        <w:sdtEndPr/>
        <w:sdtContent>
          <w:r>
            <w:fldChar w:fldCharType="begin"/>
          </w:r>
          <w:r>
            <w:instrText xml:space="preserve"> CITATION Val17 \l 1033 </w:instrText>
          </w:r>
          <w:r>
            <w:fldChar w:fldCharType="separate"/>
          </w:r>
          <w:r>
            <w:rPr>
              <w:noProof/>
            </w:rPr>
            <w:t xml:space="preserve"> (Valiente, 2017)</w:t>
          </w:r>
          <w:r>
            <w:fldChar w:fldCharType="end"/>
          </w:r>
        </w:sdtContent>
      </w:sdt>
      <w:r>
        <w:t>.  For instance, when network engineers understand risk management, they create features that consider scalability and availability during the design versus after the solution has failed</w:t>
      </w:r>
      <w:sdt>
        <w:sdtPr>
          <w:id w:val="-1995089459"/>
          <w:citation/>
        </w:sdtPr>
        <w:sdtEndPr/>
        <w:sdtContent>
          <w:r w:rsidR="00CE072C">
            <w:fldChar w:fldCharType="begin"/>
          </w:r>
          <w:r w:rsidR="00CE072C">
            <w:instrText xml:space="preserve">CITATION Mic15 \l 1033 </w:instrText>
          </w:r>
          <w:r w:rsidR="00CE072C">
            <w:fldChar w:fldCharType="separate"/>
          </w:r>
          <w:r w:rsidR="00CE072C">
            <w:rPr>
              <w:noProof/>
            </w:rPr>
            <w:t xml:space="preserve"> (Mickens, 2015)</w:t>
          </w:r>
          <w:r w:rsidR="00CE072C">
            <w:fldChar w:fldCharType="end"/>
          </w:r>
        </w:sdtContent>
      </w:sdt>
      <w:r>
        <w:t>.  It is too late to discuss service redundancies and fail-over technologies after the service is offline, or least privileges after a support technician accidentally corrupts customer data.  These challenges will continue to occur until there is sufficient awareness, and team members understand the damage that follows their actions.  If we can at least stop the good guys doing bad stuff, the organization would be in a much better position.</w:t>
      </w:r>
    </w:p>
    <w:p w14:paraId="0339D144" w14:textId="167CB8A4" w:rsidR="00F47BD1" w:rsidRDefault="00F47BD1" w:rsidP="00C7357C">
      <w:pPr>
        <w:pStyle w:val="Heading2"/>
      </w:pPr>
      <w:r>
        <w:t>International actors</w:t>
      </w:r>
    </w:p>
    <w:p w14:paraId="174EDC0B" w14:textId="15CB777E" w:rsidR="00F47BD1" w:rsidRDefault="00F47BD1" w:rsidP="00C7357C">
      <w:pPr>
        <w:pStyle w:val="Heading2"/>
      </w:pPr>
      <w:r>
        <w:lastRenderedPageBreak/>
        <w:t>Hackers/Hac</w:t>
      </w:r>
      <w:r w:rsidR="00C7357C">
        <w:t>k</w:t>
      </w:r>
      <w:r>
        <w:t>tivist</w:t>
      </w:r>
    </w:p>
    <w:p w14:paraId="584C4A87" w14:textId="2EA195F1" w:rsidR="00F47BD1" w:rsidRDefault="00F47BD1" w:rsidP="00C7357C">
      <w:pPr>
        <w:pStyle w:val="Heading1"/>
      </w:pPr>
      <w:r>
        <w:t xml:space="preserve">How are they attacking </w:t>
      </w:r>
      <w:proofErr w:type="gramStart"/>
      <w:r>
        <w:t>us</w:t>
      </w:r>
      <w:proofErr w:type="gramEnd"/>
    </w:p>
    <w:p w14:paraId="5157DE0E" w14:textId="1CE5787C" w:rsidR="00F47BD1" w:rsidRDefault="00F47BD1" w:rsidP="00C7357C">
      <w:pPr>
        <w:pStyle w:val="Heading2"/>
      </w:pPr>
      <w:r>
        <w:t>Ransomware</w:t>
      </w:r>
      <w:r w:rsidR="00F96CB0">
        <w:t xml:space="preserve"> and Malware</w:t>
      </w:r>
    </w:p>
    <w:p w14:paraId="3D9D9315" w14:textId="0FE195BE" w:rsidR="00F96CB0" w:rsidRDefault="00F96CB0" w:rsidP="00F96CB0">
      <w:pPr>
        <w:ind w:firstLine="720"/>
      </w:pPr>
      <w:r>
        <w:t>Malicious software, or malware, are applications that compromise the confidentiality, integrity, or availability of a system.  These programs infect systems via email, file-sharing services, browser vulnerabilities, spoofed resources, and misconfigured services</w:t>
      </w:r>
      <w:sdt>
        <w:sdtPr>
          <w:id w:val="-2059923441"/>
          <w:citation/>
        </w:sdtPr>
        <w:sdtEndPr/>
        <w:sdtContent>
          <w:r>
            <w:fldChar w:fldCharType="begin"/>
          </w:r>
          <w:r>
            <w:instrText xml:space="preserve"> CITATION Lee17 \l 1033 </w:instrText>
          </w:r>
          <w:r>
            <w:fldChar w:fldCharType="separate"/>
          </w:r>
          <w:r>
            <w:rPr>
              <w:noProof/>
            </w:rPr>
            <w:t xml:space="preserve"> (Lee et al., 2017)</w:t>
          </w:r>
          <w:r>
            <w:fldChar w:fldCharType="end"/>
          </w:r>
        </w:sdtContent>
      </w:sdt>
      <w:r>
        <w:t>.  It can be challenging to 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42095713"/>
          <w:citation/>
        </w:sdtPr>
        <w:sdtEndPr/>
        <w:sdtContent>
          <w:r w:rsidR="00093786">
            <w:fldChar w:fldCharType="begin"/>
          </w:r>
          <w:r w:rsidR="00093786">
            <w:instrText xml:space="preserve"> CITATION The17 \l 1033 </w:instrText>
          </w:r>
          <w:r w:rsidR="00093786">
            <w:fldChar w:fldCharType="separate"/>
          </w:r>
          <w:r w:rsidR="00093786">
            <w:rPr>
              <w:noProof/>
            </w:rPr>
            <w:t xml:space="preserve"> (Busdicker &amp; Upendra, 2017)</w:t>
          </w:r>
          <w:r w:rsidR="00093786">
            <w:fldChar w:fldCharType="end"/>
          </w:r>
        </w:sdtContent>
      </w:sdt>
      <w:r>
        <w:t xml:space="preserve">.  Since malware comes from different vectors with varying objectives, </w:t>
      </w:r>
      <w:proofErr w:type="gramStart"/>
      <w:r>
        <w:t>detecting</w:t>
      </w:r>
      <w:proofErr w:type="gramEnd"/>
      <w:r>
        <w:t xml:space="preserve"> and preventing all scenarios is nearly impossible.  Even with protection against all known scenarios, criminal social networks have easy access to exploitation packages and zero-day vulnerabilities across the dark web</w:t>
      </w:r>
      <w:sdt>
        <w:sdtPr>
          <w:id w:val="1118097184"/>
          <w:citation/>
        </w:sdtPr>
        <w:sdtEndPr/>
        <w:sdtContent>
          <w:r>
            <w:fldChar w:fldCharType="begin"/>
          </w:r>
          <w:r>
            <w:instrText xml:space="preserve"> CITATION Eri181 \l 1033 </w:instrText>
          </w:r>
          <w:r>
            <w:fldChar w:fldCharType="separate"/>
          </w:r>
          <w:r>
            <w:rPr>
              <w:noProof/>
            </w:rPr>
            <w:t xml:space="preserve"> (Ericsson et al., 2018)</w:t>
          </w:r>
          <w:r>
            <w:fldChar w:fldCharType="end"/>
          </w:r>
        </w:sdtContent>
      </w:sdt>
      <w:r>
        <w:t>.  Given the availability of 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063F8FD8" w14:textId="21F778B6" w:rsidR="00F47BD1" w:rsidRDefault="00F47BD1" w:rsidP="00C7357C">
      <w:pPr>
        <w:pStyle w:val="Heading2"/>
      </w:pPr>
      <w:r>
        <w:t>Zero Days</w:t>
      </w:r>
    </w:p>
    <w:p w14:paraId="2DDE9052" w14:textId="4E536817" w:rsidR="00EF1AD6" w:rsidRDefault="00EF1AD6" w:rsidP="00EF1AD6"/>
    <w:p w14:paraId="70CD0D13" w14:textId="77777777" w:rsidR="00EF1AD6" w:rsidRPr="00EF1AD6" w:rsidRDefault="00EF1AD6" w:rsidP="00EF1AD6"/>
    <w:p w14:paraId="2EE15CFC" w14:textId="7C97B01B" w:rsidR="00F47BD1" w:rsidRDefault="00275E97" w:rsidP="00C7357C">
      <w:pPr>
        <w:pStyle w:val="Heading2"/>
      </w:pPr>
      <w:r>
        <w:lastRenderedPageBreak/>
        <w:t>Ph</w:t>
      </w:r>
      <w:r w:rsidR="00F47BD1">
        <w:t>ishing</w:t>
      </w:r>
    </w:p>
    <w:p w14:paraId="624BFCD5" w14:textId="23A69606" w:rsidR="00275E97" w:rsidRPr="00275E97" w:rsidRDefault="00275E97" w:rsidP="00FB74F8">
      <w:pPr>
        <w:ind w:firstLine="720"/>
      </w:pPr>
      <w:r w:rsidRPr="00275E97">
        <w:t xml:space="preserve">Users interact with spoofed resources through cold-calling or name squatting scenarios, such as emails directing them to netflix.com.evil.com.  Previous security messages tell the user to look for details, like misspellings, as evidence of being fake (Proctor &amp; J, 2015).  However, this implicitly implies that perfect grammar infers being real.  When users connect to websites, training has also told them to look for the security icon, but this only means the traffic is encrypted (Hunt, 2019).  Without a consistent and reliable method to determine that a resource is genuine, the only alternative is skepticism.  For instance, when a banker calls for 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 scrolling past the advertisements to the real site.  While none of these methods are </w:t>
      </w:r>
      <w:proofErr w:type="gramStart"/>
      <w:r w:rsidRPr="00275E97">
        <w:t>fool-proof</w:t>
      </w:r>
      <w:proofErr w:type="gramEnd"/>
      <w:r w:rsidRPr="00275E97">
        <w:t>, they increase the odds of ending at the right location.</w:t>
      </w:r>
    </w:p>
    <w:p w14:paraId="08020A75" w14:textId="0ED4D89E" w:rsidR="00F47BD1" w:rsidRDefault="00D51751" w:rsidP="00C7357C">
      <w:pPr>
        <w:pStyle w:val="Heading1"/>
      </w:pPr>
      <w:r>
        <w:t>Examine Evolution of Attack Surface</w:t>
      </w:r>
    </w:p>
    <w:p w14:paraId="6CE50130" w14:textId="77777777" w:rsidR="00323386" w:rsidRDefault="00323386" w:rsidP="00323386">
      <w:pPr>
        <w:pStyle w:val="Heading2"/>
      </w:pPr>
      <w:r>
        <w:t xml:space="preserve">Abstract Borders, Cloud, and </w:t>
      </w:r>
      <w:proofErr w:type="spellStart"/>
      <w:r>
        <w:t>XaaS</w:t>
      </w:r>
      <w:proofErr w:type="spellEnd"/>
    </w:p>
    <w:p w14:paraId="286B7D09" w14:textId="77777777" w:rsidR="00323386" w:rsidRPr="006F6C46" w:rsidRDefault="00323386" w:rsidP="00323386">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End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610128432"/>
          <w:citation/>
        </w:sdtPr>
        <w:sdtEndPr/>
        <w:sdtContent>
          <w:r>
            <w:fldChar w:fldCharType="begin"/>
          </w:r>
          <w:r>
            <w:instrText xml:space="preserve"> CITATION Pal20 \l 1033 </w:instrText>
          </w:r>
          <w:r>
            <w:fldChar w:fldCharType="separate"/>
          </w:r>
          <w:r>
            <w:rPr>
              <w:noProof/>
            </w:rPr>
            <w:t xml:space="preserve"> (Paller, Mahalik, Skoudis, &amp; Ullrich, </w:t>
          </w:r>
          <w:r>
            <w:rPr>
              <w:noProof/>
            </w:rPr>
            <w:lastRenderedPageBreak/>
            <w:t>2020)</w:t>
          </w:r>
          <w:r>
            <w:fldChar w:fldCharType="end"/>
          </w:r>
        </w:sdtContent>
      </w:sdt>
      <w:r>
        <w:t>.  For instance, 40% of enterprises are in the process of uplifting mission-critical services, like identity and authorization, into third-party providers</w:t>
      </w:r>
      <w:sdt>
        <w:sdtPr>
          <w:id w:val="-1170865780"/>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1BB2AF17" w14:textId="77777777" w:rsidR="00EA62CE" w:rsidRDefault="00EA62CE" w:rsidP="00EA62CE">
      <w:pPr>
        <w:pStyle w:val="Heading2"/>
      </w:pPr>
      <w:r>
        <w:t>Globalization Considerations</w:t>
      </w:r>
    </w:p>
    <w:p w14:paraId="30F3B4F0" w14:textId="77777777" w:rsidR="00EA62CE" w:rsidRDefault="00EA62CE" w:rsidP="00EA62CE">
      <w:pPr>
        <w:pStyle w:val="Heading3"/>
      </w:pPr>
      <w:r>
        <w:t>Geography and Sovereignty</w:t>
      </w:r>
    </w:p>
    <w:p w14:paraId="10711BC7" w14:textId="77777777" w:rsidR="00EA62CE" w:rsidRDefault="00EA62CE" w:rsidP="00EA62CE">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EndPr/>
        <w:sdtContent>
          <w:r>
            <w:fldChar w:fldCharType="begin"/>
          </w:r>
          <w:r>
            <w:instrText xml:space="preserve"> CITATION Ink15 \l 1033 </w:instrText>
          </w:r>
          <w:r>
            <w:fldChar w:fldCharType="separate"/>
          </w:r>
          <w:r>
            <w:rPr>
              <w:noProof/>
            </w:rPr>
            <w:t xml:space="preserve"> (Inkster, 2015)</w:t>
          </w:r>
          <w:r>
            <w:fldChar w:fldCharType="end"/>
          </w:r>
        </w:sdtContent>
      </w:sdt>
      <w:r>
        <w:t>.  These competing requirements cause national security policies to make trade-offs between government control, societal freedoms, and rights of international actors</w:t>
      </w:r>
      <w:sdt>
        <w:sdtPr>
          <w:id w:val="-1713567013"/>
          <w:citation/>
        </w:sdtPr>
        <w:sdtEndPr/>
        <w:sdtContent>
          <w:r>
            <w:fldChar w:fldCharType="begin"/>
          </w:r>
          <w:r>
            <w:instrText xml:space="preserve">CITATION Kov181 \l 1033 </w:instrText>
          </w:r>
          <w:r>
            <w:fldChar w:fldCharType="separate"/>
          </w:r>
          <w:r>
            <w:rPr>
              <w:noProof/>
            </w:rPr>
            <w:t xml:space="preserve"> (Kovacs,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behavioral norms.  For instance, the European Union (EU) believes that building a digital economy begins with user privacy</w:t>
      </w:r>
      <w:sdt>
        <w:sdtPr>
          <w:id w:val="1204747218"/>
          <w:citation/>
        </w:sdtPr>
        <w:sdtEndPr/>
        <w:sdtContent>
          <w:r>
            <w:fldChar w:fldCharType="begin"/>
          </w:r>
          <w:r>
            <w:instrText xml:space="preserve">CITATION Kov18 \l 1033 </w:instrText>
          </w:r>
          <w:r>
            <w:fldChar w:fldCharType="separate"/>
          </w:r>
          <w:r>
            <w:rPr>
              <w:noProof/>
            </w:rPr>
            <w:t xml:space="preserve"> (Kovacs, Cyber Security Policy and Strategy in the European Union and NATO, 2017)</w:t>
          </w:r>
          <w:r>
            <w:fldChar w:fldCharType="end"/>
          </w:r>
        </w:sdtContent>
      </w:sdt>
      <w:r>
        <w:t xml:space="preserve">.  While the EU's Global Data Protection Regulations (GDPR) mandates severe penalties for negligence, like data breaches, authoritarian countries such as Russia are more </w:t>
      </w:r>
      <w:proofErr w:type="gramStart"/>
      <w:r>
        <w:t>laisse-fair</w:t>
      </w:r>
      <w:proofErr w:type="gramEnd"/>
      <w:r>
        <w:t xml:space="preserve">.  These value </w:t>
      </w:r>
      <w:r>
        <w:lastRenderedPageBreak/>
        <w:t>differences appear in other aspects like the transparency to share evidence or assist with criminal investigations.</w:t>
      </w:r>
    </w:p>
    <w:p w14:paraId="5E436ACC" w14:textId="77777777" w:rsidR="00EA62CE" w:rsidRDefault="00EA62CE" w:rsidP="00EA62CE">
      <w:pPr>
        <w:pStyle w:val="Heading3"/>
      </w:pPr>
      <w:r w:rsidRPr="00DE5203">
        <w:t>Cyberespionage</w:t>
      </w:r>
      <w:r>
        <w:t xml:space="preserve">  </w:t>
      </w:r>
    </w:p>
    <w:p w14:paraId="5B64F537" w14:textId="77777777" w:rsidR="00EA62CE" w:rsidRDefault="00EA62CE" w:rsidP="00EA62CE">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EndPr/>
        <w:sdtContent>
          <w:r>
            <w:fldChar w:fldCharType="begin"/>
          </w:r>
          <w:r>
            <w:instrText xml:space="preserve"> CITATION Ben19 \l 1033 </w:instrText>
          </w:r>
          <w:r>
            <w:fldChar w:fldCharType="separate"/>
          </w:r>
          <w:r>
            <w:rPr>
              <w:noProof/>
            </w:rPr>
            <w:t xml:space="preserve"> (Bensinger, 2019)</w:t>
          </w:r>
          <w:r>
            <w:fldChar w:fldCharType="end"/>
          </w:r>
        </w:sdtContent>
      </w:sdt>
      <w:r>
        <w:t>.  When the same theft occurs across international borders, jurisdiction becomes less clear and is more challenging to enforce.  Participants in these hostile markets need to be aware that espionage comes from various sources, such as individual hackers and nation-states</w:t>
      </w:r>
      <w:r w:rsidRPr="00351795">
        <w:t xml:space="preserve"> </w:t>
      </w:r>
      <w:sdt>
        <w:sdtPr>
          <w:id w:val="1776277824"/>
          <w:citation/>
        </w:sdtPr>
        <w:sdtEndPr/>
        <w:sdtContent>
          <w:r>
            <w:fldChar w:fldCharType="begin"/>
          </w:r>
          <w:r>
            <w:instrText xml:space="preserve"> CITATION Kre19 \l 1033 </w:instrText>
          </w:r>
          <w:r>
            <w:fldChar w:fldCharType="separate"/>
          </w:r>
          <w:r>
            <w:rPr>
              <w:noProof/>
            </w:rPr>
            <w:t>(Krebs, 2019)</w:t>
          </w:r>
          <w:r>
            <w:fldChar w:fldCharType="end"/>
          </w:r>
        </w:sdtContent>
      </w:sdt>
      <w:r>
        <w:t>.  International law does not prohibit these nation-states spying, Article 51 of the United Nations charter even allows it under the disguise of self-defense</w:t>
      </w:r>
      <w:sdt>
        <w:sdtPr>
          <w:id w:val="-1288509646"/>
          <w:citation/>
        </w:sdtPr>
        <w:sdtEndPr/>
        <w:sdtContent>
          <w:r>
            <w:fldChar w:fldCharType="begin"/>
          </w:r>
          <w:r>
            <w:instrText xml:space="preserve"> CITATION Ban17 \l 1033 </w:instrText>
          </w:r>
          <w:r>
            <w:fldChar w:fldCharType="separate"/>
          </w:r>
          <w:r>
            <w:rPr>
              <w:noProof/>
            </w:rPr>
            <w:t xml:space="preserve"> (Banks, 2017)</w:t>
          </w:r>
          <w:r>
            <w:fldChar w:fldCharType="end"/>
          </w:r>
        </w:sdtContent>
      </w:sdt>
      <w:r>
        <w:t xml:space="preserve">.  Some states argue that different rules should exist for monitoring public and private institutions.  </w:t>
      </w:r>
      <w:r w:rsidRPr="003A5B56">
        <w:t>However, this perspective employs a very Western vie</w:t>
      </w:r>
      <w:r>
        <w:t>w</w:t>
      </w:r>
      <w:r w:rsidRPr="003A5B56">
        <w:t xml:space="preserve">.  For socialist countries, the distinction is </w:t>
      </w:r>
      <w:r>
        <w:t>fuzzier</w:t>
      </w:r>
      <w:r w:rsidRPr="003A5B56">
        <w:t xml:space="preserve"> than a pure</w:t>
      </w:r>
      <w:r>
        <w:t>ly</w:t>
      </w:r>
      <w:r w:rsidRPr="003A5B56">
        <w:t xml:space="preserve"> cap</w:t>
      </w:r>
      <w:r>
        <w:t>it</w:t>
      </w:r>
      <w:r w:rsidRPr="003A5B56">
        <w:t xml:space="preserve">alist society </w:t>
      </w:r>
      <w:r>
        <w:t>as the boundary between the industries lacks a consistent definition.</w:t>
      </w:r>
    </w:p>
    <w:p w14:paraId="4B202867" w14:textId="77777777" w:rsidR="00EA62CE" w:rsidRDefault="00EA62CE" w:rsidP="00EA62CE">
      <w:pPr>
        <w:pStyle w:val="Heading3"/>
      </w:pPr>
      <w:r>
        <w:t>Cyber sabotage</w:t>
      </w:r>
    </w:p>
    <w:p w14:paraId="2BBAE710" w14:textId="77777777" w:rsidR="00EA62CE" w:rsidRDefault="00EA62CE" w:rsidP="00EA62CE">
      <w:pPr>
        <w:ind w:firstLine="720"/>
      </w:pPr>
      <w:r>
        <w:t>Using technologies like ransomware, malicious software that encrypts digital devices, nefarious actors can force an organization to purchase decryption keys before restoring service</w:t>
      </w:r>
      <w:sdt>
        <w:sdtPr>
          <w:id w:val="-1274085217"/>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EndPr/>
        <w:sdtContent>
          <w:r>
            <w:fldChar w:fldCharType="begin"/>
          </w:r>
          <w:r>
            <w:instrText xml:space="preserve"> CITATION Fis17 \l 1033 </w:instrText>
          </w:r>
          <w:r>
            <w:fldChar w:fldCharType="separate"/>
          </w:r>
          <w:r>
            <w:rPr>
              <w:noProof/>
            </w:rPr>
            <w:t>(Fischerkeller &amp; Harknett, 217)</w:t>
          </w:r>
          <w:r>
            <w:fldChar w:fldCharType="end"/>
          </w:r>
        </w:sdtContent>
      </w:sdt>
      <w:r>
        <w:t xml:space="preserve">.  Technological solutions like deploying applications across multiple Public Cloud Service Provider (CSP) data centers can minimize the </w:t>
      </w:r>
      <w:r>
        <w:lastRenderedPageBreak/>
        <w:t>influence of DoS attacks.  However, these same legal protections do not uniformly exist across the globe, and regulations around data placement can limit the accessibility of flexible fail-over solutions.</w:t>
      </w:r>
    </w:p>
    <w:p w14:paraId="3C3F1D04" w14:textId="77777777" w:rsidR="00EA62CE" w:rsidRDefault="00EA62CE" w:rsidP="00EA62CE">
      <w:pPr>
        <w:pStyle w:val="Heading3"/>
      </w:pPr>
      <w:r>
        <w:t>Subversion</w:t>
      </w:r>
    </w:p>
    <w:p w14:paraId="5C48F1E0" w14:textId="77777777" w:rsidR="00EA62CE" w:rsidRPr="00077C00" w:rsidRDefault="00EA62CE" w:rsidP="00EA62CE">
      <w:pPr>
        <w:ind w:firstLine="720"/>
      </w:pPr>
      <w:r>
        <w:t>The international community does not agree on the strict definition of what constitutes a cyber-attack</w:t>
      </w:r>
      <w:sdt>
        <w:sdtPr>
          <w:id w:val="567532436"/>
          <w:citation/>
        </w:sdtPr>
        <w:sdtEnd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These differences influence auditing and compliance requirements between countries and prevent direct comparisons across policies or statistics</w:t>
      </w:r>
      <w:sdt>
        <w:sdtPr>
          <w:id w:val="-1995171479"/>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"A" claims to be more secure than "B." Without a carrot or stick, how can a domestic company ensure security incidents are timely and accurately communicated?  Imagine the challenges with less reputable </w:t>
      </w:r>
      <w:proofErr w:type="gramStart"/>
      <w:r>
        <w:t>entities, if</w:t>
      </w:r>
      <w:proofErr w:type="gramEnd"/>
      <w:r>
        <w:t xml:space="preserve"> these are the risks with legitimate partners.</w:t>
      </w:r>
    </w:p>
    <w:p w14:paraId="4B8A5D79" w14:textId="77777777" w:rsidR="00323386" w:rsidRDefault="00323386" w:rsidP="00323386">
      <w:pPr>
        <w:pStyle w:val="Heading2"/>
      </w:pPr>
      <w:r>
        <w:t>IoT</w:t>
      </w:r>
    </w:p>
    <w:p w14:paraId="1630D5A8" w14:textId="77777777" w:rsidR="00323386" w:rsidRDefault="00323386" w:rsidP="00323386">
      <w:pPr>
        <w:ind w:firstLine="720"/>
      </w:pPr>
      <w:r>
        <w:t xml:space="preserve">The Internet of Things (IoT) represents the next evolutionary step in communication and system connectivity.  Naïve outsiders see this industry as a series of gimmicks, Apple watches, and smart toasters.  Those statements are true, but more importantly, it also creates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w:t>
      </w:r>
      <w:r>
        <w:lastRenderedPageBreak/>
        <w:t xml:space="preserve">across this bridge, it enables organizations to execute expert workflows autonomously and </w:t>
      </w:r>
      <w:r w:rsidRPr="0047463E">
        <w:t>prevent costly failures</w:t>
      </w:r>
      <w:r>
        <w:t>.  However, many challenges exist around ensuring the confidentiality, integrity, and availability (CIA) of all participants of this system.</w:t>
      </w:r>
    </w:p>
    <w:p w14:paraId="6A815AAE" w14:textId="77777777" w:rsidR="00323386" w:rsidRPr="00CE072C" w:rsidRDefault="00323386" w:rsidP="00323386"/>
    <w:p w14:paraId="6D87D047" w14:textId="2FC6E714" w:rsidR="00F47BD1" w:rsidRDefault="00F47BD1" w:rsidP="00C7357C">
      <w:pPr>
        <w:pStyle w:val="Heading1"/>
      </w:pPr>
      <w:r>
        <w:t>Prioritizing Risk Management</w:t>
      </w:r>
    </w:p>
    <w:p w14:paraId="785BDA1C" w14:textId="528DB679" w:rsidR="006F6C46" w:rsidRDefault="00F47BD1" w:rsidP="00BC4BDF">
      <w:pPr>
        <w:ind w:firstLine="720"/>
      </w:pPr>
      <w:r>
        <w:t>Finite resources</w:t>
      </w:r>
      <w:r w:rsidR="006F6C46" w:rsidRPr="006F6C46">
        <w:t xml:space="preserve"> </w:t>
      </w:r>
      <w:r w:rsidR="006F6C46">
        <w:t xml:space="preserve">Translating the protection requirements into security implementations have a wide range of maturity levels that could follow a good, better, best approach.  Ideally, Hi-Tech would only follow the </w:t>
      </w:r>
      <w:proofErr w:type="gramStart"/>
      <w:r w:rsidR="006F6C46">
        <w:t>most strict</w:t>
      </w:r>
      <w:proofErr w:type="gramEnd"/>
      <w:r w:rsidR="006F6C46">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annually—though the labor costs are too high for monthly cadences.  In many scenarios, choosing a security investment is not binary (do everything versus do nothing).  Instead, the purchase can be in the middle and follow a phased release</w:t>
      </w:r>
      <w:sdt>
        <w:sdtPr>
          <w:id w:val="594208851"/>
          <w:citation/>
        </w:sdtPr>
        <w:sdtEndPr/>
        <w:sdtContent>
          <w:r w:rsidR="006F6C46">
            <w:fldChar w:fldCharType="begin"/>
          </w:r>
          <w:r w:rsidR="006F6C46">
            <w:instrText xml:space="preserve"> CITATION Gor15 \l 1033 </w:instrText>
          </w:r>
          <w:r w:rsidR="006F6C46">
            <w:fldChar w:fldCharType="separate"/>
          </w:r>
          <w:r w:rsidR="006F6C46">
            <w:rPr>
              <w:noProof/>
            </w:rPr>
            <w:t xml:space="preserve"> (Gordon, Loeb, Lucyshyn, &amp; Zhou, 2015)</w:t>
          </w:r>
          <w:r w:rsidR="006F6C46">
            <w:fldChar w:fldCharType="end"/>
          </w:r>
        </w:sdtContent>
      </w:sdt>
      <w:r w:rsidR="006F6C46">
        <w:t>.  This approach could divide the upgrade task into subgroups based on the criticality, like safety systems versus temperature sensors.  Each subgroup can feed into the prioritization discussion, perhaps resulting in safety systems landing on a quarterly upgrade cycle, and the less critical sensors remain on an annual cycle.  This decomposition of large bodies of work keeps the costs down and enables more focused efforts.</w:t>
      </w:r>
    </w:p>
    <w:p w14:paraId="76CB5370" w14:textId="77777777" w:rsidR="006F6C46" w:rsidRDefault="006F6C46" w:rsidP="006F6C46">
      <w:pPr>
        <w:ind w:firstLine="720"/>
      </w:pPr>
      <w:r>
        <w:t>Vulnerabilities exist at the intersect of three conditions. "</w:t>
      </w:r>
      <w:r w:rsidRPr="0036284C">
        <w:t>(1) system susceptibility, such as a design or implementation flaw; (2) threat accessibility, such as system access points or services; (3) threat capability, such as an opponent with the knowledge and resources to discover, access, and exploit a flaw</w:t>
      </w:r>
      <w:r>
        <w:t>"</w:t>
      </w:r>
      <w:sdt>
        <w:sdtPr>
          <w:id w:val="-1120222829"/>
          <w:citation/>
        </w:sdtPr>
        <w:sdtEnd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t xml:space="preserve">.  Often, it can be more economical to address one of the other criteria than the underlying problem.  For instance, the </w:t>
      </w:r>
      <w:r>
        <w:lastRenderedPageBreak/>
        <w:t xml:space="preserve">IoT temperature sensors have a well-known remote command execution defect in the File Transfer Protocol (FTP) daemon.  If Hi-Tech does not rely on this functionality, then merely blocking access at the network switch level removes the issue.  Another vulnerability exists in the Telnet daemon communicating in </w:t>
      </w:r>
      <w:proofErr w:type="gramStart"/>
      <w:r>
        <w:t>plain-text</w:t>
      </w:r>
      <w:proofErr w:type="gramEnd"/>
      <w:r>
        <w:t>.  Similarly, the administrators can place those interactions on a Virtual Local Area Network (VLAN) to limit access.</w:t>
      </w:r>
    </w:p>
    <w:p w14:paraId="714CE5D9" w14:textId="0A5426CC" w:rsidR="006F6C46" w:rsidRDefault="006F6C46" w:rsidP="006F6C46">
      <w:pPr>
        <w:ind w:firstLine="720"/>
      </w:pPr>
      <w:r>
        <w:t xml:space="preserve">There can be political pushback that some protections come with a cure worse than the </w:t>
      </w:r>
      <w:r w:rsidRPr="00105B96">
        <w:t>disease</w:t>
      </w:r>
      <w:r>
        <w:t>.  Hi-Tech would desire that leadership signs off on every work order, which is not feasible given the competing demands for time.  Some staff members are aware of an override code to bypass this requirement and get the invoices out the door.  While the rule intends to ensure that invoices are complete and promote accountability, it also causes a bottleneck that impedes timely delivery.  On the one hand, the security team could remove the bypass feature, but this introduces additional work for the team.  Approaching the prioritization of these scenarios requires a gentle touch, as security enables the business, not the other way around</w:t>
      </w:r>
      <w:sdt>
        <w:sdtPr>
          <w:id w:val="1583720909"/>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Instead, a conversation could begin with senior leadership to understand if the previous decision still makes sense.  If the idea is valid, perhaps minor tweaks can maintain the central concept under more amenable terms.</w:t>
      </w:r>
    </w:p>
    <w:p w14:paraId="3EE28216" w14:textId="4A83571A" w:rsidR="00B129F7" w:rsidRDefault="006F6C46" w:rsidP="00FC21FE">
      <w:r>
        <w:tab/>
        <w:t>Another challenge comes from balancing security over the rapid development of new features</w:t>
      </w:r>
      <w:sdt>
        <w:sdtPr>
          <w:id w:val="-2110953603"/>
          <w:citation/>
        </w:sdtPr>
        <w:sdtEnd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divorced from this cadence, there is a high risk to existing business commitments.  While the senior leadership team might be willing to accept those scheduling challenges, it puts unnecessary stress on the teams.  For instance, postponing the release might </w:t>
      </w:r>
      <w:r>
        <w:lastRenderedPageBreak/>
        <w:t>delay a big customer onboarding into the platform.  Ultimately these decisions are trading one set of risks for another.</w:t>
      </w:r>
    </w:p>
    <w:sectPr w:rsidR="00B129F7"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F7853" w14:textId="77777777" w:rsidR="00C93581" w:rsidRDefault="00C93581" w:rsidP="0082223F">
      <w:pPr>
        <w:spacing w:line="240" w:lineRule="auto"/>
      </w:pPr>
      <w:r>
        <w:separator/>
      </w:r>
    </w:p>
  </w:endnote>
  <w:endnote w:type="continuationSeparator" w:id="0">
    <w:p w14:paraId="1DDC4D0B" w14:textId="77777777" w:rsidR="00C93581" w:rsidRDefault="00C9358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FD9DE" w14:textId="77777777" w:rsidR="00C93581" w:rsidRDefault="00C93581" w:rsidP="0082223F">
      <w:pPr>
        <w:spacing w:line="240" w:lineRule="auto"/>
      </w:pPr>
      <w:r>
        <w:separator/>
      </w:r>
    </w:p>
  </w:footnote>
  <w:footnote w:type="continuationSeparator" w:id="0">
    <w:p w14:paraId="756EC7AA" w14:textId="77777777" w:rsidR="00C93581" w:rsidRDefault="00C9358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5249242" w:rsidR="00877007" w:rsidRDefault="00877007" w:rsidP="00877007">
    <w:pPr>
      <w:pStyle w:val="Header"/>
    </w:pPr>
    <w:r w:rsidRPr="00877007">
      <w:t>TIM-8301: PRINCIPALS OF CYBERSECURITY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93786"/>
    <w:rsid w:val="00183597"/>
    <w:rsid w:val="001C78B2"/>
    <w:rsid w:val="00275E97"/>
    <w:rsid w:val="002806B7"/>
    <w:rsid w:val="00323386"/>
    <w:rsid w:val="003B150F"/>
    <w:rsid w:val="003C04D6"/>
    <w:rsid w:val="003F4714"/>
    <w:rsid w:val="00401D65"/>
    <w:rsid w:val="004223E8"/>
    <w:rsid w:val="004957FF"/>
    <w:rsid w:val="004A784B"/>
    <w:rsid w:val="005263AD"/>
    <w:rsid w:val="005B7079"/>
    <w:rsid w:val="00665CB6"/>
    <w:rsid w:val="006D793E"/>
    <w:rsid w:val="006F6C46"/>
    <w:rsid w:val="0073677D"/>
    <w:rsid w:val="0082223F"/>
    <w:rsid w:val="008305D4"/>
    <w:rsid w:val="00854D29"/>
    <w:rsid w:val="00877007"/>
    <w:rsid w:val="008B5129"/>
    <w:rsid w:val="009537C8"/>
    <w:rsid w:val="009A757D"/>
    <w:rsid w:val="00A341C7"/>
    <w:rsid w:val="00AB0C2C"/>
    <w:rsid w:val="00B129F7"/>
    <w:rsid w:val="00B83AAC"/>
    <w:rsid w:val="00BC4BDF"/>
    <w:rsid w:val="00C54DC8"/>
    <w:rsid w:val="00C7357C"/>
    <w:rsid w:val="00C73692"/>
    <w:rsid w:val="00C93581"/>
    <w:rsid w:val="00C93BB7"/>
    <w:rsid w:val="00CB25E9"/>
    <w:rsid w:val="00CE072C"/>
    <w:rsid w:val="00D37CFD"/>
    <w:rsid w:val="00D51751"/>
    <w:rsid w:val="00D75C7B"/>
    <w:rsid w:val="00D85C7B"/>
    <w:rsid w:val="00DE2224"/>
    <w:rsid w:val="00EA62CE"/>
    <w:rsid w:val="00EB711D"/>
    <w:rsid w:val="00ED3713"/>
    <w:rsid w:val="00EF0959"/>
    <w:rsid w:val="00EF1AD6"/>
    <w:rsid w:val="00F47BD1"/>
    <w:rsid w:val="00F96CB0"/>
    <w:rsid w:val="00FB74F8"/>
    <w:rsid w:val="00FC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AB0C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3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 w:type="character" w:customStyle="1" w:styleId="Heading3Char">
    <w:name w:val="Heading 3 Char"/>
    <w:basedOn w:val="DefaultParagraphFont"/>
    <w:link w:val="Heading3"/>
    <w:uiPriority w:val="9"/>
    <w:rsid w:val="00AB0C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3386"/>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6738">
      <w:bodyDiv w:val="1"/>
      <w:marLeft w:val="0"/>
      <w:marRight w:val="0"/>
      <w:marTop w:val="0"/>
      <w:marBottom w:val="0"/>
      <w:divBdr>
        <w:top w:val="none" w:sz="0" w:space="0" w:color="auto"/>
        <w:left w:val="none" w:sz="0" w:space="0" w:color="auto"/>
        <w:bottom w:val="none" w:sz="0" w:space="0" w:color="auto"/>
        <w:right w:val="none" w:sz="0" w:space="0" w:color="auto"/>
      </w:divBdr>
    </w:div>
    <w:div w:id="199898347">
      <w:bodyDiv w:val="1"/>
      <w:marLeft w:val="0"/>
      <w:marRight w:val="0"/>
      <w:marTop w:val="0"/>
      <w:marBottom w:val="0"/>
      <w:divBdr>
        <w:top w:val="none" w:sz="0" w:space="0" w:color="auto"/>
        <w:left w:val="none" w:sz="0" w:space="0" w:color="auto"/>
        <w:bottom w:val="none" w:sz="0" w:space="0" w:color="auto"/>
        <w:right w:val="none" w:sz="0" w:space="0" w:color="auto"/>
      </w:divBdr>
    </w:div>
    <w:div w:id="205678534">
      <w:bodyDiv w:val="1"/>
      <w:marLeft w:val="0"/>
      <w:marRight w:val="0"/>
      <w:marTop w:val="0"/>
      <w:marBottom w:val="0"/>
      <w:divBdr>
        <w:top w:val="none" w:sz="0" w:space="0" w:color="auto"/>
        <w:left w:val="none" w:sz="0" w:space="0" w:color="auto"/>
        <w:bottom w:val="none" w:sz="0" w:space="0" w:color="auto"/>
        <w:right w:val="none" w:sz="0" w:space="0" w:color="auto"/>
      </w:divBdr>
    </w:div>
    <w:div w:id="269168491">
      <w:bodyDiv w:val="1"/>
      <w:marLeft w:val="0"/>
      <w:marRight w:val="0"/>
      <w:marTop w:val="0"/>
      <w:marBottom w:val="0"/>
      <w:divBdr>
        <w:top w:val="none" w:sz="0" w:space="0" w:color="auto"/>
        <w:left w:val="none" w:sz="0" w:space="0" w:color="auto"/>
        <w:bottom w:val="none" w:sz="0" w:space="0" w:color="auto"/>
        <w:right w:val="none" w:sz="0" w:space="0" w:color="auto"/>
      </w:divBdr>
    </w:div>
    <w:div w:id="285284719">
      <w:bodyDiv w:val="1"/>
      <w:marLeft w:val="0"/>
      <w:marRight w:val="0"/>
      <w:marTop w:val="0"/>
      <w:marBottom w:val="0"/>
      <w:divBdr>
        <w:top w:val="none" w:sz="0" w:space="0" w:color="auto"/>
        <w:left w:val="none" w:sz="0" w:space="0" w:color="auto"/>
        <w:bottom w:val="none" w:sz="0" w:space="0" w:color="auto"/>
        <w:right w:val="none" w:sz="0" w:space="0" w:color="auto"/>
      </w:divBdr>
    </w:div>
    <w:div w:id="304314937">
      <w:bodyDiv w:val="1"/>
      <w:marLeft w:val="0"/>
      <w:marRight w:val="0"/>
      <w:marTop w:val="0"/>
      <w:marBottom w:val="0"/>
      <w:divBdr>
        <w:top w:val="none" w:sz="0" w:space="0" w:color="auto"/>
        <w:left w:val="none" w:sz="0" w:space="0" w:color="auto"/>
        <w:bottom w:val="none" w:sz="0" w:space="0" w:color="auto"/>
        <w:right w:val="none" w:sz="0" w:space="0" w:color="auto"/>
      </w:divBdr>
    </w:div>
    <w:div w:id="367339990">
      <w:bodyDiv w:val="1"/>
      <w:marLeft w:val="0"/>
      <w:marRight w:val="0"/>
      <w:marTop w:val="0"/>
      <w:marBottom w:val="0"/>
      <w:divBdr>
        <w:top w:val="none" w:sz="0" w:space="0" w:color="auto"/>
        <w:left w:val="none" w:sz="0" w:space="0" w:color="auto"/>
        <w:bottom w:val="none" w:sz="0" w:space="0" w:color="auto"/>
        <w:right w:val="none" w:sz="0" w:space="0" w:color="auto"/>
      </w:divBdr>
    </w:div>
    <w:div w:id="371925175">
      <w:bodyDiv w:val="1"/>
      <w:marLeft w:val="0"/>
      <w:marRight w:val="0"/>
      <w:marTop w:val="0"/>
      <w:marBottom w:val="0"/>
      <w:divBdr>
        <w:top w:val="none" w:sz="0" w:space="0" w:color="auto"/>
        <w:left w:val="none" w:sz="0" w:space="0" w:color="auto"/>
        <w:bottom w:val="none" w:sz="0" w:space="0" w:color="auto"/>
        <w:right w:val="none" w:sz="0" w:space="0" w:color="auto"/>
      </w:divBdr>
    </w:div>
    <w:div w:id="595794422">
      <w:bodyDiv w:val="1"/>
      <w:marLeft w:val="0"/>
      <w:marRight w:val="0"/>
      <w:marTop w:val="0"/>
      <w:marBottom w:val="0"/>
      <w:divBdr>
        <w:top w:val="none" w:sz="0" w:space="0" w:color="auto"/>
        <w:left w:val="none" w:sz="0" w:space="0" w:color="auto"/>
        <w:bottom w:val="none" w:sz="0" w:space="0" w:color="auto"/>
        <w:right w:val="none" w:sz="0" w:space="0" w:color="auto"/>
      </w:divBdr>
    </w:div>
    <w:div w:id="693925799">
      <w:bodyDiv w:val="1"/>
      <w:marLeft w:val="0"/>
      <w:marRight w:val="0"/>
      <w:marTop w:val="0"/>
      <w:marBottom w:val="0"/>
      <w:divBdr>
        <w:top w:val="none" w:sz="0" w:space="0" w:color="auto"/>
        <w:left w:val="none" w:sz="0" w:space="0" w:color="auto"/>
        <w:bottom w:val="none" w:sz="0" w:space="0" w:color="auto"/>
        <w:right w:val="none" w:sz="0" w:space="0" w:color="auto"/>
      </w:divBdr>
    </w:div>
    <w:div w:id="698117467">
      <w:bodyDiv w:val="1"/>
      <w:marLeft w:val="0"/>
      <w:marRight w:val="0"/>
      <w:marTop w:val="0"/>
      <w:marBottom w:val="0"/>
      <w:divBdr>
        <w:top w:val="none" w:sz="0" w:space="0" w:color="auto"/>
        <w:left w:val="none" w:sz="0" w:space="0" w:color="auto"/>
        <w:bottom w:val="none" w:sz="0" w:space="0" w:color="auto"/>
        <w:right w:val="none" w:sz="0" w:space="0" w:color="auto"/>
      </w:divBdr>
    </w:div>
    <w:div w:id="741099923">
      <w:bodyDiv w:val="1"/>
      <w:marLeft w:val="0"/>
      <w:marRight w:val="0"/>
      <w:marTop w:val="0"/>
      <w:marBottom w:val="0"/>
      <w:divBdr>
        <w:top w:val="none" w:sz="0" w:space="0" w:color="auto"/>
        <w:left w:val="none" w:sz="0" w:space="0" w:color="auto"/>
        <w:bottom w:val="none" w:sz="0" w:space="0" w:color="auto"/>
        <w:right w:val="none" w:sz="0" w:space="0" w:color="auto"/>
      </w:divBdr>
    </w:div>
    <w:div w:id="759371757">
      <w:bodyDiv w:val="1"/>
      <w:marLeft w:val="0"/>
      <w:marRight w:val="0"/>
      <w:marTop w:val="0"/>
      <w:marBottom w:val="0"/>
      <w:divBdr>
        <w:top w:val="none" w:sz="0" w:space="0" w:color="auto"/>
        <w:left w:val="none" w:sz="0" w:space="0" w:color="auto"/>
        <w:bottom w:val="none" w:sz="0" w:space="0" w:color="auto"/>
        <w:right w:val="none" w:sz="0" w:space="0" w:color="auto"/>
      </w:divBdr>
    </w:div>
    <w:div w:id="783228064">
      <w:bodyDiv w:val="1"/>
      <w:marLeft w:val="0"/>
      <w:marRight w:val="0"/>
      <w:marTop w:val="0"/>
      <w:marBottom w:val="0"/>
      <w:divBdr>
        <w:top w:val="none" w:sz="0" w:space="0" w:color="auto"/>
        <w:left w:val="none" w:sz="0" w:space="0" w:color="auto"/>
        <w:bottom w:val="none" w:sz="0" w:space="0" w:color="auto"/>
        <w:right w:val="none" w:sz="0" w:space="0" w:color="auto"/>
      </w:divBdr>
    </w:div>
    <w:div w:id="797724651">
      <w:bodyDiv w:val="1"/>
      <w:marLeft w:val="0"/>
      <w:marRight w:val="0"/>
      <w:marTop w:val="0"/>
      <w:marBottom w:val="0"/>
      <w:divBdr>
        <w:top w:val="none" w:sz="0" w:space="0" w:color="auto"/>
        <w:left w:val="none" w:sz="0" w:space="0" w:color="auto"/>
        <w:bottom w:val="none" w:sz="0" w:space="0" w:color="auto"/>
        <w:right w:val="none" w:sz="0" w:space="0" w:color="auto"/>
      </w:divBdr>
    </w:div>
    <w:div w:id="865143389">
      <w:bodyDiv w:val="1"/>
      <w:marLeft w:val="0"/>
      <w:marRight w:val="0"/>
      <w:marTop w:val="0"/>
      <w:marBottom w:val="0"/>
      <w:divBdr>
        <w:top w:val="none" w:sz="0" w:space="0" w:color="auto"/>
        <w:left w:val="none" w:sz="0" w:space="0" w:color="auto"/>
        <w:bottom w:val="none" w:sz="0" w:space="0" w:color="auto"/>
        <w:right w:val="none" w:sz="0" w:space="0" w:color="auto"/>
      </w:divBdr>
    </w:div>
    <w:div w:id="1001544932">
      <w:bodyDiv w:val="1"/>
      <w:marLeft w:val="0"/>
      <w:marRight w:val="0"/>
      <w:marTop w:val="0"/>
      <w:marBottom w:val="0"/>
      <w:divBdr>
        <w:top w:val="none" w:sz="0" w:space="0" w:color="auto"/>
        <w:left w:val="none" w:sz="0" w:space="0" w:color="auto"/>
        <w:bottom w:val="none" w:sz="0" w:space="0" w:color="auto"/>
        <w:right w:val="none" w:sz="0" w:space="0" w:color="auto"/>
      </w:divBdr>
    </w:div>
    <w:div w:id="1014261057">
      <w:bodyDiv w:val="1"/>
      <w:marLeft w:val="0"/>
      <w:marRight w:val="0"/>
      <w:marTop w:val="0"/>
      <w:marBottom w:val="0"/>
      <w:divBdr>
        <w:top w:val="none" w:sz="0" w:space="0" w:color="auto"/>
        <w:left w:val="none" w:sz="0" w:space="0" w:color="auto"/>
        <w:bottom w:val="none" w:sz="0" w:space="0" w:color="auto"/>
        <w:right w:val="none" w:sz="0" w:space="0" w:color="auto"/>
      </w:divBdr>
    </w:div>
    <w:div w:id="1046417561">
      <w:bodyDiv w:val="1"/>
      <w:marLeft w:val="0"/>
      <w:marRight w:val="0"/>
      <w:marTop w:val="0"/>
      <w:marBottom w:val="0"/>
      <w:divBdr>
        <w:top w:val="none" w:sz="0" w:space="0" w:color="auto"/>
        <w:left w:val="none" w:sz="0" w:space="0" w:color="auto"/>
        <w:bottom w:val="none" w:sz="0" w:space="0" w:color="auto"/>
        <w:right w:val="none" w:sz="0" w:space="0" w:color="auto"/>
      </w:divBdr>
    </w:div>
    <w:div w:id="1065026814">
      <w:bodyDiv w:val="1"/>
      <w:marLeft w:val="0"/>
      <w:marRight w:val="0"/>
      <w:marTop w:val="0"/>
      <w:marBottom w:val="0"/>
      <w:divBdr>
        <w:top w:val="none" w:sz="0" w:space="0" w:color="auto"/>
        <w:left w:val="none" w:sz="0" w:space="0" w:color="auto"/>
        <w:bottom w:val="none" w:sz="0" w:space="0" w:color="auto"/>
        <w:right w:val="none" w:sz="0" w:space="0" w:color="auto"/>
      </w:divBdr>
    </w:div>
    <w:div w:id="1160076704">
      <w:bodyDiv w:val="1"/>
      <w:marLeft w:val="0"/>
      <w:marRight w:val="0"/>
      <w:marTop w:val="0"/>
      <w:marBottom w:val="0"/>
      <w:divBdr>
        <w:top w:val="none" w:sz="0" w:space="0" w:color="auto"/>
        <w:left w:val="none" w:sz="0" w:space="0" w:color="auto"/>
        <w:bottom w:val="none" w:sz="0" w:space="0" w:color="auto"/>
        <w:right w:val="none" w:sz="0" w:space="0" w:color="auto"/>
      </w:divBdr>
    </w:div>
    <w:div w:id="1231506102">
      <w:bodyDiv w:val="1"/>
      <w:marLeft w:val="0"/>
      <w:marRight w:val="0"/>
      <w:marTop w:val="0"/>
      <w:marBottom w:val="0"/>
      <w:divBdr>
        <w:top w:val="none" w:sz="0" w:space="0" w:color="auto"/>
        <w:left w:val="none" w:sz="0" w:space="0" w:color="auto"/>
        <w:bottom w:val="none" w:sz="0" w:space="0" w:color="auto"/>
        <w:right w:val="none" w:sz="0" w:space="0" w:color="auto"/>
      </w:divBdr>
    </w:div>
    <w:div w:id="1271820365">
      <w:bodyDiv w:val="1"/>
      <w:marLeft w:val="0"/>
      <w:marRight w:val="0"/>
      <w:marTop w:val="0"/>
      <w:marBottom w:val="0"/>
      <w:divBdr>
        <w:top w:val="none" w:sz="0" w:space="0" w:color="auto"/>
        <w:left w:val="none" w:sz="0" w:space="0" w:color="auto"/>
        <w:bottom w:val="none" w:sz="0" w:space="0" w:color="auto"/>
        <w:right w:val="none" w:sz="0" w:space="0" w:color="auto"/>
      </w:divBdr>
    </w:div>
    <w:div w:id="1330795355">
      <w:bodyDiv w:val="1"/>
      <w:marLeft w:val="0"/>
      <w:marRight w:val="0"/>
      <w:marTop w:val="0"/>
      <w:marBottom w:val="0"/>
      <w:divBdr>
        <w:top w:val="none" w:sz="0" w:space="0" w:color="auto"/>
        <w:left w:val="none" w:sz="0" w:space="0" w:color="auto"/>
        <w:bottom w:val="none" w:sz="0" w:space="0" w:color="auto"/>
        <w:right w:val="none" w:sz="0" w:space="0" w:color="auto"/>
      </w:divBdr>
    </w:div>
    <w:div w:id="1410466032">
      <w:bodyDiv w:val="1"/>
      <w:marLeft w:val="0"/>
      <w:marRight w:val="0"/>
      <w:marTop w:val="0"/>
      <w:marBottom w:val="0"/>
      <w:divBdr>
        <w:top w:val="none" w:sz="0" w:space="0" w:color="auto"/>
        <w:left w:val="none" w:sz="0" w:space="0" w:color="auto"/>
        <w:bottom w:val="none" w:sz="0" w:space="0" w:color="auto"/>
        <w:right w:val="none" w:sz="0" w:space="0" w:color="auto"/>
      </w:divBdr>
    </w:div>
    <w:div w:id="1492595968">
      <w:bodyDiv w:val="1"/>
      <w:marLeft w:val="0"/>
      <w:marRight w:val="0"/>
      <w:marTop w:val="0"/>
      <w:marBottom w:val="0"/>
      <w:divBdr>
        <w:top w:val="none" w:sz="0" w:space="0" w:color="auto"/>
        <w:left w:val="none" w:sz="0" w:space="0" w:color="auto"/>
        <w:bottom w:val="none" w:sz="0" w:space="0" w:color="auto"/>
        <w:right w:val="none" w:sz="0" w:space="0" w:color="auto"/>
      </w:divBdr>
    </w:div>
    <w:div w:id="1538662465">
      <w:bodyDiv w:val="1"/>
      <w:marLeft w:val="0"/>
      <w:marRight w:val="0"/>
      <w:marTop w:val="0"/>
      <w:marBottom w:val="0"/>
      <w:divBdr>
        <w:top w:val="none" w:sz="0" w:space="0" w:color="auto"/>
        <w:left w:val="none" w:sz="0" w:space="0" w:color="auto"/>
        <w:bottom w:val="none" w:sz="0" w:space="0" w:color="auto"/>
        <w:right w:val="none" w:sz="0" w:space="0" w:color="auto"/>
      </w:divBdr>
    </w:div>
    <w:div w:id="1797868261">
      <w:bodyDiv w:val="1"/>
      <w:marLeft w:val="0"/>
      <w:marRight w:val="0"/>
      <w:marTop w:val="0"/>
      <w:marBottom w:val="0"/>
      <w:divBdr>
        <w:top w:val="none" w:sz="0" w:space="0" w:color="auto"/>
        <w:left w:val="none" w:sz="0" w:space="0" w:color="auto"/>
        <w:bottom w:val="none" w:sz="0" w:space="0" w:color="auto"/>
        <w:right w:val="none" w:sz="0" w:space="0" w:color="auto"/>
      </w:divBdr>
    </w:div>
    <w:div w:id="1886989644">
      <w:bodyDiv w:val="1"/>
      <w:marLeft w:val="0"/>
      <w:marRight w:val="0"/>
      <w:marTop w:val="0"/>
      <w:marBottom w:val="0"/>
      <w:divBdr>
        <w:top w:val="none" w:sz="0" w:space="0" w:color="auto"/>
        <w:left w:val="none" w:sz="0" w:space="0" w:color="auto"/>
        <w:bottom w:val="none" w:sz="0" w:space="0" w:color="auto"/>
        <w:right w:val="none" w:sz="0" w:space="0" w:color="auto"/>
      </w:divBdr>
    </w:div>
    <w:div w:id="1898857286">
      <w:bodyDiv w:val="1"/>
      <w:marLeft w:val="0"/>
      <w:marRight w:val="0"/>
      <w:marTop w:val="0"/>
      <w:marBottom w:val="0"/>
      <w:divBdr>
        <w:top w:val="none" w:sz="0" w:space="0" w:color="auto"/>
        <w:left w:val="none" w:sz="0" w:space="0" w:color="auto"/>
        <w:bottom w:val="none" w:sz="0" w:space="0" w:color="auto"/>
        <w:right w:val="none" w:sz="0" w:space="0" w:color="auto"/>
      </w:divBdr>
    </w:div>
    <w:div w:id="1973562285">
      <w:bodyDiv w:val="1"/>
      <w:marLeft w:val="0"/>
      <w:marRight w:val="0"/>
      <w:marTop w:val="0"/>
      <w:marBottom w:val="0"/>
      <w:divBdr>
        <w:top w:val="none" w:sz="0" w:space="0" w:color="auto"/>
        <w:left w:val="none" w:sz="0" w:space="0" w:color="auto"/>
        <w:bottom w:val="none" w:sz="0" w:space="0" w:color="auto"/>
        <w:right w:val="none" w:sz="0" w:space="0" w:color="auto"/>
      </w:divBdr>
    </w:div>
    <w:div w:id="20441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Bru17</b:Tag>
    <b:SourceType>JournalArticle</b:SourceType>
    <b:Guid>{39A718E3-14D1-44DC-AECA-F19022B276DF}</b:Guid>
    <b:Author>
      <b:Author>
        <b:NameList>
          <b:Person>
            <b:Last>Bruijn</b:Last>
            <b:First>H</b:First>
          </b:Person>
          <b:Person>
            <b:Last>Janssen</b:Last>
            <b:First>M</b:First>
          </b:Person>
        </b:NameList>
      </b:Author>
    </b:Author>
    <b:Title>Building Cybersecurity Awareness: The need for evidence-based framing strategies</b:Title>
    <b:JournalName>Government Information Quarterly Volume 34, Issue 1, January</b:JournalName>
    <b:Year>2017</b:Year>
    <b:Pages>1-7</b:Pages>
    <b:RefOrder>2</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3</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4</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5</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7</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8</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9</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11</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12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15</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16</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18</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19</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24</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26</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28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13</b:RefOrder>
  </b:Source>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29</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10</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30</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31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32</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33</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23</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14</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6</b:RefOrder>
  </b:Source>
  <b:Source>
    <b:Tag>Kov181</b:Tag>
    <b:SourceType>JournalArticle</b:SourceType>
    <b:Guid>{6C15C196-F67F-4568-A66D-5B0CE539D98A}</b:Guid>
    <b:Author>
      <b:Author>
        <b:NameList>
          <b:Person>
            <b:Last>Kovacs</b:Last>
            <b:First>L</b:First>
          </b:Person>
        </b:NameList>
      </b:Author>
    </b:Author>
    <b:Title>National Cybersecurity as the Cornerstone of National Security</b:Title>
    <b:JournalName>Revista Academiei Fortelor Terestre. Vol. 23 Issue 2</b:JournalName>
    <b:Year>2018</b:Year>
    <b:Pages>113-120</b:Pages>
    <b:RefOrder>25</b:RefOrder>
  </b:Source>
  <b:Source>
    <b:Tag>Kov18</b:Tag>
    <b:SourceType>JournalArticle</b:SourceType>
    <b:Guid>{0EE19F10-D23B-4390-AF3A-3533E6084B19}</b:Guid>
    <b:Author>
      <b:Author>
        <b:NameList>
          <b:Person>
            <b:Last>Kovacs</b:Last>
            <b:First>L</b:First>
          </b:Person>
        </b:NameList>
      </b:Author>
    </b:Author>
    <b:Title>Cyber Security Policy and Strategy in the European Union and NATO</b:Title>
    <b:JournalName>Revista Academiei Fortelor Terestre. Vol. 23 Issue 1</b:JournalName>
    <b:Year>2017</b:Year>
    <b:Pages>16-24</b:Pages>
    <b:RefOrder>27</b:RefOrder>
  </b:Source>
  <b:Source>
    <b:Tag>Mic15</b:Tag>
    <b:SourceType>InternetSite</b:SourceType>
    <b:Guid>{398BA962-B7B7-4359-B0EE-680EBDE1D362}</b:Guid>
    <b:Title>Not Even Close, The State of Computer Security with Slides</b:Title>
    <b:Year>2015</b:Year>
    <b:Author>
      <b:Author>
        <b:Corporate>Mickens</b:Corporate>
      </b:Author>
    </b:Author>
    <b:InternetSiteTitle>YouTube</b:InternetSiteTitle>
    <b:Month>September</b:Month>
    <b:Day>9</b:Day>
    <b:URL>https://youtu.be/tF24WHumvIc</b:URL>
    <b:RefOrder>20</b:RefOrder>
  </b:Source>
  <b:Source>
    <b:Tag>Lee17</b:Tag>
    <b:SourceType>JournalArticle</b:SourceType>
    <b:Guid>{6AC6207C-ABEA-4CA6-9F3A-31D6D080D489}</b:Guid>
    <b:Title>CloudRPS: a cloud analysis based enhanced ransomware prevention system</b:Title>
    <b:Year>2017</b:Year>
    <b:Author>
      <b:Author>
        <b:Corporate>Lee et al.</b:Corporate>
      </b:Author>
    </b:Author>
    <b:JournalName>Journal of Supercomputing. Jul2017, Vol. 73 Issue 7, p3065-3084</b:JournalName>
    <b:Pages>3065-3084</b:Pages>
    <b:RefOrder>21</b:RefOrder>
  </b:Source>
  <b:Source>
    <b:Tag>Eri181</b:Tag>
    <b:SourceType>ConferenceProceedings</b:SourceType>
    <b:Guid>{01562A3A-E79B-4F7E-AAB2-FBE488BA2FE4}</b:Guid>
    <b:Title>Community Finding of Malware and Exploit Vendors on Darkweb Marketplaces</b:Title>
    <b:Year>2018</b:Year>
    <b:ConferenceName>1st International Conference on Data Intelligence and Security</b:ConferenceName>
    <b:City>South Padre Island, TX, USA</b:City>
    <b:Author>
      <b:Author>
        <b:Corporate>Ericsson et al.</b:Corporate>
      </b:Author>
    </b:Author>
    <b:RefOrder>22</b:RefOrder>
  </b:Source>
</b:Sources>
</file>

<file path=customXml/itemProps1.xml><?xml version="1.0" encoding="utf-8"?>
<ds:datastoreItem xmlns:ds="http://schemas.openxmlformats.org/officeDocument/2006/customXml" ds:itemID="{591239DC-94F4-4C05-8894-33308F04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16</Pages>
  <Words>4182</Words>
  <Characters>23839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2020-05-23T17:21:00Z</dcterms:modified>
</cp:coreProperties>
</file>