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E04D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543E5D0C" w:rsidR="00854D29" w:rsidRPr="00854D29" w:rsidRDefault="00854D29" w:rsidP="00854D29">
      <w:pPr>
        <w:ind w:firstLine="720"/>
      </w:pPr>
      <w:proofErr w:type="spellStart"/>
      <w:r>
        <w:t>CyberSecurity</w:t>
      </w:r>
      <w:proofErr w:type="spellEnd"/>
      <w:r>
        <w:t xml:space="preserve"> refers to a collection of mechanisms and processes that constrain risk to business </w:t>
      </w:r>
      <w:r w:rsidR="00143B57">
        <w:t>systems</w:t>
      </w:r>
      <w:r>
        <w:t xml:space="preserve"> by ensuring they are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or negligent scenarios</w:t>
      </w:r>
      <w:r w:rsidR="0020728E">
        <w:t>, degrading the confidentiality, integrity, and availability of our service offerings</w:t>
      </w:r>
      <w:r>
        <w:t>.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372A6C8D" w:rsidR="00F47BD1" w:rsidRDefault="00F47BD1" w:rsidP="00C7357C">
      <w:pPr>
        <w:pStyle w:val="Heading2"/>
      </w:pPr>
      <w:r>
        <w:t xml:space="preserve">How does security enable the </w:t>
      </w:r>
      <w:proofErr w:type="gramStart"/>
      <w:r>
        <w:t>business</w:t>
      </w:r>
      <w:proofErr w:type="gramEnd"/>
    </w:p>
    <w:p w14:paraId="1E8E6631" w14:textId="486654EC" w:rsidR="00EF1AD6" w:rsidRPr="00EF1AD6" w:rsidRDefault="00EF1AD6" w:rsidP="00EF1AD6">
      <w:pPr>
        <w:ind w:firstLine="720"/>
      </w:pPr>
      <w:r>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  However, investments in </w:t>
      </w:r>
      <w:r w:rsidR="00143B57">
        <w:t xml:space="preserve">security </w:t>
      </w:r>
      <w:r>
        <w:t xml:space="preserve">aspects of the organization reduce risk and improve continuity.  </w:t>
      </w:r>
      <w:r w:rsidR="00143B57">
        <w:t xml:space="preserve">For instance, delivering an efficient anti-virus and patch management strategy could limit the blast radius of a malware </w:t>
      </w:r>
      <w:r w:rsidR="00143B57">
        <w:lastRenderedPageBreak/>
        <w:t>infestation.  Another example might include a collection of guard rails that prevent technicians from accidentally corrupting user data or system administrators from overwhelming the network with a misconfigured service.  Hardware dies, traffic is finite, data becomes corrupt, and these incidents necessitate a methodological approach that minimizes the time to detect and recover (MTTD/MTTR).</w:t>
      </w:r>
    </w:p>
    <w:p w14:paraId="5C043304" w14:textId="7B829566" w:rsidR="00854D29" w:rsidRDefault="00854D29" w:rsidP="00854D29">
      <w:pPr>
        <w:pStyle w:val="Heading2"/>
      </w:pPr>
      <w:r>
        <w:t>Framing a Security Message</w:t>
      </w:r>
    </w:p>
    <w:p w14:paraId="21E8E472" w14:textId="2A5DF518"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EndPr/>
        <w:sdtContent>
          <w:r>
            <w:fldChar w:fldCharType="begin"/>
          </w:r>
          <w:r w:rsidR="00DA6B93">
            <w:instrText xml:space="preserve">CITATION Bru17 \l 1033 </w:instrText>
          </w:r>
          <w:r>
            <w:fldChar w:fldCharType="separate"/>
          </w:r>
          <w:r w:rsidR="00DA6B93">
            <w:rPr>
              <w:noProof/>
            </w:rPr>
            <w:t xml:space="preserve"> (de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w:t>
      </w:r>
      <w:r w:rsidR="008839A4">
        <w:t>t-- both</w:t>
      </w:r>
      <w:r>
        <w:t xml:space="preserve"> implicitly and explicitly.  Many risks exist within technology, though a more alarming number originate from the employees</w:t>
      </w:r>
      <w:r w:rsidRPr="007A0CDC">
        <w:t xml:space="preserve"> </w:t>
      </w:r>
      <w:sdt>
        <w:sdtPr>
          <w:id w:val="1569614785"/>
          <w:citation/>
        </w:sdtPr>
        <w:sdtEndPr/>
        <w:sdtContent>
          <w:r>
            <w:fldChar w:fldCharType="begin"/>
          </w:r>
          <w:r w:rsidR="00DA6B93">
            <w:instrText xml:space="preserve">CITATION Val17 \l 1033 </w:instrText>
          </w:r>
          <w:r>
            <w:fldChar w:fldCharType="separate"/>
          </w:r>
          <w:r w:rsidR="00DA6B93">
            <w:rPr>
              <w:noProof/>
            </w:rPr>
            <w:t>(Valiente,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8340FB">
        <w:t>“</w:t>
      </w:r>
      <w:r>
        <w:t>why should I care?</w:t>
      </w:r>
      <w:r w:rsidR="008340FB">
        <w:t>”</w:t>
      </w:r>
    </w:p>
    <w:p w14:paraId="265AFF19" w14:textId="77777777" w:rsidR="008839A4" w:rsidRDefault="008839A4">
      <w:pPr>
        <w:rPr>
          <w:b/>
        </w:rPr>
      </w:pPr>
      <w:r>
        <w:br w:type="page"/>
      </w:r>
    </w:p>
    <w:p w14:paraId="6DEB613C" w14:textId="1715473F" w:rsidR="00F47BD1" w:rsidRDefault="00F47BD1" w:rsidP="00C7357C">
      <w:pPr>
        <w:pStyle w:val="Heading2"/>
      </w:pPr>
      <w:r>
        <w:lastRenderedPageBreak/>
        <w:t>Applying a framework to security</w:t>
      </w:r>
    </w:p>
    <w:p w14:paraId="4CA8D55C" w14:textId="30750D5C"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8340FB">
        <w:t>'</w:t>
      </w:r>
      <w:r>
        <w:t xml:space="preserve"> perspective, such as COBIT deriving from IT auditing then expanding with industry commonalities.</w:t>
      </w:r>
    </w:p>
    <w:p w14:paraId="00F2068A" w14:textId="77777777" w:rsidR="00737532"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p>
    <w:p w14:paraId="10ACB502" w14:textId="18EC0D8C" w:rsidR="00A341C7" w:rsidRPr="00A341C7" w:rsidRDefault="00737532" w:rsidP="00A341C7">
      <w:pPr>
        <w:ind w:firstLine="720"/>
      </w:pPr>
      <w:r>
        <w:t xml:space="preserve">Choosing a framework requires a gentle hand that is cognizant of both </w:t>
      </w:r>
      <w:r w:rsidR="00A341C7">
        <w:t>time and place</w:t>
      </w:r>
      <w:r>
        <w:t>.  I</w:t>
      </w:r>
      <w:r w:rsidR="00A341C7">
        <w:t>ntroducing schedule risk to inflight commitments through abrupt policy change will always encounter political push back</w:t>
      </w:r>
      <w:sdt>
        <w:sdtPr>
          <w:id w:val="1326631952"/>
          <w:citation/>
        </w:sdtPr>
        <w:sdtEndPr/>
        <w:sdtContent>
          <w:r w:rsidR="00A341C7">
            <w:fldChar w:fldCharType="begin"/>
          </w:r>
          <w:r w:rsidR="00A341C7">
            <w:instrText xml:space="preserve">CITATION Dai19 \l 1033 </w:instrText>
          </w:r>
          <w:r w:rsidR="00A341C7">
            <w:fldChar w:fldCharType="separate"/>
          </w:r>
          <w:r w:rsidR="00A341C7">
            <w:rPr>
              <w:noProof/>
            </w:rPr>
            <w:t xml:space="preserve"> (Dai Zovi, 2019)</w:t>
          </w:r>
          <w:r w:rsidR="00A341C7">
            <w:fldChar w:fldCharType="end"/>
          </w:r>
        </w:sdtContent>
      </w:sdt>
      <w:r w:rsidR="00A341C7">
        <w:t>.</w:t>
      </w:r>
      <w:r w:rsidR="00A341C7" w:rsidRPr="00FE5CC8">
        <w:t xml:space="preserve"> </w:t>
      </w:r>
      <w:r w:rsidR="00A341C7">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5488DFFD" w14:textId="77777777" w:rsidR="005E59D9" w:rsidRDefault="005E59D9">
      <w:pPr>
        <w:rPr>
          <w:b/>
        </w:rPr>
      </w:pPr>
      <w:r>
        <w:br w:type="page"/>
      </w:r>
    </w:p>
    <w:p w14:paraId="63EE4C1F" w14:textId="14A33730" w:rsidR="00F47BD1" w:rsidRDefault="00F47BD1" w:rsidP="00C7357C">
      <w:pPr>
        <w:pStyle w:val="Heading1"/>
      </w:pPr>
      <w:r>
        <w:lastRenderedPageBreak/>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5B80F3E6" w:rsidR="003C04D6" w:rsidRDefault="003C04D6" w:rsidP="00D11F2F">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w:t>
      </w:r>
      <w:r w:rsidR="00D11F2F">
        <w:t>system</w:t>
      </w:r>
      <w:r>
        <w:t xml:space="preserve"> commands.  Businesses that focus on security awareness training can reduce these statistics and create more reliable systems.  This awareness needs to touch on </w:t>
      </w:r>
      <w:r w:rsidR="005E59D9">
        <w:t xml:space="preserve">foreign policy </w:t>
      </w:r>
      <w:r>
        <w:t xml:space="preserve">expectations, </w:t>
      </w:r>
      <w:r w:rsidR="00D11F2F">
        <w:t xml:space="preserve">like </w:t>
      </w:r>
      <w:r>
        <w:t>European customer data, cannot leave Europe.</w:t>
      </w:r>
      <w:r w:rsidR="005E59D9">
        <w:t xml:space="preserve">  However, even domestic policies differ</w:t>
      </w:r>
      <w:r w:rsidR="002F04E7">
        <w:t>,</w:t>
      </w:r>
      <w:r w:rsidR="005E59D9">
        <w:t xml:space="preserve"> such as California and Delaware having stricter privacy laws than federal legislation.</w:t>
      </w:r>
      <w:r w:rsidR="00D11F2F">
        <w:t xml:space="preserve">  </w:t>
      </w:r>
      <w:proofErr w:type="gramStart"/>
      <w:r>
        <w:t>Initially</w:t>
      </w:r>
      <w:proofErr w:type="gramEnd"/>
      <w:r>
        <w:t xml:space="preserve">,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w:t>
      </w:r>
      <w:r w:rsidR="002F04E7">
        <w:t xml:space="preserve">new </w:t>
      </w:r>
      <w:r>
        <w:t>markets.</w:t>
      </w:r>
      <w:r w:rsidR="002F04E7">
        <w:t xml:space="preserve">  That training can guide all levels of the organization to reach out to subject matter experts because they are aware of the inherent complexity.</w:t>
      </w:r>
      <w:r>
        <w:t xml:space="preserve"> </w:t>
      </w:r>
    </w:p>
    <w:p w14:paraId="6FA96B79" w14:textId="10B8908D" w:rsidR="00D37CFD" w:rsidRPr="00D37CFD" w:rsidRDefault="00D37CFD" w:rsidP="00D37CFD">
      <w:pPr>
        <w:ind w:firstLine="720"/>
      </w:pPr>
      <w:r>
        <w:t xml:space="preserve">It can be helpful to think of </w:t>
      </w:r>
      <w:r w:rsidR="00F00D3A">
        <w:t xml:space="preserve">customer </w:t>
      </w:r>
      <w:r>
        <w:t xml:space="preserve">identity </w:t>
      </w:r>
      <w:r w:rsidR="00F00D3A">
        <w:t xml:space="preserve">as a </w:t>
      </w:r>
      <w:r w:rsidR="00D11F2F">
        <w:t xml:space="preserve">user </w:t>
      </w:r>
      <w:r>
        <w:t xml:space="preserve">profile </w:t>
      </w:r>
      <w:r w:rsidR="00F00D3A">
        <w:t xml:space="preserve">that contains </w:t>
      </w:r>
      <w:r w:rsidR="00D11F2F">
        <w:t xml:space="preserve">collections of </w:t>
      </w:r>
      <w:r>
        <w:t>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w:t>
      </w:r>
      <w:r w:rsidR="00D11F2F">
        <w:t>our services</w:t>
      </w:r>
      <w:r>
        <w:t xml:space="preserve"> understand the context of the user</w:t>
      </w:r>
      <w:r w:rsidR="008340FB">
        <w:t>'</w:t>
      </w:r>
      <w:r>
        <w:t xml:space="preserve">s profile, the experience can be customized and produce more </w:t>
      </w:r>
      <w:r w:rsidR="00D11F2F">
        <w:t>desirable experiences</w:t>
      </w:r>
      <w:r>
        <w:t>.  The payment for access to these inferences and decision processes comes from personal information, such as calendars, contacts, and routines</w:t>
      </w:r>
      <w:sdt>
        <w:sdtPr>
          <w:id w:val="-2030861568"/>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r w:rsidR="00BA25DB">
        <w:t xml:space="preserve">  </w:t>
      </w:r>
      <w:r>
        <w:t>For instance, numerous platforms integrate into open identity provides like Google and Facebook as a mechanism to simplify enrollment.  However, is that the job the user intended to hire</w:t>
      </w:r>
      <w:sdt>
        <w:sdtPr>
          <w:id w:val="-902989080"/>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xml:space="preserve">?  Through an exchange of convenience, the user becomes trackable across </w:t>
      </w:r>
      <w:r>
        <w:lastRenderedPageBreak/>
        <w:t>multiple sites and web services</w:t>
      </w:r>
      <w:sdt>
        <w:sdtPr>
          <w:id w:val="1253400899"/>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End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36AEE41F" w:rsidR="003C04D6" w:rsidRDefault="003C04D6" w:rsidP="00D37CFD">
      <w:pPr>
        <w:ind w:firstLine="720"/>
      </w:pPr>
      <w:r>
        <w:t xml:space="preserve">Protecting against </w:t>
      </w:r>
      <w:r w:rsidR="00BA25DB">
        <w:t xml:space="preserve">foreign and domestic </w:t>
      </w:r>
      <w:r>
        <w:t xml:space="preserve">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w:t>
      </w:r>
      <w:r w:rsidR="00BA25DB">
        <w:t>Interception of t</w:t>
      </w:r>
      <w:r>
        <w:t xml:space="preserve">hose conversations </w:t>
      </w:r>
      <w:r w:rsidR="00BA25DB">
        <w:t xml:space="preserve">by </w:t>
      </w:r>
      <w:r>
        <w:t>nation-states</w:t>
      </w:r>
      <w:r w:rsidR="00BA25DB">
        <w:t xml:space="preserve"> will occur—e</w:t>
      </w:r>
      <w:r>
        <w:t xml:space="preserve">ither across the wire </w:t>
      </w:r>
      <w:r w:rsidR="00BA25DB">
        <w:t>or from an</w:t>
      </w:r>
      <w:r>
        <w:t xml:space="preserve">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67E04657" w14:textId="2D60388B" w:rsidR="00EF1AD6" w:rsidRPr="00D37CFD" w:rsidRDefault="00D37CFD" w:rsidP="00BA25DB">
      <w:pPr>
        <w:ind w:firstLine="720"/>
      </w:pPr>
      <w:r>
        <w:t>Manufacturing facilities are evolving into massive CPS ecosystems through Industrial IoT devices feeding into complex event processing systems</w:t>
      </w:r>
      <w:sdt>
        <w:sdtPr>
          <w:id w:val="1182395945"/>
          <w:citation/>
        </w:sdtPr>
        <w:sdtEndPr/>
        <w:sdtContent>
          <w:r>
            <w:fldChar w:fldCharType="begin"/>
          </w:r>
          <w:r>
            <w:instrText xml:space="preserve"> CITATION Bab16 \l 1033 </w:instrText>
          </w:r>
          <w:r>
            <w:fldChar w:fldCharType="separate"/>
          </w:r>
          <w:r>
            <w:rPr>
              <w:noProof/>
            </w:rPr>
            <w:t xml:space="preserve"> (Babiceanu, 2016)</w:t>
          </w:r>
          <w:r>
            <w:fldChar w:fldCharType="end"/>
          </w:r>
        </w:sdtContent>
      </w:sdt>
      <w:r>
        <w:t xml:space="preserve">.  This approach </w:t>
      </w:r>
      <w:r>
        <w:lastRenderedPageBreak/>
        <w:t>reduces costs by increasing automation efficiencies.  Reliance on automation also increases the opacity of decision-making processes and introduces additional risk vectors</w:t>
      </w:r>
      <w:sdt>
        <w:sdtPr>
          <w:id w:val="-1283337630"/>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End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r w:rsidR="00BA25DB">
        <w:t xml:space="preserve">  Process designers need to minimize these risks by evaluating the impact of time sensitivity on their implementation.</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35FFE7E1" w14:textId="4B1F9A74" w:rsidR="00D37CFD" w:rsidRDefault="00D37CFD" w:rsidP="00D37CFD">
      <w:pPr>
        <w:ind w:firstLine="720"/>
      </w:pPr>
      <w:r>
        <w:t xml:space="preserve">There is an economic incentive for businesses to churn out new </w:t>
      </w:r>
      <w:r w:rsidR="008135B9">
        <w:t>products and devices</w:t>
      </w:r>
      <w:r>
        <w:t xml:space="preserve"> with more innovative, instead of investing in security protections for those features</w:t>
      </w:r>
      <w:sdt>
        <w:sdtPr>
          <w:id w:val="-31344440"/>
          <w:citation/>
        </w:sdtPr>
        <w:sdtEndPr/>
        <w:sdtContent>
          <w:r>
            <w:fldChar w:fldCharType="begin"/>
          </w:r>
          <w:r>
            <w:instrText xml:space="preserve">CITATION LiZ18 \l 1033 </w:instrText>
          </w:r>
          <w:r>
            <w:fldChar w:fldCharType="separate"/>
          </w:r>
          <w:r>
            <w:rPr>
              <w:noProof/>
            </w:rPr>
            <w:t xml:space="preserve"> (Li &amp; Liao, </w:t>
          </w:r>
          <w:r>
            <w:rPr>
              <w:noProof/>
            </w:rPr>
            <w:lastRenderedPageBreak/>
            <w:t>2018)</w:t>
          </w:r>
          <w:r>
            <w:fldChar w:fldCharType="end"/>
          </w:r>
        </w:sdtContent>
      </w:sdt>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End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w:t>
      </w:r>
      <w:r w:rsidR="008135B9">
        <w:t>product</w:t>
      </w:r>
      <w:r>
        <w:t xml:space="preserve"> does not work.  If the customer believes that the </w:t>
      </w:r>
      <w:r w:rsidR="008135B9">
        <w:t>offering</w:t>
      </w:r>
      <w:r>
        <w:t xml:space="preserve"> is faulty, they leave bad reviews online, contact support, and request replacements—all of which cost the business money.</w:t>
      </w:r>
    </w:p>
    <w:p w14:paraId="3E8368D1" w14:textId="6CEAF2BA" w:rsidR="00F47BD1" w:rsidRDefault="00F47BD1" w:rsidP="00C7357C">
      <w:pPr>
        <w:pStyle w:val="Heading1"/>
      </w:pPr>
      <w:r>
        <w:t>Who</w:t>
      </w:r>
      <w:r w:rsidR="00C7357C">
        <w:t>m</w:t>
      </w:r>
      <w:r>
        <w:t xml:space="preserve"> are we </w:t>
      </w:r>
      <w:r w:rsidR="008135B9">
        <w:t>defending</w:t>
      </w:r>
      <w:r>
        <w:t xml:space="preserve"> </w:t>
      </w:r>
      <w:proofErr w:type="gramStart"/>
      <w:r>
        <w:t>against</w:t>
      </w:r>
      <w:proofErr w:type="gramEnd"/>
    </w:p>
    <w:p w14:paraId="49C41E61" w14:textId="1B2C7905" w:rsidR="00F47BD1" w:rsidRDefault="00F47BD1" w:rsidP="00C7357C">
      <w:pPr>
        <w:pStyle w:val="Heading2"/>
      </w:pPr>
      <w:r>
        <w:t>Negligence</w:t>
      </w:r>
    </w:p>
    <w:p w14:paraId="142B6D51" w14:textId="66B985A3" w:rsidR="003B150F" w:rsidRPr="003B150F" w:rsidRDefault="003B150F" w:rsidP="003B150F">
      <w:pPr>
        <w:ind w:firstLine="720"/>
      </w:pPr>
      <w:r>
        <w:t xml:space="preserve">When we step back and look at the numbers, half </w:t>
      </w:r>
      <w:r w:rsidR="008135B9">
        <w:t xml:space="preserve">security incidents come from employee negligence.  Their </w:t>
      </w:r>
      <w:r>
        <w:t>interact</w:t>
      </w:r>
      <w:r w:rsidR="008135B9">
        <w:t>ion</w:t>
      </w:r>
      <w:r>
        <w:t xml:space="preserve"> with hostile automation, e.g., phishing attacks and malicious mobile apps</w:t>
      </w:r>
      <w:r w:rsidR="008135B9">
        <w:t>, along with trying to find the path of least resistance for completing their job—bypasses safety protocols.  Malicious actors (e.g., scam artists) and technical glitches account for the remainder</w:t>
      </w:r>
      <w:r>
        <w:t xml:space="preserve">.  </w:t>
      </w:r>
      <w:r w:rsidR="008135B9">
        <w:t xml:space="preserve">Those </w:t>
      </w:r>
      <w:r>
        <w:t>figures suggest that creating a more security-aware culture could remove nearly half of the attack surface and strengthen business continuity</w:t>
      </w:r>
      <w:sdt>
        <w:sdtPr>
          <w:id w:val="-176345196"/>
          <w:citation/>
        </w:sdtPr>
        <w:sdtEndPr/>
        <w:sdtContent>
          <w:r>
            <w:fldChar w:fldCharType="begin"/>
          </w:r>
          <w:r w:rsidR="00DA6B93">
            <w:instrText xml:space="preserve">CITATION Val17 \l 1033 </w:instrText>
          </w:r>
          <w:r>
            <w:fldChar w:fldCharType="separate"/>
          </w:r>
          <w:r w:rsidR="00DA6B93">
            <w:rPr>
              <w:noProof/>
            </w:rPr>
            <w:t xml:space="preserve"> (Valiente, 2017)</w:t>
          </w:r>
          <w:r>
            <w:fldChar w:fldCharType="end"/>
          </w:r>
        </w:sdtContent>
      </w:sdt>
      <w:r>
        <w:t xml:space="preserve">.  For instance, when network engineers understand risk management, they create features that consider scalability and availability during the design versus after the solution has </w:t>
      </w:r>
      <w:proofErr w:type="gramStart"/>
      <w:r>
        <w:t>failed</w:t>
      </w:r>
      <w:r w:rsidR="00DA6B93">
        <w:t>(</w:t>
      </w:r>
      <w:proofErr w:type="gramEnd"/>
      <w:r w:rsidR="00DA6B93">
        <w:t>Mickens, 2015)</w:t>
      </w:r>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lastRenderedPageBreak/>
        <w:t>International actors</w:t>
      </w:r>
    </w:p>
    <w:p w14:paraId="6528A18B" w14:textId="77777777" w:rsidR="00A23619" w:rsidRDefault="00A23619" w:rsidP="00A23619">
      <w:pPr>
        <w:pStyle w:val="Heading3"/>
      </w:pPr>
      <w:r w:rsidRPr="00DE5203">
        <w:t>Cyberespionage</w:t>
      </w:r>
      <w:r>
        <w:t xml:space="preserve">  </w:t>
      </w:r>
    </w:p>
    <w:p w14:paraId="62CA41E3" w14:textId="746981F1" w:rsidR="00A23619" w:rsidRDefault="00A23619" w:rsidP="00A23619">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Content>
          <w:r>
            <w:fldChar w:fldCharType="begin"/>
          </w:r>
          <w:r w:rsidR="00DA6B93">
            <w:instrText xml:space="preserve">CITATION Ban17 \l 1033 </w:instrText>
          </w:r>
          <w:r>
            <w:fldChar w:fldCharType="separate"/>
          </w:r>
          <w:r w:rsidR="00DA6B93">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99C5D4F" w14:textId="77777777" w:rsidR="00A23619" w:rsidRDefault="00A23619" w:rsidP="00A23619">
      <w:pPr>
        <w:pStyle w:val="Heading3"/>
      </w:pPr>
      <w:r>
        <w:t>Cyber sabotage</w:t>
      </w:r>
    </w:p>
    <w:p w14:paraId="4EB4621F" w14:textId="2CB9D328" w:rsidR="00A23619" w:rsidRDefault="00A23619" w:rsidP="00A23619">
      <w:pPr>
        <w:ind w:firstLine="720"/>
      </w:pPr>
      <w:r>
        <w:t>Using technologies like ransomware, malicious software that encrypts digital devices, nefarious actors can force an organization to purchase decryption keys before restoring service</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rsidR="00DA6B93">
            <w:instrText xml:space="preserve">CITATION Fis17 \l 1033 </w:instrText>
          </w:r>
          <w:r>
            <w:fldChar w:fldCharType="separate"/>
          </w:r>
          <w:r w:rsidR="00DA6B93">
            <w:rPr>
              <w:noProof/>
            </w:rPr>
            <w:t>(Fischerkeller &amp; Harknett, 2017)</w:t>
          </w:r>
          <w:r>
            <w:fldChar w:fldCharType="end"/>
          </w:r>
        </w:sdtContent>
      </w:sdt>
      <w:r>
        <w:t xml:space="preserve">.  Technological solutions like deploying applications across multiple Public Cloud Service Provider (CSP) data centers can minimize the influence of DoS attacks.  However, these same legal protections do not uniformly exist across </w:t>
      </w:r>
      <w:r>
        <w:lastRenderedPageBreak/>
        <w:t>the globe, and regulations around data placement can limit the accessibility of flexible fail-over solutions.</w:t>
      </w:r>
    </w:p>
    <w:p w14:paraId="7A1DE86B" w14:textId="77777777" w:rsidR="00A23619" w:rsidRDefault="00A23619" w:rsidP="00A23619">
      <w:pPr>
        <w:pStyle w:val="Heading3"/>
      </w:pPr>
      <w:r>
        <w:t>Subversion</w:t>
      </w:r>
    </w:p>
    <w:p w14:paraId="686A5711" w14:textId="7F25DBE7" w:rsidR="00A23619" w:rsidRPr="00077C00" w:rsidRDefault="00A23619" w:rsidP="00A23619">
      <w:pPr>
        <w:ind w:firstLine="720"/>
      </w:pPr>
      <w:r>
        <w:t>The international community does not agree on the strict definition of what constitutes a cyber-attack</w:t>
      </w:r>
      <w:sdt>
        <w:sdtPr>
          <w:id w:val="567532436"/>
          <w:citation/>
        </w:sdtPr>
        <w:sdtContent>
          <w:r>
            <w:fldChar w:fldCharType="begin"/>
          </w:r>
          <w:r w:rsidR="00DA6B93">
            <w:instrText xml:space="preserve">CITATION Fis17 \l 1033 </w:instrText>
          </w:r>
          <w:r>
            <w:fldChar w:fldCharType="separate"/>
          </w:r>
          <w:r w:rsidR="00DA6B93">
            <w:rPr>
              <w:noProof/>
            </w:rPr>
            <w:t xml:space="preserve"> (Fischerkeller &amp; Harknett, 2017)</w:t>
          </w:r>
          <w:r>
            <w:fldChar w:fldCharType="end"/>
          </w:r>
        </w:sdtContent>
      </w:sdt>
      <w:r>
        <w:t>.  These differences influence auditing and compliance requirements between countries and prevent direct comparisons across policies or statistics</w:t>
      </w:r>
      <w:sdt>
        <w:sdtPr>
          <w:id w:val="-1995171479"/>
          <w:citation/>
        </w:sdt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8340FB">
        <w:t>"</w:t>
      </w:r>
      <w:r>
        <w:t>A</w:t>
      </w:r>
      <w:r w:rsidR="008340FB">
        <w:t>"</w:t>
      </w:r>
      <w:r>
        <w:t xml:space="preserve"> claims to be more secure than </w:t>
      </w:r>
      <w:r w:rsidR="008340FB">
        <w:t>"</w:t>
      </w:r>
      <w:r>
        <w:t>B.</w:t>
      </w:r>
      <w:r w:rsidR="008340FB">
        <w:t>"</w:t>
      </w:r>
      <w:r>
        <w:t xml:space="preserve">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174EDC0B" w14:textId="03048E89" w:rsidR="00F47BD1" w:rsidRDefault="00F00D3A" w:rsidP="00C7357C">
      <w:pPr>
        <w:pStyle w:val="Heading2"/>
      </w:pPr>
      <w:r>
        <w:t>Scammers, Spammers, and Robots</w:t>
      </w:r>
    </w:p>
    <w:p w14:paraId="60DCDC8F" w14:textId="7A0198BA" w:rsidR="00F00D3A" w:rsidRPr="00F00D3A" w:rsidRDefault="00F00D3A" w:rsidP="00F00D3A">
      <w:r>
        <w:tab/>
      </w:r>
      <w:r>
        <w:t>Attacks from these anonymous guests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cluster targets and attack the signature as a whole</w:t>
      </w:r>
      <w:sdt>
        <w:sdtPr>
          <w:id w:val="22996071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Substantial effort goes into protecting these platforms, but little attention considers the other side of the equation—all of these people</w:t>
      </w:r>
      <w:sdt>
        <w:sdtPr>
          <w:id w:val="-1282330335"/>
          <w:citation/>
        </w:sdtPr>
        <w:sdtContent>
          <w:r>
            <w:fldChar w:fldCharType="begin"/>
          </w:r>
          <w:r w:rsidR="00DA6B93">
            <w:instrText xml:space="preserve">CITATION Bly18 \l 1033 </w:instrText>
          </w:r>
          <w:r>
            <w:fldChar w:fldCharType="separate"/>
          </w:r>
          <w:r w:rsidR="00DA6B93">
            <w:rPr>
              <w:noProof/>
            </w:rPr>
            <w:t xml:space="preserve"> (Blythe &amp; Coventry, 2018)</w:t>
          </w:r>
          <w:r>
            <w:fldChar w:fldCharType="end"/>
          </w:r>
        </w:sdtContent>
      </w:sdt>
      <w:r>
        <w:t xml:space="preserve">.  Modern enterprise networks have hundreds of users that are authorized to perform tasks. </w:t>
      </w:r>
      <w:r>
        <w:lastRenderedPageBreak/>
        <w:t>When those users fail, it can be very challenging to detect, mitigate, or even control the blast radius</w:t>
      </w:r>
      <w:r w:rsidRPr="007A0CDC">
        <w:t xml:space="preserve"> </w:t>
      </w:r>
      <w:sdt>
        <w:sdtPr>
          <w:id w:val="-112904908"/>
          <w:citation/>
        </w:sdtPr>
        <w:sdtContent>
          <w:r>
            <w:fldChar w:fldCharType="begin"/>
          </w:r>
          <w:r w:rsidR="00DA6B93">
            <w:instrText xml:space="preserve">CITATION Eli18 \l 1033 </w:instrText>
          </w:r>
          <w:r>
            <w:fldChar w:fldCharType="separate"/>
          </w:r>
          <w:r w:rsidR="00DA6B93">
            <w:rPr>
              <w:noProof/>
            </w:rPr>
            <w:t>(Elifoglu, Abel, &amp; Tasseven, 2018)</w:t>
          </w:r>
          <w:r>
            <w:fldChar w:fldCharType="end"/>
          </w:r>
        </w:sdtContent>
      </w:sdt>
      <w:r>
        <w:t>.  This realization creates the need for security engineers to design programs that center around awareness and skepticism.</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44FCA935"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rsidR="00DA6B93">
            <w:instrText xml:space="preserve">CITATION Lee17 \l 1033 </w:instrText>
          </w:r>
          <w:r>
            <w:fldChar w:fldCharType="separate"/>
          </w:r>
          <w:r w:rsidR="00DA6B93">
            <w:rPr>
              <w:noProof/>
            </w:rPr>
            <w:t xml:space="preserve"> (Lee, Moon, &amp; Park,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End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EndPr/>
        <w:sdtContent>
          <w:r>
            <w:fldChar w:fldCharType="begin"/>
          </w:r>
          <w:r w:rsidR="00DA6B93">
            <w:instrText xml:space="preserve">CITATION Eri181 \l 1033 </w:instrText>
          </w:r>
          <w:r>
            <w:fldChar w:fldCharType="separate"/>
          </w:r>
          <w:r w:rsidR="00DA6B93">
            <w:rPr>
              <w:noProof/>
            </w:rPr>
            <w:t xml:space="preserve"> (Ericsson, Almukaynizi, Nunes, &amp; Shakarian,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2BF43231" w14:textId="77777777" w:rsidR="000C402B" w:rsidRDefault="000C402B" w:rsidP="00F96CB0">
      <w:pPr>
        <w:ind w:firstLine="720"/>
      </w:pPr>
    </w:p>
    <w:p w14:paraId="063F8FD8" w14:textId="72B50352" w:rsidR="00F47BD1" w:rsidRDefault="00531990" w:rsidP="00C7357C">
      <w:pPr>
        <w:pStyle w:val="Heading2"/>
      </w:pPr>
      <w:r>
        <w:lastRenderedPageBreak/>
        <w:t xml:space="preserve">Patch Management and </w:t>
      </w:r>
      <w:r w:rsidR="00F47BD1">
        <w:t>Zero Days</w:t>
      </w:r>
    </w:p>
    <w:p w14:paraId="70CD0D13" w14:textId="700B6A91" w:rsidR="00EF1AD6" w:rsidRPr="00EF1AD6" w:rsidRDefault="00531990" w:rsidP="00EF1AD6">
      <w:r>
        <w:tab/>
        <w:t>Zero-day black markets allow governments, criminals, and researchers to transact in weaponized exploits</w:t>
      </w:r>
      <w:sdt>
        <w:sdtPr>
          <w:id w:val="-310175906"/>
          <w:citation/>
        </w:sdtPr>
        <w:sdtContent>
          <w:r w:rsidR="003279DA">
            <w:fldChar w:fldCharType="begin"/>
          </w:r>
          <w:r w:rsidR="00DA6B93">
            <w:instrText xml:space="preserve">CITATION Eme171 \l 1033 </w:instrText>
          </w:r>
          <w:r w:rsidR="003279DA">
            <w:fldChar w:fldCharType="separate"/>
          </w:r>
          <w:r w:rsidR="00DA6B93">
            <w:rPr>
              <w:noProof/>
            </w:rPr>
            <w:t xml:space="preserve"> (Emery, 2017)</w:t>
          </w:r>
          <w:r w:rsidR="003279DA">
            <w:fldChar w:fldCharType="end"/>
          </w:r>
        </w:sdtContent>
      </w:sdt>
      <w:r>
        <w:t>.  Defenses against these attacks do not exist, enabling the holder to access the vulnerable system instantly.  However, the more common scenario is that an attacker will use a known vulnerability that is over a year old</w:t>
      </w:r>
      <w:sdt>
        <w:sdtPr>
          <w:id w:val="523522923"/>
          <w:citation/>
        </w:sdtPr>
        <w:sdtContent>
          <w:r w:rsidR="003279DA">
            <w:fldChar w:fldCharType="begin"/>
          </w:r>
          <w:r w:rsidR="003279DA">
            <w:instrText xml:space="preserve"> CITATION Gal17 \l 1033 </w:instrText>
          </w:r>
          <w:r w:rsidR="003279DA">
            <w:fldChar w:fldCharType="separate"/>
          </w:r>
          <w:r w:rsidR="003279DA">
            <w:rPr>
              <w:noProof/>
            </w:rPr>
            <w:t xml:space="preserve"> (Galinec &amp; Steingartner, 2017)</w:t>
          </w:r>
          <w:r w:rsidR="003279DA">
            <w:fldChar w:fldCharType="end"/>
          </w:r>
        </w:sdtContent>
      </w:sdt>
      <w:r>
        <w:t>.</w:t>
      </w:r>
      <w:r w:rsidR="003279DA">
        <w:t xml:space="preserve">  Not only does patch management address the default scenario, but also it is a cheaper problem to solve.  Addressing patch management requires two components; first notification to employees that updates are available and second training to apply them.  Through security training, the staff can be made aware of why the updates are necessary and the reasons for the timely application.</w:t>
      </w:r>
      <w:r w:rsidR="000932D0">
        <w:t xml:space="preserve">  While it can be challenging to mandate software patching, especially in Bring Your Own Device (BYOD) scenarios, network administrators can integrate compliance checks into connectivity lifecycles (e.g., during VPN authorization). </w:t>
      </w:r>
    </w:p>
    <w:p w14:paraId="2EE15CFC" w14:textId="5427574D" w:rsidR="00F47BD1" w:rsidRDefault="00275E97" w:rsidP="00C7357C">
      <w:pPr>
        <w:pStyle w:val="Heading2"/>
      </w:pPr>
      <w:r>
        <w:t>Ph</w:t>
      </w:r>
      <w:r w:rsidR="00F47BD1">
        <w:t>ishing</w:t>
      </w:r>
    </w:p>
    <w:p w14:paraId="624BFCD5" w14:textId="23A69606"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w:t>
      </w:r>
      <w:r w:rsidRPr="00275E97">
        <w:lastRenderedPageBreak/>
        <w:t xml:space="preserve">login, scrolling past the advertisements to the real site.  While none of these methods are </w:t>
      </w:r>
      <w:proofErr w:type="gramStart"/>
      <w:r w:rsidRPr="00275E97">
        <w:t>fool-proof</w:t>
      </w:r>
      <w:proofErr w:type="gramEnd"/>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7E551563"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ransomware into mail attachments—it bypasses these network barriers and allows unauthorized access to information.  Further complicating matters, the boundary of the network is becoming more abstract due to the notion of </w:t>
      </w:r>
      <w:r w:rsidR="008340FB">
        <w:t>"</w:t>
      </w:r>
      <w:r>
        <w:t>everything as a service</w:t>
      </w:r>
      <w:r w:rsidR="008340FB">
        <w:t>"</w:t>
      </w:r>
      <w:sdt>
        <w:sdtPr>
          <w:id w:val="-610128432"/>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30F3B4F0" w14:textId="77777777" w:rsidR="00EA62CE" w:rsidRDefault="00EA62CE" w:rsidP="00A23619">
      <w:pPr>
        <w:pStyle w:val="Heading2"/>
      </w:pPr>
      <w:r>
        <w:t>Geography and Sovereignty</w:t>
      </w:r>
    </w:p>
    <w:p w14:paraId="10711BC7" w14:textId="4322B448"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fldChar w:fldCharType="begin"/>
          </w:r>
          <w:r w:rsidR="00DA6B93">
            <w:instrText xml:space="preserve">CITATION Ink15 \l 1033 </w:instrText>
          </w:r>
          <w:r>
            <w:fldChar w:fldCharType="separate"/>
          </w:r>
          <w:r w:rsidR="00DA6B93">
            <w:rPr>
              <w:noProof/>
            </w:rPr>
            <w:t xml:space="preserve"> (Inkster, 2015)</w:t>
          </w:r>
          <w:r>
            <w:fldChar w:fldCharType="end"/>
          </w:r>
        </w:sdtContent>
      </w:sdt>
      <w:r>
        <w:t xml:space="preserve">.  These </w:t>
      </w:r>
      <w:r>
        <w:lastRenderedPageBreak/>
        <w:t>competing requirements cause national security policies to make trade-offs between government control, societal freedoms, and rights of international actors</w:t>
      </w:r>
      <w:sdt>
        <w:sdtPr>
          <w:id w:val="-1713567013"/>
          <w:citation/>
        </w:sdtPr>
        <w:sdtEndPr/>
        <w:sdtContent>
          <w:r>
            <w:fldChar w:fldCharType="begin"/>
          </w:r>
          <w:r w:rsidR="00DA6B93">
            <w:instrText xml:space="preserve">CITATION Kov181 \l 1033 </w:instrText>
          </w:r>
          <w:r>
            <w:fldChar w:fldCharType="separate"/>
          </w:r>
          <w:r w:rsidR="00DA6B93">
            <w:rPr>
              <w:noProof/>
            </w:rPr>
            <w:t xml:space="preserve"> (Kovacs, National cybersecurity as the cornerstone of national security,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These decisions create geography that influences the protective capabilities and behavioral norms.  For instance, the European Union (EU) believes that building a digital economy begins with user </w:t>
      </w:r>
      <w:proofErr w:type="gramStart"/>
      <w:r>
        <w:t>privacy</w:t>
      </w:r>
      <w:r w:rsidR="00DA6B93">
        <w:t>(</w:t>
      </w:r>
      <w:proofErr w:type="gramEnd"/>
      <w:r w:rsidR="00DA6B93">
        <w:t>Kovacs, 2017)</w:t>
      </w:r>
      <w:r>
        <w:t>.  While the EU</w:t>
      </w:r>
      <w:r w:rsidR="008340FB">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4B8A5D79" w14:textId="77777777" w:rsidR="00323386" w:rsidRDefault="00323386" w:rsidP="00323386">
      <w:pPr>
        <w:pStyle w:val="Heading2"/>
      </w:pPr>
      <w:r>
        <w:t>IoT</w:t>
      </w:r>
    </w:p>
    <w:p w14:paraId="6A815AAE" w14:textId="4CC224DE" w:rsidR="00323386" w:rsidRDefault="00323386" w:rsidP="00720C66">
      <w:pPr>
        <w:ind w:firstLine="720"/>
      </w:pPr>
      <w:r>
        <w:t xml:space="preserve">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2F56B17F" w14:textId="77777777" w:rsidR="0051374A" w:rsidRDefault="0051374A" w:rsidP="0051374A">
      <w:pPr>
        <w:ind w:firstLine="720"/>
      </w:pPr>
      <w:r>
        <w:lastRenderedPageBreak/>
        <w:t>According to Gartner, the trend of weak authentication controls impacts nearly 50% 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 xml:space="preserve">Translating the protection requirements into security implementations have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End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14EB0126" w:rsidR="006F6C46" w:rsidRDefault="006F6C46" w:rsidP="006F6C46">
      <w:pPr>
        <w:ind w:firstLine="720"/>
      </w:pPr>
      <w:r>
        <w:t xml:space="preserve">Vulnerabilities exist at the intersect of three conditions. </w:t>
      </w:r>
      <w:r w:rsidR="008340FB">
        <w:t>"</w:t>
      </w:r>
      <w:r w:rsidRPr="0036284C">
        <w:t xml:space="preserve">(1) system susceptibility, such as a design or implementation flaw; (2) threat accessibility, such as system access points or </w:t>
      </w:r>
      <w:r w:rsidRPr="0036284C">
        <w:lastRenderedPageBreak/>
        <w:t>services; (3) threat capability, such as an opponent with the knowledge and resources to discover, access, and exploit a flaw</w:t>
      </w:r>
      <w:r w:rsidR="00737532">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03BF9401" w:rsidR="00B129F7" w:rsidRDefault="006F6C46" w:rsidP="00FC21FE">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w:t>
      </w:r>
      <w:r>
        <w:lastRenderedPageBreak/>
        <w:t>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p w14:paraId="679D9419" w14:textId="23476397" w:rsidR="00DA6B93" w:rsidRDefault="00DA6B93">
      <w:r>
        <w:br w:type="page"/>
      </w:r>
    </w:p>
    <w:sdt>
      <w:sdtPr>
        <w:id w:val="480515297"/>
        <w:docPartObj>
          <w:docPartGallery w:val="Bibliographies"/>
          <w:docPartUnique/>
        </w:docPartObj>
      </w:sdtPr>
      <w:sdtEndPr>
        <w:rPr>
          <w:b w:val="0"/>
        </w:rPr>
      </w:sdtEndPr>
      <w:sdtContent>
        <w:p w14:paraId="33DCA86F" w14:textId="09BF6355" w:rsidR="00DA6B93" w:rsidRPr="00DA6B93" w:rsidRDefault="00DA6B93">
          <w:pPr>
            <w:pStyle w:val="Heading1"/>
            <w:rPr>
              <w:b w:val="0"/>
              <w:bCs/>
            </w:rPr>
          </w:pPr>
          <w:r w:rsidRPr="00DA6B93">
            <w:rPr>
              <w:b w:val="0"/>
              <w:bCs/>
            </w:rPr>
            <w:t>References</w:t>
          </w:r>
        </w:p>
        <w:sdt>
          <w:sdtPr>
            <w:id w:val="-573587230"/>
            <w:bibliography/>
          </w:sdtPr>
          <w:sdtContent>
            <w:p w14:paraId="450AB7E3" w14:textId="1D7B053B" w:rsidR="00DA6B93" w:rsidRDefault="00DA6B93" w:rsidP="00DA6B93">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473D4F57" w14:textId="77777777" w:rsidR="00DA6B93" w:rsidRDefault="00DA6B93" w:rsidP="00DA6B93">
              <w:pPr>
                <w:pStyle w:val="Bibliography"/>
                <w:ind w:left="720" w:hanging="720"/>
                <w:rPr>
                  <w:noProof/>
                </w:rPr>
              </w:pP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16198836" w14:textId="77777777" w:rsidR="00DA6B93" w:rsidRDefault="00DA6B93" w:rsidP="00DA6B93">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6C8B3DA8" w14:textId="7648ACE2" w:rsidR="00DA6B93" w:rsidRDefault="00DA6B93" w:rsidP="00DA6B93">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4C93F28" w14:textId="13847A68" w:rsidR="00DA6B93" w:rsidRDefault="00DA6B93" w:rsidP="00DA6B93">
              <w:pPr>
                <w:pStyle w:val="Bibliography"/>
                <w:ind w:left="720" w:hanging="720"/>
                <w:rPr>
                  <w:noProof/>
                </w:rPr>
              </w:pPr>
              <w:r>
                <w:rPr>
                  <w:noProof/>
                </w:rPr>
                <w:t xml:space="preserve">Bensinger, G. (2019, August 27th).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2788B561" w14:textId="5D1D3ECE" w:rsidR="00DA6B93" w:rsidRDefault="00DA6B93" w:rsidP="00DA6B93">
              <w:pPr>
                <w:pStyle w:val="Bibliography"/>
                <w:ind w:left="720" w:hanging="720"/>
                <w:rPr>
                  <w:noProof/>
                </w:rPr>
              </w:pPr>
              <w:r>
                <w:rPr>
                  <w:noProof/>
                </w:rPr>
                <w:t xml:space="preserve">Blythe, J., &amp; Coventry, L. (2018, October). Costly but effective: comparing the factors that influence employee anti-malware behaviors. </w:t>
              </w:r>
              <w:r>
                <w:rPr>
                  <w:i/>
                  <w:iCs/>
                  <w:noProof/>
                </w:rPr>
                <w:t>Computers in Human Behavior, 87</w:t>
              </w:r>
              <w:r>
                <w:rPr>
                  <w:noProof/>
                </w:rPr>
                <w:t>, 87-97. doi:https://doi.org/10.1016/j.chb.2018.05.023</w:t>
              </w:r>
            </w:p>
            <w:p w14:paraId="42A30788" w14:textId="77777777" w:rsidR="00DA6B93" w:rsidRDefault="00DA6B93" w:rsidP="00DA6B93">
              <w:pPr>
                <w:pStyle w:val="Bibliography"/>
                <w:ind w:left="720" w:hanging="720"/>
                <w:rPr>
                  <w:noProof/>
                </w:rPr>
              </w:pPr>
              <w:r>
                <w:rPr>
                  <w:noProof/>
                </w:rPr>
                <w:lastRenderedPageBreak/>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0364B637" w14:textId="77777777" w:rsidR="00DA6B93" w:rsidRDefault="00DA6B93" w:rsidP="00DA6B93">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49AF0C3C" w14:textId="77777777" w:rsidR="00DA6B93" w:rsidRDefault="00DA6B93" w:rsidP="00DA6B93">
              <w:pPr>
                <w:pStyle w:val="Bibliography"/>
                <w:ind w:left="720" w:hanging="720"/>
                <w:rPr>
                  <w:noProof/>
                </w:rPr>
              </w:pPr>
              <w:r>
                <w:rPr>
                  <w:noProof/>
                </w:rPr>
                <w:t xml:space="preserve">de Bruijn, H., &amp; Janssen, M. (2017, January). Building cybersecurity awareness: the need for evidence-based framing strategies. </w:t>
              </w:r>
              <w:r>
                <w:rPr>
                  <w:i/>
                  <w:iCs/>
                  <w:noProof/>
                </w:rPr>
                <w:t>Government Information Quarterly, 34</w:t>
              </w:r>
              <w:r>
                <w:rPr>
                  <w:noProof/>
                </w:rPr>
                <w:t>(1), 1-7. doi:https://doi.org/10.1016/j.giq.2017.02.007</w:t>
              </w:r>
            </w:p>
            <w:p w14:paraId="5B7532BC" w14:textId="77777777" w:rsidR="00DA6B93" w:rsidRDefault="00DA6B93" w:rsidP="00DA6B93">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from https://search-ebscohost-com.proxy1.ncu.edu/login.aspx?direct=true&amp;db=bth&amp;AN=129631258&amp;site=eds-live</w:t>
              </w:r>
            </w:p>
            <w:p w14:paraId="3A284770" w14:textId="77777777" w:rsidR="00DA6B93" w:rsidRDefault="00DA6B93" w:rsidP="00DA6B93">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649782B" w14:textId="07507B1F" w:rsidR="00DA6B93" w:rsidRDefault="00DA6B93" w:rsidP="00DA6B93">
              <w:pPr>
                <w:pStyle w:val="Bibliography"/>
                <w:ind w:left="720" w:hanging="720"/>
                <w:rPr>
                  <w:noProof/>
                </w:rPr>
              </w:pPr>
              <w:r>
                <w:rPr>
                  <w:noProof/>
                </w:rPr>
                <w:t xml:space="preserve">Ericsson, M., Almukaynizi, M., Nunes, E., &amp; Shakarian, P. (2018). Community finding of malware and exploit vendors on dark web marketplaces. </w:t>
              </w:r>
              <w:r>
                <w:rPr>
                  <w:i/>
                  <w:iCs/>
                  <w:noProof/>
                </w:rPr>
                <w:t>1st International Conference on Data Intelligence and Security</w:t>
              </w:r>
              <w:r>
                <w:rPr>
                  <w:noProof/>
                </w:rPr>
                <w:t>, 81-84. South Padre Island, TX, USA. doi:https://doi.org/10.1109/ICDIS.2018.00019.</w:t>
              </w:r>
            </w:p>
            <w:p w14:paraId="3B93D35A" w14:textId="77777777" w:rsidR="00DA6B93" w:rsidRDefault="00DA6B93" w:rsidP="00DA6B9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11FF358" w14:textId="52651550" w:rsidR="00DA6B93" w:rsidRDefault="00DA6B93" w:rsidP="00DA6B93">
              <w:pPr>
                <w:pStyle w:val="Bibliography"/>
                <w:ind w:left="720" w:hanging="720"/>
                <w:rPr>
                  <w:noProof/>
                </w:rPr>
              </w:pPr>
              <w:r>
                <w:rPr>
                  <w:noProof/>
                </w:rPr>
                <w:t xml:space="preserve">Frodigh, M. (2018, May 27th). Keynote Opening. </w:t>
              </w:r>
              <w:r>
                <w:rPr>
                  <w:i/>
                  <w:iCs/>
                  <w:noProof/>
                </w:rPr>
                <w:t>40th International Conference on Software Engineering.</w:t>
              </w:r>
              <w:r>
                <w:rPr>
                  <w:noProof/>
                </w:rPr>
                <w:t xml:space="preserve"> Gothenburg, Sweden: International Conference on Software Engineering </w:t>
              </w:r>
              <w:r>
                <w:rPr>
                  <w:noProof/>
                </w:rPr>
                <w:lastRenderedPageBreak/>
                <w:t>(ICSE). Retrieved April 8th, 2019, from YouTube: https://www.youtube.com/watch?v=cpeMmMh7Syk</w:t>
              </w:r>
            </w:p>
            <w:p w14:paraId="31C75408" w14:textId="77777777" w:rsidR="00DA6B93" w:rsidRDefault="00DA6B93" w:rsidP="00DA6B9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46EF814F" w14:textId="23B47E1B" w:rsidR="00DA6B93" w:rsidRDefault="00DA6B93" w:rsidP="00DA6B93">
              <w:pPr>
                <w:pStyle w:val="Bibliography"/>
                <w:ind w:left="720" w:hanging="720"/>
                <w:rPr>
                  <w:noProof/>
                </w:rPr>
              </w:pPr>
              <w:r>
                <w:rPr>
                  <w:noProof/>
                </w:rPr>
                <w:t xml:space="preserve">Gamblin, J. (2017, July 15th). </w:t>
              </w:r>
              <w:r>
                <w:rPr>
                  <w:i/>
                  <w:iCs/>
                  <w:noProof/>
                </w:rPr>
                <w:t>Mirai-Source-Code</w:t>
              </w:r>
              <w:r>
                <w:rPr>
                  <w:noProof/>
                </w:rPr>
                <w:t>. Retrieved May 17th, 2020, from GitHub: https://github.com/jgamblin/Mirai-Source-Code</w:t>
              </w:r>
            </w:p>
            <w:p w14:paraId="6D409BB2" w14:textId="5B93C8A2" w:rsidR="00DA6B93" w:rsidRDefault="00DA6B93" w:rsidP="00DA6B9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62A2005C" w14:textId="4F84E443" w:rsidR="00DA6B93" w:rsidRDefault="00DA6B93" w:rsidP="00DA6B93">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7BF4BDA2" w14:textId="6AF9EA70" w:rsidR="00DA6B93" w:rsidRDefault="00DA6B93" w:rsidP="00DA6B93">
              <w:pPr>
                <w:pStyle w:val="Bibliography"/>
                <w:ind w:left="720" w:hanging="720"/>
                <w:rPr>
                  <w:noProof/>
                </w:rPr>
              </w:pPr>
              <w:r>
                <w:rPr>
                  <w:noProof/>
                </w:rPr>
                <w:t xml:space="preserve">Haselton, T. (2018, May 13th). </w:t>
              </w:r>
              <w:r>
                <w:rPr>
                  <w:i/>
                  <w:iCs/>
                  <w:noProof/>
                </w:rPr>
                <w:t>I asked Siri, Alexa, and Google Assistant if they are spying on me — here is what they said</w:t>
              </w:r>
              <w:r>
                <w:rPr>
                  <w:noProof/>
                </w:rPr>
                <w:t>. Retrieved May 17th, 2020, from CNBC: https://www.cnbc.com/2018/05/13/are-siri-alexa-and-google-assistant-spying-on-me.html</w:t>
              </w:r>
            </w:p>
            <w:p w14:paraId="771BE57C" w14:textId="67948A38" w:rsidR="00DA6B93" w:rsidRDefault="00DA6B93" w:rsidP="00DA6B93">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043FCD26" w14:textId="77777777" w:rsidR="00DA6B93" w:rsidRDefault="00DA6B93" w:rsidP="00DA6B93">
              <w:pPr>
                <w:pStyle w:val="Bibliography"/>
                <w:ind w:left="720" w:hanging="720"/>
                <w:rPr>
                  <w:noProof/>
                </w:rPr>
              </w:pPr>
              <w:r>
                <w:rPr>
                  <w:noProof/>
                </w:rPr>
                <w:t xml:space="preserve">Inkster, N. (2015). Cyber espionage. China's Cyber Power. </w:t>
              </w:r>
              <w:r>
                <w:rPr>
                  <w:i/>
                  <w:iCs/>
                  <w:noProof/>
                </w:rPr>
                <w:t>Adelphi Series, 55</w:t>
              </w:r>
              <w:r>
                <w:rPr>
                  <w:noProof/>
                </w:rPr>
                <w:t>, 51-82. doi:https://doi.org/10.1080/19445571.2015.1181439</w:t>
              </w:r>
            </w:p>
            <w:p w14:paraId="1EADCB1A" w14:textId="77777777" w:rsidR="00DA6B93" w:rsidRDefault="00DA6B93" w:rsidP="00DA6B93">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0C5562F0" w14:textId="71CBD6B3" w:rsidR="00DA6B93" w:rsidRDefault="00DA6B93" w:rsidP="00DA6B93">
              <w:pPr>
                <w:pStyle w:val="Bibliography"/>
                <w:ind w:left="720" w:hanging="720"/>
                <w:rPr>
                  <w:noProof/>
                </w:rPr>
              </w:pPr>
              <w:r>
                <w:rPr>
                  <w:noProof/>
                </w:rPr>
                <w:lastRenderedPageBreak/>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2C15765" w14:textId="33F88937" w:rsidR="00DA6B93" w:rsidRDefault="00DA6B93" w:rsidP="00DA6B93">
              <w:pPr>
                <w:pStyle w:val="Bibliography"/>
                <w:ind w:left="720" w:hanging="720"/>
                <w:rPr>
                  <w:noProof/>
                </w:rPr>
              </w:pPr>
              <w:r>
                <w:rPr>
                  <w:noProof/>
                </w:rPr>
                <w:t xml:space="preserve">Kovacs, L. (2018). National cybersecurity as the cornerstone of national security. </w:t>
              </w:r>
              <w:r>
                <w:rPr>
                  <w:i/>
                  <w:iCs/>
                  <w:noProof/>
                </w:rPr>
                <w:t>Revista Academiei Fortelor Terrestre, 23</w:t>
              </w:r>
              <w:r>
                <w:rPr>
                  <w:noProof/>
                </w:rPr>
                <w:t>(2), 113-120. Retrieved from https://search-ebscohost-com.proxy1.ncu.edu/login.aspx?direct=true&amp;db=a9h&amp;AN=130455890&amp;site=eds-live</w:t>
              </w:r>
            </w:p>
            <w:p w14:paraId="0E429F1A" w14:textId="60B4C3F1" w:rsidR="00DA6B93" w:rsidRDefault="00DA6B93" w:rsidP="00DA6B93">
              <w:pPr>
                <w:pStyle w:val="Bibliography"/>
                <w:ind w:left="720" w:hanging="720"/>
                <w:rPr>
                  <w:noProof/>
                </w:rPr>
              </w:pPr>
              <w:r>
                <w:rPr>
                  <w:noProof/>
                </w:rPr>
                <w:t>Krebs, C. (2019, April 23rd). ICCE 2019 - Keynote by Christopher Krebs, Director, Cybersecurity, and Infrastructure Security Agency. Retrieved from YouTube: https://www.youtube.com/watch?v=aVfcgNhHSDM</w:t>
              </w:r>
            </w:p>
            <w:p w14:paraId="2CDE6105" w14:textId="77777777" w:rsidR="00DA6B93" w:rsidRDefault="00DA6B93" w:rsidP="00DA6B93">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6A3CB59C" w14:textId="77777777" w:rsidR="00DA6B93" w:rsidRDefault="00DA6B93" w:rsidP="00DA6B9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361015BD" w14:textId="11CDE0E6" w:rsidR="00DA6B93" w:rsidRDefault="00DA6B93" w:rsidP="00DA6B93">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221EB500" w14:textId="77777777" w:rsidR="00DA6B93" w:rsidRDefault="00DA6B93" w:rsidP="00DA6B93">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0F128377" w14:textId="1186A2F1" w:rsidR="00DA6B93" w:rsidRDefault="00DA6B93" w:rsidP="00DA6B93">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544A2420" w14:textId="40F3DF28" w:rsidR="00DA6B93" w:rsidRDefault="00DA6B93" w:rsidP="00DA6B93">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May 24th, 2020, from YouTube: https://youtu.be/tF24WHumvIc</w:t>
              </w:r>
            </w:p>
            <w:p w14:paraId="3B58CCCC" w14:textId="66C4CC15" w:rsidR="00DA6B93" w:rsidRDefault="00DA6B93" w:rsidP="00DA6B9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8B57A89" w14:textId="77777777" w:rsidR="00DA6B93" w:rsidRDefault="00DA6B93" w:rsidP="00DA6B93">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52ABE19" w14:textId="77777777" w:rsidR="00DA6B93" w:rsidRDefault="00DA6B93" w:rsidP="00DA6B9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13CBA73E" w14:textId="77777777" w:rsidR="00DA6B93" w:rsidRDefault="00DA6B93" w:rsidP="00DA6B93">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3367B19" w14:textId="47EA7CB7" w:rsidR="00DA6B93" w:rsidRDefault="00DA6B93" w:rsidP="00DA6B93">
              <w:r>
                <w:rPr>
                  <w:b/>
                  <w:bCs/>
                  <w:noProof/>
                </w:rPr>
                <w:fldChar w:fldCharType="end"/>
              </w:r>
            </w:p>
          </w:sdtContent>
        </w:sdt>
      </w:sdtContent>
    </w:sdt>
    <w:p w14:paraId="04C46FE6" w14:textId="77777777" w:rsidR="00DA6B93" w:rsidRDefault="00DA6B93" w:rsidP="00FC21FE"/>
    <w:sectPr w:rsidR="00DA6B93"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A7D6" w14:textId="77777777" w:rsidR="006E04D4" w:rsidRDefault="006E04D4" w:rsidP="0082223F">
      <w:pPr>
        <w:spacing w:line="240" w:lineRule="auto"/>
      </w:pPr>
      <w:r>
        <w:separator/>
      </w:r>
    </w:p>
  </w:endnote>
  <w:endnote w:type="continuationSeparator" w:id="0">
    <w:p w14:paraId="596E639D" w14:textId="77777777" w:rsidR="006E04D4" w:rsidRDefault="006E04D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0872" w14:textId="77777777" w:rsidR="006E04D4" w:rsidRDefault="006E04D4" w:rsidP="0082223F">
      <w:pPr>
        <w:spacing w:line="240" w:lineRule="auto"/>
      </w:pPr>
      <w:r>
        <w:separator/>
      </w:r>
    </w:p>
  </w:footnote>
  <w:footnote w:type="continuationSeparator" w:id="0">
    <w:p w14:paraId="3AD11302" w14:textId="77777777" w:rsidR="006E04D4" w:rsidRDefault="006E04D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5347E1F" w:rsidR="00877007" w:rsidRDefault="00877007" w:rsidP="00877007">
    <w:pPr>
      <w:pStyle w:val="Header"/>
    </w:pPr>
    <w:r w:rsidRPr="00877007">
      <w:t xml:space="preserve">TIM-8301: </w:t>
    </w:r>
    <w:r w:rsidR="00DA6B93">
      <w:t>Principals of Cybersecurity</w:t>
    </w:r>
    <w:r w:rsidR="00DA6B93">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932D0"/>
    <w:rsid w:val="00093786"/>
    <w:rsid w:val="000C402B"/>
    <w:rsid w:val="00143B57"/>
    <w:rsid w:val="00183597"/>
    <w:rsid w:val="001C78B2"/>
    <w:rsid w:val="0020728E"/>
    <w:rsid w:val="00275E97"/>
    <w:rsid w:val="002806B7"/>
    <w:rsid w:val="002F04E7"/>
    <w:rsid w:val="00323386"/>
    <w:rsid w:val="003279DA"/>
    <w:rsid w:val="00387769"/>
    <w:rsid w:val="003B150F"/>
    <w:rsid w:val="003C04D6"/>
    <w:rsid w:val="003F4714"/>
    <w:rsid w:val="00401D65"/>
    <w:rsid w:val="004223E8"/>
    <w:rsid w:val="004957FF"/>
    <w:rsid w:val="004A784B"/>
    <w:rsid w:val="0051374A"/>
    <w:rsid w:val="005263AD"/>
    <w:rsid w:val="00531990"/>
    <w:rsid w:val="005B7079"/>
    <w:rsid w:val="005E59D9"/>
    <w:rsid w:val="00665CB6"/>
    <w:rsid w:val="006B0FEA"/>
    <w:rsid w:val="006D793E"/>
    <w:rsid w:val="006E04D4"/>
    <w:rsid w:val="006F6C46"/>
    <w:rsid w:val="00720C66"/>
    <w:rsid w:val="0073677D"/>
    <w:rsid w:val="00737532"/>
    <w:rsid w:val="008135B9"/>
    <w:rsid w:val="0082223F"/>
    <w:rsid w:val="008305D4"/>
    <w:rsid w:val="008340FB"/>
    <w:rsid w:val="00841E5E"/>
    <w:rsid w:val="00854D29"/>
    <w:rsid w:val="00877007"/>
    <w:rsid w:val="008839A4"/>
    <w:rsid w:val="008B5129"/>
    <w:rsid w:val="009537C8"/>
    <w:rsid w:val="009A757D"/>
    <w:rsid w:val="00A23619"/>
    <w:rsid w:val="00A341C7"/>
    <w:rsid w:val="00AB0C2C"/>
    <w:rsid w:val="00B129F7"/>
    <w:rsid w:val="00B83AAC"/>
    <w:rsid w:val="00BA25DB"/>
    <w:rsid w:val="00BC4BDF"/>
    <w:rsid w:val="00C54DC8"/>
    <w:rsid w:val="00C7357C"/>
    <w:rsid w:val="00C73692"/>
    <w:rsid w:val="00C93BB7"/>
    <w:rsid w:val="00CB25E9"/>
    <w:rsid w:val="00CE072C"/>
    <w:rsid w:val="00D11F2F"/>
    <w:rsid w:val="00D37CFD"/>
    <w:rsid w:val="00D51751"/>
    <w:rsid w:val="00D63A16"/>
    <w:rsid w:val="00D75C7B"/>
    <w:rsid w:val="00D85C7B"/>
    <w:rsid w:val="00DA6B93"/>
    <w:rsid w:val="00DE2224"/>
    <w:rsid w:val="00EA62CE"/>
    <w:rsid w:val="00EB711D"/>
    <w:rsid w:val="00ED3713"/>
    <w:rsid w:val="00EF0959"/>
    <w:rsid w:val="00EF1AD6"/>
    <w:rsid w:val="00F00D3A"/>
    <w:rsid w:val="00F47BD1"/>
    <w:rsid w:val="00F96CB0"/>
    <w:rsid w:val="00FB74F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 w:type="paragraph" w:styleId="Bibliography">
    <w:name w:val="Bibliography"/>
    <w:basedOn w:val="Normal"/>
    <w:next w:val="Normal"/>
    <w:uiPriority w:val="37"/>
    <w:unhideWhenUsed/>
    <w:rsid w:val="00DA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63114141">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38560383">
      <w:bodyDiv w:val="1"/>
      <w:marLeft w:val="0"/>
      <w:marRight w:val="0"/>
      <w:marTop w:val="0"/>
      <w:marBottom w:val="0"/>
      <w:divBdr>
        <w:top w:val="none" w:sz="0" w:space="0" w:color="auto"/>
        <w:left w:val="none" w:sz="0" w:space="0" w:color="auto"/>
        <w:bottom w:val="none" w:sz="0" w:space="0" w:color="auto"/>
        <w:right w:val="none" w:sz="0" w:space="0" w:color="auto"/>
      </w:divBdr>
    </w:div>
    <w:div w:id="262812302">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427850080">
      <w:bodyDiv w:val="1"/>
      <w:marLeft w:val="0"/>
      <w:marRight w:val="0"/>
      <w:marTop w:val="0"/>
      <w:marBottom w:val="0"/>
      <w:divBdr>
        <w:top w:val="none" w:sz="0" w:space="0" w:color="auto"/>
        <w:left w:val="none" w:sz="0" w:space="0" w:color="auto"/>
        <w:bottom w:val="none" w:sz="0" w:space="0" w:color="auto"/>
        <w:right w:val="none" w:sz="0" w:space="0" w:color="auto"/>
      </w:divBdr>
    </w:div>
    <w:div w:id="582566268">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30861935">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03747126">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50291207">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897011886">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4734160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168792338">
      <w:bodyDiv w:val="1"/>
      <w:marLeft w:val="0"/>
      <w:marRight w:val="0"/>
      <w:marTop w:val="0"/>
      <w:marBottom w:val="0"/>
      <w:divBdr>
        <w:top w:val="none" w:sz="0" w:space="0" w:color="auto"/>
        <w:left w:val="none" w:sz="0" w:space="0" w:color="auto"/>
        <w:bottom w:val="none" w:sz="0" w:space="0" w:color="auto"/>
        <w:right w:val="none" w:sz="0" w:space="0" w:color="auto"/>
      </w:divBdr>
    </w:div>
    <w:div w:id="1174491397">
      <w:bodyDiv w:val="1"/>
      <w:marLeft w:val="0"/>
      <w:marRight w:val="0"/>
      <w:marTop w:val="0"/>
      <w:marBottom w:val="0"/>
      <w:divBdr>
        <w:top w:val="none" w:sz="0" w:space="0" w:color="auto"/>
        <w:left w:val="none" w:sz="0" w:space="0" w:color="auto"/>
        <w:bottom w:val="none" w:sz="0" w:space="0" w:color="auto"/>
        <w:right w:val="none" w:sz="0" w:space="0" w:color="auto"/>
      </w:divBdr>
    </w:div>
    <w:div w:id="1210342476">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276909892">
      <w:bodyDiv w:val="1"/>
      <w:marLeft w:val="0"/>
      <w:marRight w:val="0"/>
      <w:marTop w:val="0"/>
      <w:marBottom w:val="0"/>
      <w:divBdr>
        <w:top w:val="none" w:sz="0" w:space="0" w:color="auto"/>
        <w:left w:val="none" w:sz="0" w:space="0" w:color="auto"/>
        <w:bottom w:val="none" w:sz="0" w:space="0" w:color="auto"/>
        <w:right w:val="none" w:sz="0" w:space="0" w:color="auto"/>
      </w:divBdr>
    </w:div>
    <w:div w:id="1300645999">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358000398">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22292836">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563835497">
      <w:bodyDiv w:val="1"/>
      <w:marLeft w:val="0"/>
      <w:marRight w:val="0"/>
      <w:marTop w:val="0"/>
      <w:marBottom w:val="0"/>
      <w:divBdr>
        <w:top w:val="none" w:sz="0" w:space="0" w:color="auto"/>
        <w:left w:val="none" w:sz="0" w:space="0" w:color="auto"/>
        <w:bottom w:val="none" w:sz="0" w:space="0" w:color="auto"/>
        <w:right w:val="none" w:sz="0" w:space="0" w:color="auto"/>
      </w:divBdr>
    </w:div>
    <w:div w:id="1630431821">
      <w:bodyDiv w:val="1"/>
      <w:marLeft w:val="0"/>
      <w:marRight w:val="0"/>
      <w:marTop w:val="0"/>
      <w:marBottom w:val="0"/>
      <w:divBdr>
        <w:top w:val="none" w:sz="0" w:space="0" w:color="auto"/>
        <w:left w:val="none" w:sz="0" w:space="0" w:color="auto"/>
        <w:bottom w:val="none" w:sz="0" w:space="0" w:color="auto"/>
        <w:right w:val="none" w:sz="0" w:space="0" w:color="auto"/>
      </w:divBdr>
    </w:div>
    <w:div w:id="1641349791">
      <w:bodyDiv w:val="1"/>
      <w:marLeft w:val="0"/>
      <w:marRight w:val="0"/>
      <w:marTop w:val="0"/>
      <w:marBottom w:val="0"/>
      <w:divBdr>
        <w:top w:val="none" w:sz="0" w:space="0" w:color="auto"/>
        <w:left w:val="none" w:sz="0" w:space="0" w:color="auto"/>
        <w:bottom w:val="none" w:sz="0" w:space="0" w:color="auto"/>
        <w:right w:val="none" w:sz="0" w:space="0" w:color="auto"/>
      </w:divBdr>
    </w:div>
    <w:div w:id="1777746197">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27892912">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1516039">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 w:id="21227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6</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7</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8</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10</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31</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32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14</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15</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17</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9</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33</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34</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35</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27</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5</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23</b:RefOrder>
  </b:Source>
  <b:Source>
    <b:Tag>Eri181</b:Tag>
    <b:SourceType>ConferenceProceedings</b:SourceType>
    <b:Guid>{F95AF969-B445-4D57-B583-671E43190E47}</b:Guid>
    <b:Title>Community finding of malware and exploit vendors on darkweb marketplaces</b:Title>
    <b:Year>2018</b:Year>
    <b:ConferenceName>1st International Conference on Data Intelligence and Security</b:ConferenceName>
    <b:City>South Padre Island, TX, USA</b:City>
    <b:Author>
      <b:Author>
        <b:NameList>
          <b:Person>
            <b:Last>Ericsson</b:Last>
            <b:First>M</b:First>
          </b:Person>
          <b:Person>
            <b:Last>Almukaynizi</b:Last>
            <b:First>M</b:First>
          </b:Person>
          <b:Person>
            <b:Last>Nunes</b:Last>
            <b:First>E</b:First>
          </b:Person>
          <b:Person>
            <b:Last>Shakarian</b:Last>
            <b:First>P</b:First>
          </b:Person>
        </b:NameList>
      </b:Author>
    </b:Author>
    <b:Pages>81-84</b:Pages>
    <b:DOI>https://doi.org/10.1109/ICDIS.2018.00019.</b:DOI>
    <b:RefOrder>24</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18</b:RefOrder>
  </b:Source>
  <b:Source>
    <b:Tag>Bly18</b:Tag>
    <b:SourceType>JournalArticle</b:SourceType>
    <b:Guid>{AE3F9E58-8028-4DA6-BB51-0279D68C5A7C}</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b:JournalName>
    <b:Year>2018</b:Year>
    <b:Pages>87-97</b:Pages>
    <b:Month>October</b:Month>
    <b:Volume>87</b:Volume>
    <b:DOI>https://doi.org/10.1016/j.chb.2018.05.023</b:DOI>
    <b:RefOrder>21</b:RefOrder>
  </b:Source>
  <b:Source>
    <b:Tag>Bru17</b:Tag>
    <b:SourceType>JournalArticle</b:SourceType>
    <b:Guid>{3D8DFCCF-B306-49F3-99D3-709D14CA0853}</b:Guid>
    <b:Author>
      <b:Author>
        <b:NameList>
          <b:Person>
            <b:Last>de Bruijn</b:Last>
            <b:First>H</b:First>
          </b:Person>
          <b:Person>
            <b:Last>Janssen</b:Last>
            <b:First>M</b:First>
          </b:Person>
        </b:NameList>
      </b:Author>
    </b:Author>
    <b:Title>Building cybersecurity awareness: the need for evidence-based framing strategies</b:Title>
    <b:JournalName>Government Information Quarterly</b:JournalName>
    <b:Year>2017</b:Year>
    <b:Pages>1-7</b:Pages>
    <b:Month>January</b:Month>
    <b:Volume>34</b:Volume>
    <b:Issue>1</b:Issue>
    <b:DOI>https://doi.org/10.1016/j.giq.2017.02.007</b:DOI>
    <b:RefOrder>2</b:RefOrder>
  </b:Source>
  <b:Source>
    <b:Tag>Eli18</b:Tag>
    <b:SourceType>JournalArticle</b:SourceType>
    <b:Guid>{F37D2DB7-B59E-4EF3-8601-7BC68A2DB851}</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b:JournalName>
    <b:Pages>61-73</b:Pages>
    <b:Volume>38</b:Volume>
    <b:Issue>2</b:Issue>
    <b:URL>https://search-ebscohost-com.proxy1.ncu.edu/login.aspx?direct=true&amp;db=bth&amp;AN=129631258&amp;site=eds-live</b:URL>
    <b:RefOrder>22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25</b:RefOrder>
  </b:Source>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19</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30</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20</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s>
</file>

<file path=customXml/itemProps1.xml><?xml version="1.0" encoding="utf-8"?>
<ds:datastoreItem xmlns:ds="http://schemas.openxmlformats.org/officeDocument/2006/customXml" ds:itemID="{BAE2F88C-7FDC-4005-BFF1-A7DF44898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22</Pages>
  <Words>5754</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2019-05-19T17:38:00Z</dcterms:created>
  <dcterms:modified xsi:type="dcterms:W3CDTF">2020-05-24T15:08:00Z</dcterms:modified>
</cp:coreProperties>
</file>