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74B9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C7357C">
      <w:pPr>
        <w:pStyle w:val="Heading1"/>
      </w:pPr>
      <w:r>
        <w:lastRenderedPageBreak/>
        <w:t>Setting the stage</w:t>
      </w:r>
    </w:p>
    <w:p w14:paraId="419A2AE8" w14:textId="2910C2AE" w:rsidR="00F47BD1" w:rsidRDefault="00F47BD1" w:rsidP="00C7357C">
      <w:pPr>
        <w:pStyle w:val="Heading2"/>
      </w:pPr>
      <w:r>
        <w:t>What is Cybersecurity</w:t>
      </w:r>
    </w:p>
    <w:p w14:paraId="03094D81" w14:textId="543E5D0C" w:rsidR="00854D29" w:rsidRPr="00854D29" w:rsidRDefault="00854D29" w:rsidP="00854D29">
      <w:pPr>
        <w:ind w:firstLine="720"/>
      </w:pPr>
      <w:proofErr w:type="spellStart"/>
      <w:r>
        <w:t>CyberSecurity</w:t>
      </w:r>
      <w:proofErr w:type="spellEnd"/>
      <w:r>
        <w:t xml:space="preserve"> refers to a collection of mechanisms and processes that constrain risk to business </w:t>
      </w:r>
      <w:r w:rsidR="00143B57">
        <w:t>systems</w:t>
      </w:r>
      <w:r>
        <w:t xml:space="preserve"> by ensuring they are meet performance and consistency expectations, even under erroneous conditions</w:t>
      </w:r>
      <w:sdt>
        <w:sdtPr>
          <w:id w:val="-1494180555"/>
          <w:citation/>
        </w:sdtPr>
        <w:sdtEnd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or negligent scenarios</w:t>
      </w:r>
      <w:r w:rsidR="0020728E">
        <w:t>, degrading the confidentiality, integrity, and availability of our service offerings</w:t>
      </w:r>
      <w:r>
        <w:t>.  For instance, when two services are communicating across a private network, numerous risks to their continuity exist, such as the switch could become faulty and lossy.  Security protections, like Transport Layer Security (TLS), can detect the hardware failure through checksums that are visible at the application layer.  A second product defect might cause a surge of traffic, and without traffic-shaping technologies results in overloading the downstream services.  A third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They care that the system works.  These scenarios hurt the reputation of the service operators and weaken the competitive position of the business.</w:t>
      </w:r>
    </w:p>
    <w:p w14:paraId="05D9F5DC" w14:textId="372A6C8D" w:rsidR="00F47BD1" w:rsidRDefault="00F47BD1" w:rsidP="00C7357C">
      <w:pPr>
        <w:pStyle w:val="Heading2"/>
      </w:pPr>
      <w:r>
        <w:t xml:space="preserve">How does security enable the </w:t>
      </w:r>
      <w:proofErr w:type="gramStart"/>
      <w:r>
        <w:t>business</w:t>
      </w:r>
      <w:proofErr w:type="gramEnd"/>
    </w:p>
    <w:p w14:paraId="1E8E6631" w14:textId="486654EC" w:rsidR="00EF1AD6" w:rsidRPr="00EF1AD6" w:rsidRDefault="00EF1AD6" w:rsidP="00EF1AD6">
      <w:pPr>
        <w:ind w:firstLine="720"/>
      </w:pPr>
      <w:r>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  However, investments in </w:t>
      </w:r>
      <w:r w:rsidR="00143B57">
        <w:t xml:space="preserve">security </w:t>
      </w:r>
      <w:r>
        <w:t xml:space="preserve">aspects of the organization reduce risk and improve continuity.  </w:t>
      </w:r>
      <w:r w:rsidR="00143B57">
        <w:t xml:space="preserve">For instance, delivering an efficient anti-virus and patch management strategy could limit the blast radius of a malware </w:t>
      </w:r>
      <w:r w:rsidR="00143B57">
        <w:lastRenderedPageBreak/>
        <w:t>infestation.  Another example might include a collection of guard rails that prevent technicians from accidentally corrupting user data or system administrators from overwhelming the network with a misconfigured service.  Hardware dies, traffic is finite, data becomes corrupt, and these incidents necessitate a methodological approach that minimizes the time to detect and recover (MTTD/MTTR).</w:t>
      </w:r>
    </w:p>
    <w:p w14:paraId="5C043304" w14:textId="7B829566" w:rsidR="00854D29" w:rsidRDefault="00854D29" w:rsidP="00854D29">
      <w:pPr>
        <w:pStyle w:val="Heading2"/>
      </w:pPr>
      <w:r>
        <w:t>Framing a Security Message</w:t>
      </w:r>
    </w:p>
    <w:p w14:paraId="21E8E472" w14:textId="0C6912D4" w:rsidR="00854D29" w:rsidRPr="00854D29" w:rsidRDefault="00854D29" w:rsidP="001C78B2">
      <w:pPr>
        <w:ind w:firstLine="720"/>
      </w:pPr>
      <w:r>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sdt>
        <w:sdtPr>
          <w:id w:val="1230808670"/>
          <w:citation/>
        </w:sdtPr>
        <w:sdtEndPr/>
        <w:sdtContent>
          <w:r>
            <w:fldChar w:fldCharType="begin"/>
          </w:r>
          <w:r w:rsidR="00DA6B93">
            <w:instrText xml:space="preserve">CITATION Bru17 \l 1033 </w:instrText>
          </w:r>
          <w:r>
            <w:fldChar w:fldCharType="separate"/>
          </w:r>
          <w:r w:rsidR="00DA6B93">
            <w:rPr>
              <w:noProof/>
            </w:rPr>
            <w:t xml:space="preserve"> (de Bruijn &amp; Janssen, 2017)</w:t>
          </w:r>
          <w:r>
            <w:fldChar w:fldCharType="end"/>
          </w:r>
        </w:sdtContent>
      </w:sdt>
      <w:r>
        <w:t xml:space="preserve">.  These sophisticated adversaries will stop at nothing to exploit our websites and exfiltrate the data.  From the employee perspective, this sounds </w:t>
      </w:r>
      <w:proofErr w:type="spellStart"/>
      <w:r>
        <w:t>far fetched</w:t>
      </w:r>
      <w:proofErr w:type="spellEnd"/>
      <w:r>
        <w:t xml:space="preserve"> and reminiscent of a Michael Bay film.   They do not understand why they should care. Admittedly, our data is not attractive, so why would anyone bother to attack us?  Instead, the message should center around the risks that our software and business processes accep</w:t>
      </w:r>
      <w:r w:rsidR="008839A4">
        <w:t>t-- both</w:t>
      </w:r>
      <w:r>
        <w:t xml:space="preserve"> implicitly and explicitly.  Many risks exist within technology, though a more alarming number originate from the employees</w:t>
      </w:r>
      <w:r w:rsidRPr="007A0CDC">
        <w:t xml:space="preserve"> </w:t>
      </w:r>
      <w:sdt>
        <w:sdtPr>
          <w:id w:val="1569614785"/>
          <w:citation/>
        </w:sdtPr>
        <w:sdtEndPr/>
        <w:sdtContent>
          <w:r>
            <w:fldChar w:fldCharType="begin"/>
          </w:r>
          <w:r w:rsidR="00DA6B93">
            <w:instrText xml:space="preserve">CITATION Val17 \l 1033 </w:instrText>
          </w:r>
          <w:r>
            <w:fldChar w:fldCharType="separate"/>
          </w:r>
          <w:r w:rsidR="00DA6B93">
            <w:rPr>
              <w:noProof/>
            </w:rPr>
            <w:t>(Valiente, 2017)</w:t>
          </w:r>
          <w:r>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Fundamentally, conveying these risks results in the awareness and the formation of strategies around both prevention and recovery.  Perhaps more importantly, it addresses the question, </w:t>
      </w:r>
      <w:r w:rsidR="00737532">
        <w:t>“</w:t>
      </w:r>
      <w:r>
        <w:t>why should I care?</w:t>
      </w:r>
      <w:r w:rsidR="00737532">
        <w:t>”</w:t>
      </w:r>
    </w:p>
    <w:p w14:paraId="265AFF19" w14:textId="77777777" w:rsidR="008839A4" w:rsidRDefault="008839A4">
      <w:pPr>
        <w:rPr>
          <w:b/>
        </w:rPr>
      </w:pPr>
      <w:r>
        <w:br w:type="page"/>
      </w:r>
    </w:p>
    <w:p w14:paraId="6DEB613C" w14:textId="1715473F" w:rsidR="00F47BD1" w:rsidRDefault="00F47BD1" w:rsidP="00C7357C">
      <w:pPr>
        <w:pStyle w:val="Heading2"/>
      </w:pPr>
      <w:r>
        <w:lastRenderedPageBreak/>
        <w:t>Applying a framework to security</w:t>
      </w:r>
    </w:p>
    <w:p w14:paraId="4CA8D55C" w14:textId="596C5088" w:rsidR="00A341C7" w:rsidRDefault="00A341C7" w:rsidP="004957FF">
      <w:pPr>
        <w:ind w:firstLine="720"/>
      </w:pPr>
      <w:r>
        <w:t>There is an abundance of standards and frameworks available to determine if decisions are being made consistently across the industry.  Four common incarnations are the Risk Management Framework (RMF), ISO2700x, NIST Cybersecurity Framework, and COBIT v5.  Each of these approaches follows a similar cycle of plan-act-assess-revise across different aspects of the stack (e.g., authentication, authorization, and auditing).  However, there are differences between the degree of enforcement versus guidance.  The origin of the standard also has a significant influence on the framework designers</w:t>
      </w:r>
      <w:r w:rsidR="00737532">
        <w:t>’</w:t>
      </w:r>
      <w:r>
        <w:t xml:space="preserve"> perspective, such as COBIT deriving from IT auditing then expanding with industry commonalities.</w:t>
      </w:r>
    </w:p>
    <w:p w14:paraId="00F2068A" w14:textId="77777777" w:rsidR="00737532" w:rsidRDefault="00A341C7" w:rsidP="00A341C7">
      <w:pPr>
        <w:ind w:firstLine="720"/>
      </w:pPr>
      <w:r>
        <w:t>While each of these frameworks possesses a similar structure, they differ in terms of prescriptive guidance versus generalizations.  For instance, ISO2700x has stringent requirements that necessitate a cultural shift for many businesses, and this is difficult to scale to an enterprise environment</w:t>
      </w:r>
      <w:sdt>
        <w:sdtPr>
          <w:id w:val="2115399420"/>
          <w:citation/>
        </w:sdtPr>
        <w:sdtEnd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p>
    <w:p w14:paraId="10ACB502" w14:textId="18EC0D8C" w:rsidR="00A341C7" w:rsidRPr="00A341C7" w:rsidRDefault="00737532" w:rsidP="00A341C7">
      <w:pPr>
        <w:ind w:firstLine="720"/>
      </w:pPr>
      <w:r>
        <w:t xml:space="preserve">Choosing a framework requires a gentle hand that is cognizant of both </w:t>
      </w:r>
      <w:r w:rsidR="00A341C7">
        <w:t>time and place</w:t>
      </w:r>
      <w:r>
        <w:t>.  I</w:t>
      </w:r>
      <w:r w:rsidR="00A341C7">
        <w:t>ntroducing schedule risk to inflight commitments through abrupt policy change will always encounter political push back</w:t>
      </w:r>
      <w:sdt>
        <w:sdtPr>
          <w:id w:val="1326631952"/>
          <w:citation/>
        </w:sdtPr>
        <w:sdtEndPr/>
        <w:sdtContent>
          <w:r w:rsidR="00A341C7">
            <w:fldChar w:fldCharType="begin"/>
          </w:r>
          <w:r w:rsidR="00A341C7">
            <w:instrText xml:space="preserve">CITATION Dai19 \l 1033 </w:instrText>
          </w:r>
          <w:r w:rsidR="00A341C7">
            <w:fldChar w:fldCharType="separate"/>
          </w:r>
          <w:r w:rsidR="00A341C7">
            <w:rPr>
              <w:noProof/>
            </w:rPr>
            <w:t xml:space="preserve"> (Dai Zovi, 2019)</w:t>
          </w:r>
          <w:r w:rsidR="00A341C7">
            <w:fldChar w:fldCharType="end"/>
          </w:r>
        </w:sdtContent>
      </w:sdt>
      <w:r w:rsidR="00A341C7">
        <w:t>.</w:t>
      </w:r>
      <w:r w:rsidR="00A341C7" w:rsidRPr="00FE5CC8">
        <w:t xml:space="preserve"> </w:t>
      </w:r>
      <w:r w:rsidR="00A341C7">
        <w:t xml:space="preserve">  For many businesses like HTM, having the flexibility to adopt a framework and then iteratively mature their processes over time reduces that risk and is an easier sell to leadership.  Arguably, this is not the utopian course during the interim. However, movement in the right direction is better than no action.</w:t>
      </w:r>
    </w:p>
    <w:p w14:paraId="5488DFFD" w14:textId="77777777" w:rsidR="005E59D9" w:rsidRDefault="005E59D9">
      <w:pPr>
        <w:rPr>
          <w:b/>
        </w:rPr>
      </w:pPr>
      <w:r>
        <w:br w:type="page"/>
      </w:r>
    </w:p>
    <w:p w14:paraId="63EE4C1F" w14:textId="14A33730" w:rsidR="00F47BD1" w:rsidRDefault="00F47BD1" w:rsidP="00C7357C">
      <w:pPr>
        <w:pStyle w:val="Heading1"/>
      </w:pPr>
      <w:r>
        <w:lastRenderedPageBreak/>
        <w:t xml:space="preserve">What are we </w:t>
      </w:r>
      <w:proofErr w:type="gramStart"/>
      <w:r>
        <w:t>protecting</w:t>
      </w:r>
      <w:proofErr w:type="gramEnd"/>
    </w:p>
    <w:p w14:paraId="6D174F4D" w14:textId="47CBDDC3" w:rsidR="00F47BD1" w:rsidRDefault="00F47BD1" w:rsidP="00C7357C">
      <w:pPr>
        <w:pStyle w:val="Heading2"/>
      </w:pPr>
      <w:r>
        <w:t>People</w:t>
      </w:r>
    </w:p>
    <w:p w14:paraId="7BCAFA16" w14:textId="5B80F3E6" w:rsidR="003C04D6" w:rsidRDefault="003C04D6" w:rsidP="00D11F2F">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w:t>
      </w:r>
      <w:r w:rsidR="00D11F2F">
        <w:t>system</w:t>
      </w:r>
      <w:r>
        <w:t xml:space="preserve"> commands.  Businesses that focus on security awareness training can reduce these statistics and create more reliable systems.  This awareness needs to touch on </w:t>
      </w:r>
      <w:r w:rsidR="005E59D9">
        <w:t xml:space="preserve">foreign policy </w:t>
      </w:r>
      <w:r>
        <w:t xml:space="preserve">expectations, </w:t>
      </w:r>
      <w:r w:rsidR="00D11F2F">
        <w:t xml:space="preserve">like </w:t>
      </w:r>
      <w:r>
        <w:t>European customer data, cannot leave Europe.</w:t>
      </w:r>
      <w:r w:rsidR="005E59D9">
        <w:t xml:space="preserve">  However, even domestic policies differ</w:t>
      </w:r>
      <w:r w:rsidR="002F04E7">
        <w:t>,</w:t>
      </w:r>
      <w:r w:rsidR="005E59D9">
        <w:t xml:space="preserve"> such as California and Delaware having stricter privacy laws than federal legislation.</w:t>
      </w:r>
      <w:r w:rsidR="00D11F2F">
        <w:t xml:space="preserve">  </w:t>
      </w:r>
      <w:proofErr w:type="gramStart"/>
      <w:r>
        <w:t>Initially</w:t>
      </w:r>
      <w:proofErr w:type="gramEnd"/>
      <w:r>
        <w:t xml:space="preserve">,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w:t>
      </w:r>
      <w:r w:rsidR="002F04E7">
        <w:t xml:space="preserve">new </w:t>
      </w:r>
      <w:r>
        <w:t>markets.</w:t>
      </w:r>
      <w:r w:rsidR="002F04E7">
        <w:t xml:space="preserve">  That training can guide all levels of the organization to reach out to subject matter experts because they are aware of the inherent complexity.</w:t>
      </w:r>
      <w:r>
        <w:t xml:space="preserve"> </w:t>
      </w:r>
    </w:p>
    <w:p w14:paraId="6FA96B79" w14:textId="068A6789" w:rsidR="00D37CFD" w:rsidRPr="00D37CFD" w:rsidRDefault="00D37CFD" w:rsidP="00D37CFD">
      <w:pPr>
        <w:ind w:firstLine="720"/>
      </w:pPr>
      <w:r>
        <w:t xml:space="preserve">It can be helpful to think of </w:t>
      </w:r>
      <w:r w:rsidR="00F00D3A">
        <w:t xml:space="preserve">customer </w:t>
      </w:r>
      <w:r>
        <w:t xml:space="preserve">identity </w:t>
      </w:r>
      <w:r w:rsidR="00F00D3A">
        <w:t xml:space="preserve">as a </w:t>
      </w:r>
      <w:r w:rsidR="00D11F2F">
        <w:t xml:space="preserve">user </w:t>
      </w:r>
      <w:r>
        <w:t xml:space="preserve">profile </w:t>
      </w:r>
      <w:r w:rsidR="00F00D3A">
        <w:t xml:space="preserve">that contains </w:t>
      </w:r>
      <w:r w:rsidR="00D11F2F">
        <w:t xml:space="preserve">collections of </w:t>
      </w:r>
      <w:r>
        <w:t>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w:t>
      </w:r>
      <w:r w:rsidR="00D11F2F">
        <w:t>our services</w:t>
      </w:r>
      <w:r>
        <w:t xml:space="preserve"> understand the context of the user</w:t>
      </w:r>
      <w:r w:rsidR="00737532">
        <w:t>’</w:t>
      </w:r>
      <w:r>
        <w:t xml:space="preserve">s profile, the experience can be customized and produce more </w:t>
      </w:r>
      <w:r w:rsidR="00D11F2F">
        <w:t>desirable experiences</w:t>
      </w:r>
      <w:r>
        <w:t>.  The payment for access to these inferences and decision processes comes from personal information, such as calendars, contacts, and routines</w:t>
      </w:r>
      <w:sdt>
        <w:sdtPr>
          <w:id w:val="-2030861568"/>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This trade creates privacy concerns that can be subtle and can go unnoticed for some time.</w:t>
      </w:r>
      <w:r w:rsidR="00BA25DB">
        <w:t xml:space="preserve">  </w:t>
      </w:r>
      <w:r>
        <w:t>For instance, numerous platforms integrate into open identity provides like Google and Facebook as a mechanism to simplify enrollment.  However, is that the job the user intended to hire</w:t>
      </w:r>
      <w:sdt>
        <w:sdtPr>
          <w:id w:val="-902989080"/>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xml:space="preserve">?  Through an exchange of convenience, the user becomes trackable across </w:t>
      </w:r>
      <w:r>
        <w:lastRenderedPageBreak/>
        <w:t>multiple sites and web services</w:t>
      </w:r>
      <w:sdt>
        <w:sdtPr>
          <w:id w:val="1253400899"/>
          <w:citation/>
        </w:sdtPr>
        <w:sdtEnd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End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EF022E2" w14:textId="22761C08" w:rsidR="00F47BD1" w:rsidRDefault="00F47BD1" w:rsidP="00C7357C">
      <w:pPr>
        <w:pStyle w:val="Heading2"/>
      </w:pPr>
      <w:r>
        <w:t>Processes</w:t>
      </w:r>
    </w:p>
    <w:p w14:paraId="698D6BD1" w14:textId="36AEE41F" w:rsidR="003C04D6" w:rsidRDefault="003C04D6" w:rsidP="00D37CFD">
      <w:pPr>
        <w:ind w:firstLine="720"/>
      </w:pPr>
      <w:r>
        <w:t xml:space="preserve">Protecting against </w:t>
      </w:r>
      <w:r w:rsidR="00BA25DB">
        <w:t xml:space="preserve">foreign and domestic </w:t>
      </w:r>
      <w:r>
        <w:t xml:space="preserve">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w:t>
      </w:r>
      <w:r w:rsidR="00BA25DB">
        <w:t>Interception of t</w:t>
      </w:r>
      <w:r>
        <w:t xml:space="preserve">hose conversations </w:t>
      </w:r>
      <w:r w:rsidR="00BA25DB">
        <w:t xml:space="preserve">by </w:t>
      </w:r>
      <w:r>
        <w:t>nation-states</w:t>
      </w:r>
      <w:r w:rsidR="00BA25DB">
        <w:t xml:space="preserve"> will occur—e</w:t>
      </w:r>
      <w:r>
        <w:t xml:space="preserve">ither across the wire </w:t>
      </w:r>
      <w:r w:rsidR="00BA25DB">
        <w:t>or from an</w:t>
      </w:r>
      <w:r>
        <w:t xml:space="preserve">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w:t>
      </w:r>
    </w:p>
    <w:p w14:paraId="67E04657" w14:textId="2D60388B" w:rsidR="00EF1AD6" w:rsidRPr="00D37CFD" w:rsidRDefault="00D37CFD" w:rsidP="00BA25DB">
      <w:pPr>
        <w:ind w:firstLine="720"/>
      </w:pPr>
      <w:r>
        <w:t>Manufacturing facilities are evolving into massive CPS ecosystems through Industrial IoT devices feeding into complex event processing systems</w:t>
      </w:r>
      <w:sdt>
        <w:sdtPr>
          <w:id w:val="1182395945"/>
          <w:citation/>
        </w:sdtPr>
        <w:sdtEndPr/>
        <w:sdtContent>
          <w:r>
            <w:fldChar w:fldCharType="begin"/>
          </w:r>
          <w:r>
            <w:instrText xml:space="preserve"> CITATION Bab16 \l 1033 </w:instrText>
          </w:r>
          <w:r>
            <w:fldChar w:fldCharType="separate"/>
          </w:r>
          <w:r>
            <w:rPr>
              <w:noProof/>
            </w:rPr>
            <w:t xml:space="preserve"> (Babiceanu, 2016)</w:t>
          </w:r>
          <w:r>
            <w:fldChar w:fldCharType="end"/>
          </w:r>
        </w:sdtContent>
      </w:sdt>
      <w:r>
        <w:t xml:space="preserve">.  This approach </w:t>
      </w:r>
      <w:r>
        <w:lastRenderedPageBreak/>
        <w:t>reduces costs by increasing automation efficiencies.  Reliance on automation also increases the opacity of decision-making processes and introduces additional risk vectors</w:t>
      </w:r>
      <w:sdt>
        <w:sdtPr>
          <w:id w:val="-1283337630"/>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sdt>
        <w:sdtPr>
          <w:id w:val="-1099015800"/>
          <w:citation/>
        </w:sdtPr>
        <w:sdtEndPr/>
        <w:sdtContent>
          <w:r>
            <w:fldChar w:fldCharType="begin"/>
          </w:r>
          <w:r>
            <w:instrText xml:space="preserve"> CITATION Fro181 \l 1033 </w:instrText>
          </w:r>
          <w:r>
            <w:fldChar w:fldCharType="separate"/>
          </w:r>
          <w:r>
            <w:rPr>
              <w:noProof/>
            </w:rPr>
            <w:t xml:space="preserve"> (Frodigh, 2018)</w:t>
          </w:r>
          <w:r>
            <w:fldChar w:fldCharType="end"/>
          </w:r>
        </w:sdtContent>
      </w:sdt>
      <w:r>
        <w:t xml:space="preserve">.  CPS technologies can </w:t>
      </w:r>
      <w:proofErr w:type="gramStart"/>
      <w:r>
        <w:t>enter into</w:t>
      </w:r>
      <w:proofErr w:type="gramEnd"/>
      <w:r>
        <w:t xml:space="preserve"> this erroneous state due to Denial of Service states (DoS) caused by malicious actors, malware, and negligent administrators.</w:t>
      </w:r>
      <w:r w:rsidR="00BA25DB">
        <w:t xml:space="preserve">  Process designers need to minimize these risks by evaluating the impact of time sensitivity on their implementation.</w:t>
      </w:r>
    </w:p>
    <w:p w14:paraId="2EEA0CE1" w14:textId="28D30E05" w:rsidR="00F47BD1" w:rsidRDefault="00F47BD1" w:rsidP="00C7357C">
      <w:pPr>
        <w:pStyle w:val="Heading2"/>
      </w:pPr>
      <w:r>
        <w:t>Products</w:t>
      </w:r>
    </w:p>
    <w:p w14:paraId="43CD97AE" w14:textId="7CE018C6" w:rsidR="003C04D6" w:rsidRPr="003C04D6" w:rsidRDefault="003C04D6" w:rsidP="003C04D6">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210106688"/>
          <w:citation/>
        </w:sdtPr>
        <w:sdtEnd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35FFE7E1" w14:textId="4B1F9A74" w:rsidR="00D37CFD" w:rsidRDefault="00D37CFD" w:rsidP="00D37CFD">
      <w:pPr>
        <w:ind w:firstLine="720"/>
      </w:pPr>
      <w:r>
        <w:t xml:space="preserve">There is an economic incentive for businesses to churn out new </w:t>
      </w:r>
      <w:r w:rsidR="008135B9">
        <w:t>products and devices</w:t>
      </w:r>
      <w:r>
        <w:t xml:space="preserve"> with more innovative, instead of investing in security protections for those features</w:t>
      </w:r>
      <w:sdt>
        <w:sdtPr>
          <w:id w:val="-31344440"/>
          <w:citation/>
        </w:sdtPr>
        <w:sdtEndPr/>
        <w:sdtContent>
          <w:r>
            <w:fldChar w:fldCharType="begin"/>
          </w:r>
          <w:r>
            <w:instrText xml:space="preserve">CITATION LiZ18 \l 1033 </w:instrText>
          </w:r>
          <w:r>
            <w:fldChar w:fldCharType="separate"/>
          </w:r>
          <w:r>
            <w:rPr>
              <w:noProof/>
            </w:rPr>
            <w:t xml:space="preserve"> (Li &amp; Liao, </w:t>
          </w:r>
          <w:r>
            <w:rPr>
              <w:noProof/>
            </w:rPr>
            <w:lastRenderedPageBreak/>
            <w:t>2018)</w:t>
          </w:r>
          <w:r>
            <w:fldChar w:fldCharType="end"/>
          </w:r>
        </w:sdtContent>
      </w:sdt>
      <w:r>
        <w:t>.  For many retail markets, the customer makes purchasing decisions predominantly on which product has the most features at the lowest price.  Meanwhile, devices such as 8-bit micro-controllers, lack the computing resources necessary to support authentication, authorization, auditing, and transport encryption</w:t>
      </w:r>
      <w:sdt>
        <w:sdtPr>
          <w:id w:val="1940564546"/>
          <w:citation/>
        </w:sdtPr>
        <w:sdtEnd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w:t>
      </w:r>
      <w:r w:rsidR="008135B9">
        <w:t>product</w:t>
      </w:r>
      <w:r>
        <w:t xml:space="preserve"> does not work.  If the customer believes that the </w:t>
      </w:r>
      <w:r w:rsidR="008135B9">
        <w:t>offering</w:t>
      </w:r>
      <w:r>
        <w:t xml:space="preserve"> is faulty, they leave bad reviews online, contact support, and request replacements—all of which cost the business money.</w:t>
      </w:r>
    </w:p>
    <w:p w14:paraId="61D45D31" w14:textId="4C5052AD" w:rsidR="00F47BD1" w:rsidRDefault="00F47BD1" w:rsidP="00C7357C">
      <w:pPr>
        <w:pStyle w:val="Heading2"/>
      </w:pPr>
      <w:r>
        <w:t>Information</w:t>
      </w:r>
    </w:p>
    <w:p w14:paraId="3E8368D1" w14:textId="6CEAF2BA" w:rsidR="00F47BD1" w:rsidRDefault="00F47BD1" w:rsidP="00C7357C">
      <w:pPr>
        <w:pStyle w:val="Heading1"/>
      </w:pPr>
      <w:r>
        <w:t>Who</w:t>
      </w:r>
      <w:r w:rsidR="00C7357C">
        <w:t>m</w:t>
      </w:r>
      <w:r>
        <w:t xml:space="preserve"> are we </w:t>
      </w:r>
      <w:r w:rsidR="008135B9">
        <w:t>defending</w:t>
      </w:r>
      <w:r>
        <w:t xml:space="preserve"> </w:t>
      </w:r>
      <w:proofErr w:type="gramStart"/>
      <w:r>
        <w:t>against</w:t>
      </w:r>
      <w:proofErr w:type="gramEnd"/>
    </w:p>
    <w:p w14:paraId="49C41E61" w14:textId="1B2C7905" w:rsidR="00F47BD1" w:rsidRDefault="00F47BD1" w:rsidP="00C7357C">
      <w:pPr>
        <w:pStyle w:val="Heading2"/>
      </w:pPr>
      <w:r>
        <w:t>Negligence</w:t>
      </w:r>
    </w:p>
    <w:p w14:paraId="142B6D51" w14:textId="66B985A3" w:rsidR="003B150F" w:rsidRPr="003B150F" w:rsidRDefault="003B150F" w:rsidP="003B150F">
      <w:pPr>
        <w:ind w:firstLine="720"/>
      </w:pPr>
      <w:r>
        <w:t xml:space="preserve">When we step back and look at the numbers, half </w:t>
      </w:r>
      <w:r w:rsidR="008135B9">
        <w:t xml:space="preserve">security incidents come from employee negligence.  Their </w:t>
      </w:r>
      <w:r>
        <w:t>interact</w:t>
      </w:r>
      <w:r w:rsidR="008135B9">
        <w:t>ion</w:t>
      </w:r>
      <w:r>
        <w:t xml:space="preserve"> with hostile automation, e.g., phishing attacks and malicious mobile apps</w:t>
      </w:r>
      <w:r w:rsidR="008135B9">
        <w:t>, along with trying to find the path of least resistance for completing their job—bypasses safety protocols.  Malicious actors (e.g., scam artists) and technical glitches account for the remainder</w:t>
      </w:r>
      <w:r>
        <w:t xml:space="preserve">.  </w:t>
      </w:r>
      <w:r w:rsidR="008135B9">
        <w:t xml:space="preserve">Those </w:t>
      </w:r>
      <w:r>
        <w:t>figures suggest that creating a more security-aware culture could remove nearly half of the attack surface and strengthen business continuity</w:t>
      </w:r>
      <w:sdt>
        <w:sdtPr>
          <w:id w:val="-176345196"/>
          <w:citation/>
        </w:sdtPr>
        <w:sdtEndPr/>
        <w:sdtContent>
          <w:r>
            <w:fldChar w:fldCharType="begin"/>
          </w:r>
          <w:r w:rsidR="00DA6B93">
            <w:instrText xml:space="preserve">CITATION Val17 \l 1033 </w:instrText>
          </w:r>
          <w:r>
            <w:fldChar w:fldCharType="separate"/>
          </w:r>
          <w:r w:rsidR="00DA6B93">
            <w:rPr>
              <w:noProof/>
            </w:rPr>
            <w:t xml:space="preserve"> (Valiente, 2017)</w:t>
          </w:r>
          <w:r>
            <w:fldChar w:fldCharType="end"/>
          </w:r>
        </w:sdtContent>
      </w:sdt>
      <w:r>
        <w:t xml:space="preserve">.  For instance, when network engineers understand risk management, they create features that consider scalability and availability during the design versus after the solution has </w:t>
      </w:r>
      <w:proofErr w:type="gramStart"/>
      <w:r>
        <w:t>failed</w:t>
      </w:r>
      <w:r w:rsidR="00DA6B93">
        <w:t>(</w:t>
      </w:r>
      <w:proofErr w:type="gramEnd"/>
      <w:r w:rsidR="00DA6B93">
        <w:t>Mickens, 2015)</w:t>
      </w:r>
      <w:r>
        <w:t xml:space="preserve">.  It is too late to discuss service redundancies and fail-over technologies after the service is offline, or least privileges after a support technician accidentally corrupts customer data.  These challenges will continue to occur until there is sufficient awareness, and team members </w:t>
      </w:r>
      <w:r>
        <w:lastRenderedPageBreak/>
        <w:t>understand the damage that follows their actions.  If we can at least stop the good guys doing bad stuff, the organization would be in a much better position.</w:t>
      </w:r>
    </w:p>
    <w:p w14:paraId="0339D144" w14:textId="167CB8A4" w:rsidR="00F47BD1" w:rsidRDefault="00F47BD1" w:rsidP="00C7357C">
      <w:pPr>
        <w:pStyle w:val="Heading2"/>
      </w:pPr>
      <w:r>
        <w:t>International actors</w:t>
      </w:r>
    </w:p>
    <w:p w14:paraId="6528A18B" w14:textId="77777777" w:rsidR="00A23619" w:rsidRDefault="00A23619" w:rsidP="00A23619">
      <w:pPr>
        <w:pStyle w:val="Heading3"/>
      </w:pPr>
      <w:r w:rsidRPr="00DE5203">
        <w:t>Cyberespionage</w:t>
      </w:r>
      <w:r>
        <w:t xml:space="preserve">  </w:t>
      </w:r>
    </w:p>
    <w:p w14:paraId="62CA41E3" w14:textId="746981F1" w:rsidR="00A23619" w:rsidRDefault="00A23619" w:rsidP="00A23619">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fldChar w:fldCharType="begin"/>
          </w:r>
          <w:r>
            <w:instrText xml:space="preserve"> CITATION Ben19 \l 1033 </w:instrText>
          </w:r>
          <w:r>
            <w:fldChar w:fldCharType="separate"/>
          </w:r>
          <w:r>
            <w:rPr>
              <w:noProof/>
            </w:rPr>
            <w:t xml:space="preserve"> (Bensinger, 2019)</w:t>
          </w:r>
          <w:r>
            <w:fldChar w:fldCharType="end"/>
          </w:r>
        </w:sdtContent>
      </w:sdt>
      <w:r>
        <w:t>.  When the same theft occurs across international borders, jurisdiction becomes less clear and is more challenging to enforce.  Participants in these hostile markets need to be aware that espionage comes from various sources, such as individual hackers and nation-states</w:t>
      </w:r>
      <w:r w:rsidRPr="00351795">
        <w:t xml:space="preserve"> </w:t>
      </w:r>
      <w:sdt>
        <w:sdtPr>
          <w:id w:val="1776277824"/>
          <w:citation/>
        </w:sdtPr>
        <w:sdtContent>
          <w:r>
            <w:fldChar w:fldCharType="begin"/>
          </w:r>
          <w:r>
            <w:instrText xml:space="preserve"> CITATION Kre19 \l 1033 </w:instrText>
          </w:r>
          <w:r>
            <w:fldChar w:fldCharType="separate"/>
          </w:r>
          <w:r>
            <w:rPr>
              <w:noProof/>
            </w:rPr>
            <w:t>(Krebs, 2019)</w:t>
          </w:r>
          <w:r>
            <w:fldChar w:fldCharType="end"/>
          </w:r>
        </w:sdtContent>
      </w:sdt>
      <w:r>
        <w:t>.  International law does not prohibit these nation-states spying, Article 51 of the United Nations charter even allows it under the disguise of self-defense</w:t>
      </w:r>
      <w:sdt>
        <w:sdtPr>
          <w:id w:val="-1288509646"/>
          <w:citation/>
        </w:sdtPr>
        <w:sdtContent>
          <w:r>
            <w:fldChar w:fldCharType="begin"/>
          </w:r>
          <w:r w:rsidR="00DA6B93">
            <w:instrText xml:space="preserve">CITATION Ban17 \l 1033 </w:instrText>
          </w:r>
          <w:r>
            <w:fldChar w:fldCharType="separate"/>
          </w:r>
          <w:r w:rsidR="00DA6B93">
            <w:rPr>
              <w:noProof/>
            </w:rPr>
            <w:t xml:space="preserve"> (Banks, 2017)</w:t>
          </w:r>
          <w:r>
            <w:fldChar w:fldCharType="end"/>
          </w:r>
        </w:sdtContent>
      </w:sdt>
      <w:r>
        <w:t xml:space="preserve">.  Some states argue that different rules should exist for monitoring public and private institutions.  </w:t>
      </w:r>
      <w:r w:rsidRPr="003A5B56">
        <w:t>However, this perspective employs a very Western vie</w:t>
      </w:r>
      <w:r>
        <w:t>w</w:t>
      </w:r>
      <w:r w:rsidRPr="003A5B56">
        <w:t xml:space="preserve">.  For socialist countries, the distinction is </w:t>
      </w:r>
      <w:r>
        <w:t>fuzzier</w:t>
      </w:r>
      <w:r w:rsidRPr="003A5B56">
        <w:t xml:space="preserve"> than a pure</w:t>
      </w:r>
      <w:r>
        <w:t>ly</w:t>
      </w:r>
      <w:r w:rsidRPr="003A5B56">
        <w:t xml:space="preserve"> cap</w:t>
      </w:r>
      <w:r>
        <w:t>it</w:t>
      </w:r>
      <w:r w:rsidRPr="003A5B56">
        <w:t xml:space="preserve">alist society </w:t>
      </w:r>
      <w:r>
        <w:t>as the boundary between the industries lacks a consistent definition.</w:t>
      </w:r>
    </w:p>
    <w:p w14:paraId="099C5D4F" w14:textId="77777777" w:rsidR="00A23619" w:rsidRDefault="00A23619" w:rsidP="00A23619">
      <w:pPr>
        <w:pStyle w:val="Heading3"/>
      </w:pPr>
      <w:r>
        <w:t>Cyber sabotage</w:t>
      </w:r>
    </w:p>
    <w:p w14:paraId="4EB4621F" w14:textId="2CB9D328" w:rsidR="00A23619" w:rsidRDefault="00A23619" w:rsidP="00A23619">
      <w:pPr>
        <w:ind w:firstLine="720"/>
      </w:pPr>
      <w:r>
        <w:t>Using technologies like ransomware, malicious software that encrypts digital devices, nefarious actors can force an organization to purchase decryption keys before restoring service</w:t>
      </w:r>
      <w:sdt>
        <w:sdtPr>
          <w:id w:val="-1274085217"/>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Content>
          <w:r>
            <w:fldChar w:fldCharType="begin"/>
          </w:r>
          <w:r w:rsidR="00DA6B93">
            <w:instrText xml:space="preserve">CITATION Fis17 \l 1033 </w:instrText>
          </w:r>
          <w:r>
            <w:fldChar w:fldCharType="separate"/>
          </w:r>
          <w:r w:rsidR="00DA6B93">
            <w:rPr>
              <w:noProof/>
            </w:rPr>
            <w:t>(Fischerkeller &amp; Harknett, 2017)</w:t>
          </w:r>
          <w:r>
            <w:fldChar w:fldCharType="end"/>
          </w:r>
        </w:sdtContent>
      </w:sdt>
      <w:r>
        <w:t xml:space="preserve">.  Technological solutions like deploying </w:t>
      </w:r>
      <w:r>
        <w:lastRenderedPageBreak/>
        <w:t>applications across multiple Public Cloud Service Provider (CSP) data centers can minimize the influence of DoS attacks.  However, these same legal protections do not uniformly exist across the globe, and regulations around data placement can limit the accessibility of flexible fail-over solutions.</w:t>
      </w:r>
    </w:p>
    <w:p w14:paraId="7A1DE86B" w14:textId="77777777" w:rsidR="00A23619" w:rsidRDefault="00A23619" w:rsidP="00A23619">
      <w:pPr>
        <w:pStyle w:val="Heading3"/>
      </w:pPr>
      <w:r>
        <w:t>Subversion</w:t>
      </w:r>
    </w:p>
    <w:p w14:paraId="686A5711" w14:textId="3DDFA604" w:rsidR="00A23619" w:rsidRPr="00077C00" w:rsidRDefault="00A23619" w:rsidP="00A23619">
      <w:pPr>
        <w:ind w:firstLine="720"/>
      </w:pPr>
      <w:r>
        <w:t>The international community does not agree on the strict definition of what constitutes a cyber-attack</w:t>
      </w:r>
      <w:sdt>
        <w:sdtPr>
          <w:id w:val="567532436"/>
          <w:citation/>
        </w:sdtPr>
        <w:sdtContent>
          <w:r>
            <w:fldChar w:fldCharType="begin"/>
          </w:r>
          <w:r w:rsidR="00DA6B93">
            <w:instrText xml:space="preserve">CITATION Fis17 \l 1033 </w:instrText>
          </w:r>
          <w:r>
            <w:fldChar w:fldCharType="separate"/>
          </w:r>
          <w:r w:rsidR="00DA6B93">
            <w:rPr>
              <w:noProof/>
            </w:rPr>
            <w:t xml:space="preserve"> (Fischerkeller &amp; Harknett, 2017)</w:t>
          </w:r>
          <w:r>
            <w:fldChar w:fldCharType="end"/>
          </w:r>
        </w:sdtContent>
      </w:sdt>
      <w:r>
        <w:t>.  These differences influence auditing and compliance requirements between countries and prevent direct comparisons across policies or statistics</w:t>
      </w:r>
      <w:sdt>
        <w:sdtPr>
          <w:id w:val="-1995171479"/>
          <w:citation/>
        </w:sdtPr>
        <w:sdtContent>
          <w:r>
            <w:fldChar w:fldCharType="begin"/>
          </w:r>
          <w:r w:rsidR="00DA6B93">
            <w:instrText xml:space="preserve">CITATION Mat14 \l 1033 </w:instrText>
          </w:r>
          <w:r>
            <w:fldChar w:fldCharType="separate"/>
          </w:r>
          <w:r w:rsidR="00DA6B93">
            <w:rPr>
              <w:noProof/>
            </w:rPr>
            <w:t xml:space="preserve"> (Matsubara, 2014)</w:t>
          </w:r>
          <w:r>
            <w:fldChar w:fldCharType="end"/>
          </w:r>
        </w:sdtContent>
      </w:sdt>
      <w:r>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“A” claims to be more secure than “B.” Without a carrot or stick, how can a domestic company ensure security incidents are timely and accurately communicated?  Imagine the challenges with less reputable </w:t>
      </w:r>
      <w:proofErr w:type="gramStart"/>
      <w:r>
        <w:t>entities, if</w:t>
      </w:r>
      <w:proofErr w:type="gramEnd"/>
      <w:r>
        <w:t xml:space="preserve"> these are the risks with legitimate partners.</w:t>
      </w:r>
    </w:p>
    <w:p w14:paraId="174EDC0B" w14:textId="03048E89" w:rsidR="00F47BD1" w:rsidRDefault="00F00D3A" w:rsidP="00C7357C">
      <w:pPr>
        <w:pStyle w:val="Heading2"/>
      </w:pPr>
      <w:r>
        <w:t>Scammers, Spammers, and Robots</w:t>
      </w:r>
    </w:p>
    <w:p w14:paraId="60DCDC8F" w14:textId="7A0198BA" w:rsidR="00F00D3A" w:rsidRPr="00F00D3A" w:rsidRDefault="00F00D3A" w:rsidP="00F00D3A">
      <w:r>
        <w:tab/>
      </w:r>
      <w:r>
        <w:t>Attacks from these anonymous guests is 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cluster targets and attack the signature as a whole</w:t>
      </w:r>
      <w:sdt>
        <w:sdtPr>
          <w:id w:val="229960712"/>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 xml:space="preserve">.  Substantial effort goes into protecting these platforms, but little </w:t>
      </w:r>
      <w:r>
        <w:lastRenderedPageBreak/>
        <w:t>attention considers the other side of the equation—all of these people</w:t>
      </w:r>
      <w:sdt>
        <w:sdtPr>
          <w:id w:val="-1282330335"/>
          <w:citation/>
        </w:sdtPr>
        <w:sdtContent>
          <w:r>
            <w:fldChar w:fldCharType="begin"/>
          </w:r>
          <w:r w:rsidR="00DA6B93">
            <w:instrText xml:space="preserve">CITATION Bly18 \l 1033 </w:instrText>
          </w:r>
          <w:r>
            <w:fldChar w:fldCharType="separate"/>
          </w:r>
          <w:r w:rsidR="00DA6B93">
            <w:rPr>
              <w:noProof/>
            </w:rPr>
            <w:t xml:space="preserve"> (Blythe &amp; Coventry, 2018)</w:t>
          </w:r>
          <w:r>
            <w:fldChar w:fldCharType="end"/>
          </w:r>
        </w:sdtContent>
      </w:sdt>
      <w:r>
        <w:t>.  Modern enterprise networks have hundreds of users that are authorized to perform tasks. When those users fail, it can be very challenging to detect, mitigate, or even control the blast radius</w:t>
      </w:r>
      <w:r w:rsidRPr="007A0CDC">
        <w:t xml:space="preserve"> </w:t>
      </w:r>
      <w:sdt>
        <w:sdtPr>
          <w:id w:val="-112904908"/>
          <w:citation/>
        </w:sdtPr>
        <w:sdtContent>
          <w:r>
            <w:fldChar w:fldCharType="begin"/>
          </w:r>
          <w:r w:rsidR="00DA6B93">
            <w:instrText xml:space="preserve">CITATION Eli18 \l 1033 </w:instrText>
          </w:r>
          <w:r>
            <w:fldChar w:fldCharType="separate"/>
          </w:r>
          <w:r w:rsidR="00DA6B93">
            <w:rPr>
              <w:noProof/>
            </w:rPr>
            <w:t>(Elifoglu, Abel, &amp; Tasseven, 2018)</w:t>
          </w:r>
          <w:r>
            <w:fldChar w:fldCharType="end"/>
          </w:r>
        </w:sdtContent>
      </w:sdt>
      <w:r>
        <w:t>.  This realization creates the need for security engineers to design programs that center around awareness and skepticism.</w:t>
      </w:r>
    </w:p>
    <w:p w14:paraId="584C4A87" w14:textId="2EA195F1" w:rsidR="00F47BD1" w:rsidRDefault="00F47BD1" w:rsidP="00C7357C">
      <w:pPr>
        <w:pStyle w:val="Heading1"/>
      </w:pPr>
      <w:r>
        <w:t xml:space="preserve">How are they attacking </w:t>
      </w:r>
      <w:proofErr w:type="gramStart"/>
      <w:r>
        <w:t>us</w:t>
      </w:r>
      <w:proofErr w:type="gramEnd"/>
    </w:p>
    <w:p w14:paraId="5157DE0E" w14:textId="1CE5787C" w:rsidR="00F47BD1" w:rsidRDefault="00F47BD1" w:rsidP="00C7357C">
      <w:pPr>
        <w:pStyle w:val="Heading2"/>
      </w:pPr>
      <w:r>
        <w:t>Ransomware</w:t>
      </w:r>
      <w:r w:rsidR="00F96CB0">
        <w:t xml:space="preserve"> and Malware</w:t>
      </w:r>
    </w:p>
    <w:p w14:paraId="3D9D9315" w14:textId="702A1AD0" w:rsidR="00F96CB0" w:rsidRDefault="00F96CB0" w:rsidP="00F96CB0">
      <w:pPr>
        <w:ind w:firstLine="720"/>
      </w:pPr>
      <w:r>
        <w:t>Malicious software, or malware, are applications that compromise the confidentiality, integrity, or availability of a system.  These programs infect systems via email, file-sharing services, browser vulnerabilities, spoofed resources, and misconfigured services</w:t>
      </w:r>
      <w:sdt>
        <w:sdtPr>
          <w:id w:val="-2059923441"/>
          <w:citation/>
        </w:sdtPr>
        <w:sdtEndPr/>
        <w:sdtContent>
          <w:r>
            <w:fldChar w:fldCharType="begin"/>
          </w:r>
          <w:r w:rsidR="00DA6B93">
            <w:instrText xml:space="preserve">CITATION Lee17 \l 1033 </w:instrText>
          </w:r>
          <w:r>
            <w:fldChar w:fldCharType="separate"/>
          </w:r>
          <w:r w:rsidR="00DA6B93">
            <w:rPr>
              <w:noProof/>
            </w:rPr>
            <w:t xml:space="preserve"> (Lee, Moon, &amp; Park, 2017)</w:t>
          </w:r>
          <w:r>
            <w:fldChar w:fldCharType="end"/>
          </w:r>
        </w:sdtContent>
      </w:sdt>
      <w:r>
        <w:t>.  It can be challenging to 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42095713"/>
          <w:citation/>
        </w:sdtPr>
        <w:sdtEndPr/>
        <w:sdtContent>
          <w:r w:rsidR="00093786">
            <w:fldChar w:fldCharType="begin"/>
          </w:r>
          <w:r w:rsidR="00093786">
            <w:instrText xml:space="preserve"> CITATION The17 \l 1033 </w:instrText>
          </w:r>
          <w:r w:rsidR="00093786">
            <w:fldChar w:fldCharType="separate"/>
          </w:r>
          <w:r w:rsidR="00093786">
            <w:rPr>
              <w:noProof/>
            </w:rPr>
            <w:t xml:space="preserve"> (Busdicker &amp; Upendra, 2017)</w:t>
          </w:r>
          <w:r w:rsidR="00093786">
            <w:fldChar w:fldCharType="end"/>
          </w:r>
        </w:sdtContent>
      </w:sdt>
      <w:r>
        <w:t xml:space="preserve">.  Since malware comes from different vectors with varying objectives, </w:t>
      </w:r>
      <w:proofErr w:type="gramStart"/>
      <w:r>
        <w:t>detecting</w:t>
      </w:r>
      <w:proofErr w:type="gramEnd"/>
      <w:r>
        <w:t xml:space="preserve"> and preventing all scenarios is nearly impossible.  Even with protection against all known scenarios, criminal social networks have easy access to exploitation packages and zero-day vulnerabilities across the dark web</w:t>
      </w:r>
      <w:sdt>
        <w:sdtPr>
          <w:id w:val="1118097184"/>
          <w:citation/>
        </w:sdtPr>
        <w:sdtEndPr/>
        <w:sdtContent>
          <w:r>
            <w:fldChar w:fldCharType="begin"/>
          </w:r>
          <w:r w:rsidR="00DA6B93">
            <w:instrText xml:space="preserve">CITATION Eri181 \l 1033 </w:instrText>
          </w:r>
          <w:r>
            <w:fldChar w:fldCharType="separate"/>
          </w:r>
          <w:r w:rsidR="00DA6B93">
            <w:rPr>
              <w:noProof/>
            </w:rPr>
            <w:t xml:space="preserve"> (Ericsson, Almukaynizi, Nunes, &amp; Shakarian, 2018)</w:t>
          </w:r>
          <w:r>
            <w:fldChar w:fldCharType="end"/>
          </w:r>
        </w:sdtContent>
      </w:sdt>
      <w:r>
        <w:t xml:space="preserve">.  Given the availability of exploitation software, organizations need to consider these scenarios as part of their risk management planning.  Addressing these unknown unknowns </w:t>
      </w:r>
      <w:r>
        <w:lastRenderedPageBreak/>
        <w:t>requires defense-in-depth mindsets that expand beyond edge firewalls to include more robust Intrusion Detection and Prevention Systems (IDS/IPS).</w:t>
      </w:r>
    </w:p>
    <w:p w14:paraId="063F8FD8" w14:textId="72B50352" w:rsidR="00F47BD1" w:rsidRDefault="00531990" w:rsidP="00C7357C">
      <w:pPr>
        <w:pStyle w:val="Heading2"/>
      </w:pPr>
      <w:r>
        <w:t xml:space="preserve">Patch Management and </w:t>
      </w:r>
      <w:r w:rsidR="00F47BD1">
        <w:t>Zero Days</w:t>
      </w:r>
    </w:p>
    <w:p w14:paraId="70CD0D13" w14:textId="700B6A91" w:rsidR="00EF1AD6" w:rsidRPr="00EF1AD6" w:rsidRDefault="00531990" w:rsidP="00EF1AD6">
      <w:r>
        <w:tab/>
        <w:t>Zero-day black markets allow governments, criminals, and researchers to transact in weaponized exploits</w:t>
      </w:r>
      <w:sdt>
        <w:sdtPr>
          <w:id w:val="-310175906"/>
          <w:citation/>
        </w:sdtPr>
        <w:sdtContent>
          <w:r w:rsidR="003279DA">
            <w:fldChar w:fldCharType="begin"/>
          </w:r>
          <w:r w:rsidR="00DA6B93">
            <w:instrText xml:space="preserve">CITATION Eme171 \l 1033 </w:instrText>
          </w:r>
          <w:r w:rsidR="003279DA">
            <w:fldChar w:fldCharType="separate"/>
          </w:r>
          <w:r w:rsidR="00DA6B93">
            <w:rPr>
              <w:noProof/>
            </w:rPr>
            <w:t xml:space="preserve"> (Emery, 2017)</w:t>
          </w:r>
          <w:r w:rsidR="003279DA">
            <w:fldChar w:fldCharType="end"/>
          </w:r>
        </w:sdtContent>
      </w:sdt>
      <w:r>
        <w:t>.  Defenses against these attacks do not exist, enabling the holder to access the vulnerable system instantly.  However, the more common scenario is that an attacker will use a known vulnerability that is over a year old</w:t>
      </w:r>
      <w:sdt>
        <w:sdtPr>
          <w:id w:val="523522923"/>
          <w:citation/>
        </w:sdtPr>
        <w:sdtContent>
          <w:r w:rsidR="003279DA">
            <w:fldChar w:fldCharType="begin"/>
          </w:r>
          <w:r w:rsidR="003279DA">
            <w:instrText xml:space="preserve"> CITATION Gal17 \l 1033 </w:instrText>
          </w:r>
          <w:r w:rsidR="003279DA">
            <w:fldChar w:fldCharType="separate"/>
          </w:r>
          <w:r w:rsidR="003279DA">
            <w:rPr>
              <w:noProof/>
            </w:rPr>
            <w:t xml:space="preserve"> (Galinec &amp; Steingartner, 2017)</w:t>
          </w:r>
          <w:r w:rsidR="003279DA">
            <w:fldChar w:fldCharType="end"/>
          </w:r>
        </w:sdtContent>
      </w:sdt>
      <w:r>
        <w:t>.</w:t>
      </w:r>
      <w:r w:rsidR="003279DA">
        <w:t xml:space="preserve">  Not only does patch management address the default scenario, but also it is a cheaper problem to solve.  Addressing patch management requires two components; first notification to employees that updates are available and second training to apply them.  Through security training, the staff can be made aware of why the updates are necessary and the reasons for the timely application.</w:t>
      </w:r>
      <w:r w:rsidR="000932D0">
        <w:t xml:space="preserve">  While it can be challenging to mandate software patching, especially in Bring Your Own Device (BYOD) scenarios, network administrators can integrate compliance checks into connectivity lifecycles (e.g., during VPN authorization). </w:t>
      </w:r>
    </w:p>
    <w:p w14:paraId="044CF96C" w14:textId="77777777" w:rsidR="00D63A16" w:rsidRDefault="00D63A16">
      <w:pPr>
        <w:rPr>
          <w:b/>
        </w:rPr>
      </w:pPr>
      <w:r>
        <w:br w:type="page"/>
      </w:r>
    </w:p>
    <w:p w14:paraId="2EE15CFC" w14:textId="5427574D" w:rsidR="00F47BD1" w:rsidRDefault="00275E97" w:rsidP="00C7357C">
      <w:pPr>
        <w:pStyle w:val="Heading2"/>
      </w:pPr>
      <w:r>
        <w:lastRenderedPageBreak/>
        <w:t>Ph</w:t>
      </w:r>
      <w:r w:rsidR="00F47BD1">
        <w:t>ishing</w:t>
      </w:r>
    </w:p>
    <w:p w14:paraId="624BFCD5" w14:textId="23A69606" w:rsidR="00275E97" w:rsidRPr="00275E97" w:rsidRDefault="00275E97" w:rsidP="00FB74F8">
      <w:pPr>
        <w:ind w:firstLine="720"/>
      </w:pPr>
      <w:r w:rsidRPr="00275E97">
        <w:t xml:space="preserve">Users interact with spoofed resources through cold-calling or name squatting scenarios, such as emails directing them to netflix.com.evil.com.  Previous security messages tell the user to look for details, like misspellings, as evidence of being fake (Proctor &amp; J, 2015).  However, this implicitly implies that perfect grammar infers being real.  When users connect to websites, training has also told them to look for the security icon, but this only means the traffic is encrypted (Hunt, 2019).  Without a consistent and reliable method to determine that a resource is genuine, the only alternative is skepticism.  For instance, when a banker calls for 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 scrolling past the advertisements to the real site.  While none of these methods are </w:t>
      </w:r>
      <w:proofErr w:type="gramStart"/>
      <w:r w:rsidRPr="00275E97">
        <w:t>fool-proof</w:t>
      </w:r>
      <w:proofErr w:type="gramEnd"/>
      <w:r w:rsidRPr="00275E97">
        <w:t>, they increase the odds of ending at the right location.</w:t>
      </w:r>
    </w:p>
    <w:p w14:paraId="08020A75" w14:textId="0ED4D89E" w:rsidR="00F47BD1" w:rsidRDefault="00D51751" w:rsidP="00C7357C">
      <w:pPr>
        <w:pStyle w:val="Heading1"/>
      </w:pPr>
      <w:r>
        <w:t>Examine Evolution of Attack Surface</w:t>
      </w:r>
    </w:p>
    <w:p w14:paraId="6CE50130" w14:textId="77777777" w:rsidR="00323386" w:rsidRDefault="00323386" w:rsidP="00323386">
      <w:pPr>
        <w:pStyle w:val="Heading2"/>
      </w:pPr>
      <w:r>
        <w:t xml:space="preserve">Abstract Borders, Cloud, and </w:t>
      </w:r>
      <w:proofErr w:type="spellStart"/>
      <w:r>
        <w:t>XaaS</w:t>
      </w:r>
      <w:proofErr w:type="spellEnd"/>
    </w:p>
    <w:p w14:paraId="286B7D09" w14:textId="31F189D9" w:rsidR="00323386" w:rsidRPr="006F6C46" w:rsidRDefault="00323386" w:rsidP="00323386">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End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xml:space="preserve">) or embed ransomware into mail attachments—it bypasses these network barriers and allows unauthorized access to information.  Further complicating matters, the boundary of the network is becoming more abstract due to the notion of </w:t>
      </w:r>
      <w:r w:rsidR="00737532">
        <w:t>“</w:t>
      </w:r>
      <w:r>
        <w:t>everything as a service</w:t>
      </w:r>
      <w:r w:rsidR="00737532">
        <w:t>”</w:t>
      </w:r>
      <w:sdt>
        <w:sdtPr>
          <w:id w:val="-610128432"/>
          <w:citation/>
        </w:sdtPr>
        <w:sdtEndPr/>
        <w:sdtContent>
          <w:r>
            <w:fldChar w:fldCharType="begin"/>
          </w:r>
          <w:r>
            <w:instrText xml:space="preserve"> CITATION Pal20 \l 1033 </w:instrText>
          </w:r>
          <w:r>
            <w:fldChar w:fldCharType="separate"/>
          </w:r>
          <w:r>
            <w:rPr>
              <w:noProof/>
            </w:rPr>
            <w:t xml:space="preserve"> (Paller, Mahalik, Skoudis, &amp; Ullrich, </w:t>
          </w:r>
          <w:r>
            <w:rPr>
              <w:noProof/>
            </w:rPr>
            <w:lastRenderedPageBreak/>
            <w:t>2020)</w:t>
          </w:r>
          <w:r>
            <w:fldChar w:fldCharType="end"/>
          </w:r>
        </w:sdtContent>
      </w:sdt>
      <w:r>
        <w:t>.  For instance, 40% of enterprises are in the process of uplifting mission-critical services, like identity and authorization, into third-party providers</w:t>
      </w:r>
      <w:sdt>
        <w:sdtPr>
          <w:id w:val="-1170865780"/>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30F3B4F0" w14:textId="77777777" w:rsidR="00EA62CE" w:rsidRDefault="00EA62CE" w:rsidP="00A23619">
      <w:pPr>
        <w:pStyle w:val="Heading2"/>
      </w:pPr>
      <w:r>
        <w:t>Geography and Sovereignty</w:t>
      </w:r>
    </w:p>
    <w:p w14:paraId="10711BC7" w14:textId="643574BF" w:rsidR="00EA62CE" w:rsidRDefault="00EA62CE" w:rsidP="00EA62CE">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EndPr/>
        <w:sdtContent>
          <w:r>
            <w:fldChar w:fldCharType="begin"/>
          </w:r>
          <w:r w:rsidR="00DA6B93">
            <w:instrText xml:space="preserve">CITATION Ink15 \l 1033 </w:instrText>
          </w:r>
          <w:r>
            <w:fldChar w:fldCharType="separate"/>
          </w:r>
          <w:r w:rsidR="00DA6B93">
            <w:rPr>
              <w:noProof/>
            </w:rPr>
            <w:t xml:space="preserve"> (Inkster, 2015)</w:t>
          </w:r>
          <w:r>
            <w:fldChar w:fldCharType="end"/>
          </w:r>
        </w:sdtContent>
      </w:sdt>
      <w:r>
        <w:t>.  These competing requirements cause national security policies to make trade-offs between government control, societal freedoms, and rights of international actors</w:t>
      </w:r>
      <w:sdt>
        <w:sdtPr>
          <w:id w:val="-1713567013"/>
          <w:citation/>
        </w:sdtPr>
        <w:sdtEndPr/>
        <w:sdtContent>
          <w:r>
            <w:fldChar w:fldCharType="begin"/>
          </w:r>
          <w:r w:rsidR="00DA6B93">
            <w:instrText xml:space="preserve">CITATION Kov181 \l 1033 </w:instrText>
          </w:r>
          <w:r>
            <w:fldChar w:fldCharType="separate"/>
          </w:r>
          <w:r w:rsidR="00DA6B93">
            <w:rPr>
              <w:noProof/>
            </w:rPr>
            <w:t xml:space="preserve"> (Kovacs, National cybersecurity as the cornerstone of national security,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EndPr/>
        <w:sdtContent>
          <w:r>
            <w:fldChar w:fldCharType="begin"/>
          </w:r>
          <w:r w:rsidR="00DA6B93">
            <w:instrText xml:space="preserve">CITATION Mat14 \l 1033 </w:instrText>
          </w:r>
          <w:r>
            <w:fldChar w:fldCharType="separate"/>
          </w:r>
          <w:r w:rsidR="00DA6B93">
            <w:rPr>
              <w:noProof/>
            </w:rPr>
            <w:t xml:space="preserve"> (Matsubara, 2014)</w:t>
          </w:r>
          <w:r>
            <w:fldChar w:fldCharType="end"/>
          </w:r>
        </w:sdtContent>
      </w:sdt>
      <w:r>
        <w:t xml:space="preserve">.  These decisions create geography that influences the protective capabilities and behavioral norms.  For instance, the European Union (EU) believes that building a digital economy begins with user </w:t>
      </w:r>
      <w:proofErr w:type="gramStart"/>
      <w:r>
        <w:t>privacy</w:t>
      </w:r>
      <w:r w:rsidR="00DA6B93">
        <w:t>(</w:t>
      </w:r>
      <w:proofErr w:type="gramEnd"/>
      <w:r w:rsidR="00DA6B93">
        <w:t>Kovacs, 2017)</w:t>
      </w:r>
      <w:r>
        <w:t>.  While the EU</w:t>
      </w:r>
      <w:r w:rsidR="00737532">
        <w:t>’</w:t>
      </w:r>
      <w:r>
        <w:t xml:space="preserve">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4B8A5D79" w14:textId="77777777" w:rsidR="00323386" w:rsidRDefault="00323386" w:rsidP="00323386">
      <w:pPr>
        <w:pStyle w:val="Heading2"/>
      </w:pPr>
      <w:r>
        <w:lastRenderedPageBreak/>
        <w:t>IoT</w:t>
      </w:r>
    </w:p>
    <w:p w14:paraId="6A815AAE" w14:textId="4CC224DE" w:rsidR="00323386" w:rsidRDefault="00323386" w:rsidP="00720C66">
      <w:pPr>
        <w:ind w:firstLine="720"/>
      </w:pPr>
      <w:r>
        <w:t xml:space="preserve">The Internet of Things (IoT) represents the next evolutionary step in communication and system connectivity.  Naïve outsiders see this industry as a series of gimmicks, Apple watches, and smart toasters.  Those statements are true, but more importantly, it also creates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across this bridge, it enables organizations to execute expert workflows autonomously and </w:t>
      </w:r>
      <w:r w:rsidRPr="0047463E">
        <w:t>prevent costly failures</w:t>
      </w:r>
      <w:r>
        <w:t>.  However, many challenges exist around ensuring the confidentiality, integrity, and availability (CIA) of all participants of this system.</w:t>
      </w:r>
    </w:p>
    <w:p w14:paraId="2F56B17F" w14:textId="77777777" w:rsidR="0051374A" w:rsidRDefault="0051374A" w:rsidP="0051374A">
      <w:pPr>
        <w:ind w:firstLine="720"/>
      </w:pPr>
      <w:r>
        <w:t>According to Gartner, the trend of weak authentication controls impacts nearly 50% 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The </w:t>
      </w:r>
      <w:proofErr w:type="spellStart"/>
      <w:r>
        <w:t>Mirai</w:t>
      </w:r>
      <w:proofErr w:type="spellEnd"/>
      <w:r>
        <w:t xml:space="preserve"> malware was able to span half a million devices using a small dictionary file to brute force access</w:t>
      </w:r>
      <w:sdt>
        <w:sdtPr>
          <w:id w:val="-944850106"/>
          <w:citation/>
        </w:sdtPr>
        <w:sdtContent>
          <w:r>
            <w:fldChar w:fldCharType="begin"/>
          </w:r>
          <w:r>
            <w:instrText xml:space="preserve"> CITATION Gam17 \l 1033 </w:instrText>
          </w:r>
          <w:r>
            <w:fldChar w:fldCharType="separate"/>
          </w:r>
          <w:r>
            <w:rPr>
              <w:noProof/>
            </w:rPr>
            <w:t xml:space="preserve"> (Gamblin, 2017)</w:t>
          </w:r>
          <w:r>
            <w:fldChar w:fldCharType="end"/>
          </w:r>
        </w:sdtContent>
      </w:sdt>
      <w:r>
        <w:t>.  Although its source code has been available for several years, and its particularly noisy approach to gaining entry are discoverable, variations are still thriving</w:t>
      </w:r>
      <w:sdt>
        <w:sdtPr>
          <w:id w:val="282934556"/>
          <w:citation/>
        </w:sdtPr>
        <w:sdtContent>
          <w:r>
            <w:fldChar w:fldCharType="begin"/>
          </w:r>
          <w:r>
            <w:instrText xml:space="preserve">CITATION Kol17 \l 1033 </w:instrText>
          </w:r>
          <w:r>
            <w:fldChar w:fldCharType="separate"/>
          </w:r>
          <w:r>
            <w:rPr>
              <w:noProof/>
            </w:rPr>
            <w:t xml:space="preserve"> (Kolias, Kambourakis, Stavrou, &amp; Voas, 2017)</w:t>
          </w:r>
          <w:r>
            <w:fldChar w:fldCharType="end"/>
          </w:r>
        </w:sdtContent>
      </w:sdt>
      <w:r>
        <w:t>.  While these programs should have encouraged a movement toward security by default, the broad industry has failed to act against even this rudimentary attack.</w:t>
      </w:r>
    </w:p>
    <w:p w14:paraId="6D87D047" w14:textId="2FC6E714" w:rsidR="00F47BD1" w:rsidRDefault="00F47BD1" w:rsidP="00C7357C">
      <w:pPr>
        <w:pStyle w:val="Heading1"/>
      </w:pPr>
      <w:r>
        <w:t>Prioritizing Risk Management</w:t>
      </w:r>
    </w:p>
    <w:p w14:paraId="785BDA1C" w14:textId="528DB679" w:rsidR="006F6C46" w:rsidRDefault="00F47BD1" w:rsidP="00BC4BDF">
      <w:pPr>
        <w:ind w:firstLine="720"/>
      </w:pPr>
      <w:r>
        <w:t>Finite resources</w:t>
      </w:r>
      <w:r w:rsidR="006F6C46" w:rsidRPr="006F6C46">
        <w:t xml:space="preserve"> </w:t>
      </w:r>
      <w:r w:rsidR="006F6C46">
        <w:t xml:space="preserve">Translating the protection requirements into security implementations have a wide range of maturity levels that could follow a good, better, best approach.  Ideally, Hi-Tech would only follow the </w:t>
      </w:r>
      <w:proofErr w:type="gramStart"/>
      <w:r w:rsidR="006F6C46">
        <w:t>most strict</w:t>
      </w:r>
      <w:proofErr w:type="gramEnd"/>
      <w:r w:rsidR="006F6C46">
        <w:t xml:space="preserve"> guidelines.  However, that is not as practical due to unacceptable costs both financially and in terms of user experience.  For example, the business </w:t>
      </w:r>
      <w:r w:rsidR="006F6C46">
        <w:lastRenderedPageBreak/>
        <w:t>uses many IoT devices that lack remote firmware upgrade capabilities.  It might be acceptable to have the operations team manually upgrade each device annually—though the labor costs are too high for monthly cadences.  In many scenarios, choosing a security investment is not binary (do everything versus do nothing).  Instead, the purchase can be in the middle and follow a phased release</w:t>
      </w:r>
      <w:sdt>
        <w:sdtPr>
          <w:id w:val="594208851"/>
          <w:citation/>
        </w:sdtPr>
        <w:sdtEndPr/>
        <w:sdtContent>
          <w:r w:rsidR="006F6C46">
            <w:fldChar w:fldCharType="begin"/>
          </w:r>
          <w:r w:rsidR="006F6C46">
            <w:instrText xml:space="preserve"> CITATION Gor15 \l 1033 </w:instrText>
          </w:r>
          <w:r w:rsidR="006F6C46">
            <w:fldChar w:fldCharType="separate"/>
          </w:r>
          <w:r w:rsidR="006F6C46">
            <w:rPr>
              <w:noProof/>
            </w:rPr>
            <w:t xml:space="preserve"> (Gordon, Loeb, Lucyshyn, &amp; Zhou, 2015)</w:t>
          </w:r>
          <w:r w:rsidR="006F6C46">
            <w:fldChar w:fldCharType="end"/>
          </w:r>
        </w:sdtContent>
      </w:sdt>
      <w:r w:rsidR="006F6C46">
        <w:t>.  This approach could divide the upgrade task into subgroups based on the criticality, like safety systems versus temperature sensors.  Each subgroup can feed into the prioritization discussion, perhaps resulting in safety systems landing on a quarterly upgrade cycle, and the less critical sensors remain on an annual cycle.  This decomposition of large bodies of work keeps the costs down and enables more focused efforts.</w:t>
      </w:r>
    </w:p>
    <w:p w14:paraId="76CB5370" w14:textId="1A6496A8" w:rsidR="006F6C46" w:rsidRDefault="006F6C46" w:rsidP="006F6C46">
      <w:pPr>
        <w:ind w:firstLine="720"/>
      </w:pPr>
      <w:r>
        <w:t xml:space="preserve">Vulnerabilities exist at the intersect of three conditions. </w:t>
      </w:r>
      <w:r w:rsidR="00737532">
        <w:t>“</w:t>
      </w:r>
      <w:r w:rsidRPr="0036284C">
        <w:t>(1) system susceptibility, such as a design or implementation flaw; (2) threat accessibility, such as system access points or services; (3) threat capability, such as an opponent with the knowledge and resources to discover, access, and exploit a flaw</w:t>
      </w:r>
      <w:r w:rsidR="00737532">
        <w:t>”</w:t>
      </w:r>
      <w:sdt>
        <w:sdtPr>
          <w:id w:val="-1120222829"/>
          <w:citation/>
        </w:sdtPr>
        <w:sdtEnd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t xml:space="preserve">.  Often, 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blocking access at the network switch level removes the issue.  Another vulnerability exists in the Telnet daemon communicating in </w:t>
      </w:r>
      <w:proofErr w:type="gramStart"/>
      <w:r>
        <w:t>plain-text</w:t>
      </w:r>
      <w:proofErr w:type="gramEnd"/>
      <w:r>
        <w:t>.  Similarly, the administrators can place those interactions on a Virtual Local Area Network (VLAN) to limit access.</w:t>
      </w:r>
    </w:p>
    <w:p w14:paraId="714CE5D9" w14:textId="0A5426CC" w:rsidR="006F6C46" w:rsidRDefault="006F6C46" w:rsidP="006F6C46">
      <w:pPr>
        <w:ind w:firstLine="720"/>
      </w:pPr>
      <w:r>
        <w:t xml:space="preserve">There can be political pushback that some protections come with a cure worse than the </w:t>
      </w:r>
      <w:r w:rsidRPr="00105B96">
        <w:t>disease</w:t>
      </w:r>
      <w:r>
        <w:t xml:space="preserve">.  Hi-Tech would desire that leadership signs off on every work order, which is not feasible given the competing demands for time.  Some staff members are aware of an override code to bypass this requirement and get the invoices out the door.  While the rule intends to </w:t>
      </w:r>
      <w:r>
        <w:lastRenderedPageBreak/>
        <w:t>ensure that invoices are complete and promote accountability, it also causes a bottleneck that impedes timely delivery.  On the one hand, the security team could remove the bypass feature, but this introduces additional work for the team.  Approaching the prioritization of these scenarios requires a gentle touch, as security enables the business, not the other way around</w:t>
      </w:r>
      <w:sdt>
        <w:sdtPr>
          <w:id w:val="1583720909"/>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Instead, a conversation could begin with senior leadership to understand if the previous decision still makes sense.  If the idea is valid, perhaps minor tweaks can maintain the central concept under more amenable terms.</w:t>
      </w:r>
    </w:p>
    <w:p w14:paraId="3EE28216" w14:textId="03BF9401" w:rsidR="00B129F7" w:rsidRDefault="006F6C46" w:rsidP="00FC21FE">
      <w:r>
        <w:tab/>
        <w:t>Another challenge comes from balancing security over the rapid development of new features</w:t>
      </w:r>
      <w:sdt>
        <w:sdtPr>
          <w:id w:val="-2110953603"/>
          <w:citation/>
        </w:sdtPr>
        <w:sdtEnd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divorced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  Ultimately these decisions are trading one set of risks for another.</w:t>
      </w:r>
    </w:p>
    <w:p w14:paraId="679D9419" w14:textId="23476397" w:rsidR="00DA6B93" w:rsidRDefault="00DA6B93">
      <w:r>
        <w:br w:type="page"/>
      </w:r>
    </w:p>
    <w:sdt>
      <w:sdtPr>
        <w:id w:val="480515297"/>
        <w:docPartObj>
          <w:docPartGallery w:val="Bibliographies"/>
          <w:docPartUnique/>
        </w:docPartObj>
      </w:sdtPr>
      <w:sdtEndPr>
        <w:rPr>
          <w:b w:val="0"/>
        </w:rPr>
      </w:sdtEndPr>
      <w:sdtContent>
        <w:p w14:paraId="33DCA86F" w14:textId="09BF6355" w:rsidR="00DA6B93" w:rsidRPr="00DA6B93" w:rsidRDefault="00DA6B93">
          <w:pPr>
            <w:pStyle w:val="Heading1"/>
            <w:rPr>
              <w:b w:val="0"/>
              <w:bCs/>
            </w:rPr>
          </w:pPr>
          <w:r w:rsidRPr="00DA6B93">
            <w:rPr>
              <w:b w:val="0"/>
              <w:bCs/>
            </w:rPr>
            <w:t>References</w:t>
          </w:r>
        </w:p>
        <w:sdt>
          <w:sdtPr>
            <w:id w:val="-573587230"/>
            <w:bibliography/>
          </w:sdtPr>
          <w:sdtContent>
            <w:p w14:paraId="450AB7E3" w14:textId="1D7B053B" w:rsidR="00DA6B93" w:rsidRDefault="00DA6B93" w:rsidP="00DA6B93">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9th, 2020, from https://iacis.org/iis/2016/2_iis_2016_208-214.pdf</w:t>
              </w:r>
            </w:p>
            <w:p w14:paraId="473D4F57" w14:textId="77777777" w:rsidR="00DA6B93" w:rsidRDefault="00DA6B93" w:rsidP="00DA6B93">
              <w:pPr>
                <w:pStyle w:val="Bibliography"/>
                <w:ind w:left="720" w:hanging="720"/>
                <w:rPr>
                  <w:noProof/>
                </w:rPr>
              </w:pPr>
              <w:r>
                <w:rPr>
                  <w:noProof/>
                </w:rPr>
                <w:t xml:space="preserve">Babiceanu, R. &amp;. (2016, September). Big data and virtualization for manufacturing cyber-physical systems. </w:t>
              </w:r>
              <w:r>
                <w:rPr>
                  <w:i/>
                  <w:iCs/>
                  <w:noProof/>
                </w:rPr>
                <w:t>Computers in Industry, 81</w:t>
              </w:r>
              <w:r>
                <w:rPr>
                  <w:noProof/>
                </w:rPr>
                <w:t>, 128-137. doi:https://doi.org/10.1016/j.compind.2016.02.004</w:t>
              </w:r>
            </w:p>
            <w:p w14:paraId="16198836" w14:textId="77777777" w:rsidR="00DA6B93" w:rsidRDefault="00DA6B93" w:rsidP="00DA6B93">
              <w:pPr>
                <w:pStyle w:val="Bibliography"/>
                <w:ind w:left="720" w:hanging="720"/>
                <w:rPr>
                  <w:noProof/>
                </w:rPr>
              </w:pPr>
              <w:r>
                <w:rPr>
                  <w:noProof/>
                </w:rPr>
                <w:t xml:space="preserve">Banks, W. (2017). Cyber espionage and electronic surveillance: beyond the media coverage. </w:t>
              </w:r>
              <w:r>
                <w:rPr>
                  <w:i/>
                  <w:iCs/>
                  <w:noProof/>
                </w:rPr>
                <w:t>Emory Law Journal, 66</w:t>
              </w:r>
              <w:r>
                <w:rPr>
                  <w:noProof/>
                </w:rPr>
                <w:t>(3), 513-525. Retrieved from https://search-ebscohost-com.proxy1.ncu.edu/login.aspx?direct=true&amp;db=ofs&amp;AN=121933698&amp;site=eds-live</w:t>
              </w:r>
            </w:p>
            <w:p w14:paraId="6C8B3DA8" w14:textId="7648ACE2" w:rsidR="00DA6B93" w:rsidRDefault="00DA6B93" w:rsidP="00DA6B93">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34C93F28" w14:textId="13847A68" w:rsidR="00DA6B93" w:rsidRDefault="00DA6B93" w:rsidP="00DA6B93">
              <w:pPr>
                <w:pStyle w:val="Bibliography"/>
                <w:ind w:left="720" w:hanging="720"/>
                <w:rPr>
                  <w:noProof/>
                </w:rPr>
              </w:pPr>
              <w:r>
                <w:rPr>
                  <w:noProof/>
                </w:rPr>
                <w:t xml:space="preserve">Bensinger, G. (2019, August 27th). </w:t>
              </w:r>
              <w:r>
                <w:rPr>
                  <w:i/>
                  <w:iCs/>
                  <w:noProof/>
                </w:rPr>
                <w:t>Former Google self-driving engineer, who prompted a lawsuit against Uber, gets hit with criminal charges</w:t>
              </w:r>
              <w:r>
                <w:rPr>
                  <w:noProof/>
                </w:rPr>
                <w:t>. Retrieved from Washington Post: https://www.washingtonpost.com/technology/2019/08/27/former-google-self-driving-engineer-who-prompted-lawsuit-against-uber-gets-hit-with-criminal-charges/</w:t>
              </w:r>
            </w:p>
            <w:p w14:paraId="2788B561" w14:textId="5D1D3ECE" w:rsidR="00DA6B93" w:rsidRDefault="00DA6B93" w:rsidP="00DA6B93">
              <w:pPr>
                <w:pStyle w:val="Bibliography"/>
                <w:ind w:left="720" w:hanging="720"/>
                <w:rPr>
                  <w:noProof/>
                </w:rPr>
              </w:pPr>
              <w:r>
                <w:rPr>
                  <w:noProof/>
                </w:rPr>
                <w:t xml:space="preserve">Blythe, J., &amp; Coventry, L. (2018, October). Costly but effective: comparing the factors that influence employee anti-malware behaviors. </w:t>
              </w:r>
              <w:r>
                <w:rPr>
                  <w:i/>
                  <w:iCs/>
                  <w:noProof/>
                </w:rPr>
                <w:t>Computers in Human Behavior, 87</w:t>
              </w:r>
              <w:r>
                <w:rPr>
                  <w:noProof/>
                </w:rPr>
                <w:t>, 87-97. doi:https://doi.org/10.1016/j.chb.2018.05.023</w:t>
              </w:r>
            </w:p>
            <w:p w14:paraId="42A30788" w14:textId="77777777" w:rsidR="00DA6B93" w:rsidRDefault="00DA6B93" w:rsidP="00DA6B93">
              <w:pPr>
                <w:pStyle w:val="Bibliography"/>
                <w:ind w:left="720" w:hanging="720"/>
                <w:rPr>
                  <w:noProof/>
                </w:rPr>
              </w:pPr>
              <w:r>
                <w:rPr>
                  <w:noProof/>
                </w:rPr>
                <w:lastRenderedPageBreak/>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0364B637" w14:textId="77777777" w:rsidR="00DA6B93" w:rsidRDefault="00DA6B93" w:rsidP="00DA6B93">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49AF0C3C" w14:textId="77777777" w:rsidR="00DA6B93" w:rsidRDefault="00DA6B93" w:rsidP="00DA6B93">
              <w:pPr>
                <w:pStyle w:val="Bibliography"/>
                <w:ind w:left="720" w:hanging="720"/>
                <w:rPr>
                  <w:noProof/>
                </w:rPr>
              </w:pPr>
              <w:r>
                <w:rPr>
                  <w:noProof/>
                </w:rPr>
                <w:t xml:space="preserve">de Bruijn, H., &amp; Janssen, M. (2017, January). Building cybersecurity awareness: the need for evidence-based framing strategies. </w:t>
              </w:r>
              <w:r>
                <w:rPr>
                  <w:i/>
                  <w:iCs/>
                  <w:noProof/>
                </w:rPr>
                <w:t>Government Information Quarterly, 34</w:t>
              </w:r>
              <w:r>
                <w:rPr>
                  <w:noProof/>
                </w:rPr>
                <w:t>(1), 1-7. doi:https://doi.org/10.1016/j.giq.2017.02.007</w:t>
              </w:r>
            </w:p>
            <w:p w14:paraId="5B7532BC" w14:textId="77777777" w:rsidR="00DA6B93" w:rsidRDefault="00DA6B93" w:rsidP="00DA6B93">
              <w:pPr>
                <w:pStyle w:val="Bibliography"/>
                <w:ind w:left="720" w:hanging="720"/>
                <w:rPr>
                  <w:noProof/>
                </w:rPr>
              </w:pPr>
              <w:r>
                <w:rPr>
                  <w:noProof/>
                </w:rPr>
                <w:t xml:space="preserve">Elifoglu, H., Abel, I., &amp; Tasseven, O. (2018). Minimizing insider threat risk with behavioral monitoring. </w:t>
              </w:r>
              <w:r>
                <w:rPr>
                  <w:i/>
                  <w:iCs/>
                  <w:noProof/>
                </w:rPr>
                <w:t>Review of Business, 38</w:t>
              </w:r>
              <w:r>
                <w:rPr>
                  <w:noProof/>
                </w:rPr>
                <w:t>(2), 61-73. Retrieved from https://search-ebscohost-com.proxy1.ncu.edu/login.aspx?direct=true&amp;db=bth&amp;AN=129631258&amp;site=eds-live</w:t>
              </w:r>
            </w:p>
            <w:p w14:paraId="3A284770" w14:textId="77777777" w:rsidR="00DA6B93" w:rsidRDefault="00DA6B93" w:rsidP="00DA6B93">
              <w:pPr>
                <w:pStyle w:val="Bibliography"/>
                <w:ind w:left="720" w:hanging="720"/>
                <w:rPr>
                  <w:noProof/>
                </w:rPr>
              </w:pPr>
              <w:r>
                <w:rPr>
                  <w:noProof/>
                </w:rPr>
                <w:t xml:space="preserve">Emery, A. (2017, Summer). Zero-day responsibility: the benefits of a safe harbor for cybersecurity research. </w:t>
              </w:r>
              <w:r>
                <w:rPr>
                  <w:i/>
                  <w:iCs/>
                  <w:noProof/>
                </w:rPr>
                <w:t>Jurimetrics: The Journal of Law, Science &amp; Technology, 57</w:t>
              </w:r>
              <w:r>
                <w:rPr>
                  <w:noProof/>
                </w:rPr>
                <w:t>(4), 483-503. Retrieved from https://search-ebscohost-com.proxy1.ncu.edu/login.aspx?direct=true&amp;db=a9h&amp;AN=126542986&amp;site=eds-live</w:t>
              </w:r>
            </w:p>
            <w:p w14:paraId="3649782B" w14:textId="07507B1F" w:rsidR="00DA6B93" w:rsidRDefault="00DA6B93" w:rsidP="00DA6B93">
              <w:pPr>
                <w:pStyle w:val="Bibliography"/>
                <w:ind w:left="720" w:hanging="720"/>
                <w:rPr>
                  <w:noProof/>
                </w:rPr>
              </w:pPr>
              <w:r>
                <w:rPr>
                  <w:noProof/>
                </w:rPr>
                <w:t xml:space="preserve">Ericsson, M., Almukaynizi, M., Nunes, E., &amp; Shakarian, P. (2018). Community finding of malware and exploit vendors on dark web marketplaces. </w:t>
              </w:r>
              <w:r>
                <w:rPr>
                  <w:i/>
                  <w:iCs/>
                  <w:noProof/>
                </w:rPr>
                <w:t>1st International Conference on Data Intelligence and Security</w:t>
              </w:r>
              <w:r>
                <w:rPr>
                  <w:noProof/>
                </w:rPr>
                <w:t>, 81-84. South Padre Island, TX, USA. doi:https://doi.org/10.1109/ICDIS.2018.00019.</w:t>
              </w:r>
            </w:p>
            <w:p w14:paraId="3B93D35A" w14:textId="77777777" w:rsidR="00DA6B93" w:rsidRDefault="00DA6B93" w:rsidP="00DA6B93">
              <w:pPr>
                <w:pStyle w:val="Bibliography"/>
                <w:ind w:left="720" w:hanging="720"/>
                <w:rPr>
                  <w:noProof/>
                </w:rPr>
              </w:pPr>
              <w:r>
                <w:rPr>
                  <w:noProof/>
                </w:rPr>
                <w:t xml:space="preserve">Fischerkeller, M., &amp; Harknett, R. (2017). Deterrence is not a credible strategy for cyberspace. </w:t>
              </w:r>
              <w:r>
                <w:rPr>
                  <w:i/>
                  <w:iCs/>
                  <w:noProof/>
                </w:rPr>
                <w:t>Orbis, 61</w:t>
              </w:r>
              <w:r>
                <w:rPr>
                  <w:noProof/>
                </w:rPr>
                <w:t>(3), 381-393. doi:https://doi.org/10.1016/j.orbis.2017.05.003</w:t>
              </w:r>
            </w:p>
            <w:p w14:paraId="311FF358" w14:textId="52651550" w:rsidR="00DA6B93" w:rsidRDefault="00DA6B93" w:rsidP="00DA6B93">
              <w:pPr>
                <w:pStyle w:val="Bibliography"/>
                <w:ind w:left="720" w:hanging="720"/>
                <w:rPr>
                  <w:noProof/>
                </w:rPr>
              </w:pPr>
              <w:r>
                <w:rPr>
                  <w:noProof/>
                </w:rPr>
                <w:t xml:space="preserve">Frodigh, M. (2018, May 27th). Keynote Opening. </w:t>
              </w:r>
              <w:r>
                <w:rPr>
                  <w:i/>
                  <w:iCs/>
                  <w:noProof/>
                </w:rPr>
                <w:t>40th International Conference on Software Engineering.</w:t>
              </w:r>
              <w:r>
                <w:rPr>
                  <w:noProof/>
                </w:rPr>
                <w:t xml:space="preserve"> Gothenburg, Sweden: International Conference on Software Engineering </w:t>
              </w:r>
              <w:r>
                <w:rPr>
                  <w:noProof/>
                </w:rPr>
                <w:lastRenderedPageBreak/>
                <w:t>(ICSE). Retrieved April 8th, 2019, from YouTube: https://www.youtube.com/watch?v=cpeMmMh7Syk</w:t>
              </w:r>
            </w:p>
            <w:p w14:paraId="31C75408" w14:textId="77777777" w:rsidR="00DA6B93" w:rsidRDefault="00DA6B93" w:rsidP="00DA6B93">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46EF814F" w14:textId="23B47E1B" w:rsidR="00DA6B93" w:rsidRDefault="00DA6B93" w:rsidP="00DA6B93">
              <w:pPr>
                <w:pStyle w:val="Bibliography"/>
                <w:ind w:left="720" w:hanging="720"/>
                <w:rPr>
                  <w:noProof/>
                </w:rPr>
              </w:pPr>
              <w:r>
                <w:rPr>
                  <w:noProof/>
                </w:rPr>
                <w:t xml:space="preserve">Gamblin, J. (2017, July 15th). </w:t>
              </w:r>
              <w:r>
                <w:rPr>
                  <w:i/>
                  <w:iCs/>
                  <w:noProof/>
                </w:rPr>
                <w:t>Mirai-Source-Code</w:t>
              </w:r>
              <w:r>
                <w:rPr>
                  <w:noProof/>
                </w:rPr>
                <w:t>. Retrieved May 17th, 2020, from GitHub: https://github.com/jgamblin/Mirai-Source-Code</w:t>
              </w:r>
            </w:p>
            <w:p w14:paraId="6D409BB2" w14:textId="5B93C8A2" w:rsidR="00DA6B93" w:rsidRDefault="00DA6B93" w:rsidP="00DA6B93">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62A2005C" w14:textId="4F84E443" w:rsidR="00DA6B93" w:rsidRDefault="00DA6B93" w:rsidP="00DA6B93">
              <w:pPr>
                <w:pStyle w:val="Bibliography"/>
                <w:ind w:left="720" w:hanging="720"/>
                <w:rPr>
                  <w:noProof/>
                </w:rPr>
              </w:pPr>
              <w:r>
                <w:rPr>
                  <w:noProof/>
                </w:rPr>
                <w:t xml:space="preserve">Gordon, L., Loeb, M., Lucyshyn, W., &amp; Zhou, L. (2015). The impact of information sharing on cybersecurity underinvestment. </w:t>
              </w:r>
              <w:r>
                <w:rPr>
                  <w:i/>
                  <w:iCs/>
                  <w:noProof/>
                </w:rPr>
                <w:t>Journal of Accounting and Public Policy, 34</w:t>
              </w:r>
              <w:r>
                <w:rPr>
                  <w:noProof/>
                </w:rPr>
                <w:t>(5), 509-519. doi:https://doi.org/10.1016/j.jaccpubpol.2015.05.001</w:t>
              </w:r>
            </w:p>
            <w:p w14:paraId="7BF4BDA2" w14:textId="6AF9EA70" w:rsidR="00DA6B93" w:rsidRDefault="00DA6B93" w:rsidP="00DA6B93">
              <w:pPr>
                <w:pStyle w:val="Bibliography"/>
                <w:ind w:left="720" w:hanging="720"/>
                <w:rPr>
                  <w:noProof/>
                </w:rPr>
              </w:pPr>
              <w:r>
                <w:rPr>
                  <w:noProof/>
                </w:rPr>
                <w:t xml:space="preserve">Haselton, T. (2018, May 13th). </w:t>
              </w:r>
              <w:r>
                <w:rPr>
                  <w:i/>
                  <w:iCs/>
                  <w:noProof/>
                </w:rPr>
                <w:t>I asked Siri, Alexa, and Google Assistant if they are spying on me — here is what they said</w:t>
              </w:r>
              <w:r>
                <w:rPr>
                  <w:noProof/>
                </w:rPr>
                <w:t>. Retrieved May 17th, 2020, from CNBC: https://www.cnbc.com/2018/05/13/are-siri-alexa-and-google-assistant-spying-on-me.html</w:t>
              </w:r>
            </w:p>
            <w:p w14:paraId="771BE57C" w14:textId="67948A38" w:rsidR="00DA6B93" w:rsidRDefault="00DA6B93" w:rsidP="00DA6B93">
              <w:pPr>
                <w:pStyle w:val="Bibliography"/>
                <w:ind w:left="720" w:hanging="720"/>
                <w:rPr>
                  <w:noProof/>
                </w:rPr>
              </w:pPr>
              <w:r>
                <w:rPr>
                  <w:noProof/>
                </w:rPr>
                <w:t xml:space="preserve">Hunt, T. (2019, May 20th). </w:t>
              </w:r>
              <w:r>
                <w:rPr>
                  <w:i/>
                  <w:iCs/>
                  <w:noProof/>
                </w:rPr>
                <w:t>Keynote: Hack to the Future</w:t>
              </w:r>
              <w:r>
                <w:rPr>
                  <w:noProof/>
                </w:rPr>
                <w:t>. Retrieved from YouTube: https://www.youtube.com/watch?v=qCOefMiakps</w:t>
              </w:r>
            </w:p>
            <w:p w14:paraId="043FCD26" w14:textId="77777777" w:rsidR="00DA6B93" w:rsidRDefault="00DA6B93" w:rsidP="00DA6B93">
              <w:pPr>
                <w:pStyle w:val="Bibliography"/>
                <w:ind w:left="720" w:hanging="720"/>
                <w:rPr>
                  <w:noProof/>
                </w:rPr>
              </w:pPr>
              <w:r>
                <w:rPr>
                  <w:noProof/>
                </w:rPr>
                <w:t xml:space="preserve">Inkster, N. (2015). Cyber espionage. China's Cyber Power. </w:t>
              </w:r>
              <w:r>
                <w:rPr>
                  <w:i/>
                  <w:iCs/>
                  <w:noProof/>
                </w:rPr>
                <w:t>Adelphi Series, 55</w:t>
              </w:r>
              <w:r>
                <w:rPr>
                  <w:noProof/>
                </w:rPr>
                <w:t>, 51-82. doi:https://doi.org/10.1080/19445571.2015.1181439</w:t>
              </w:r>
            </w:p>
            <w:p w14:paraId="1EADCB1A" w14:textId="77777777" w:rsidR="00DA6B93" w:rsidRDefault="00DA6B93" w:rsidP="00DA6B93">
              <w:pPr>
                <w:pStyle w:val="Bibliography"/>
                <w:ind w:left="720" w:hanging="720"/>
                <w:rPr>
                  <w:noProof/>
                </w:rPr>
              </w:pPr>
              <w:r>
                <w:rPr>
                  <w:noProof/>
                </w:rPr>
                <w:t xml:space="preserve">Kolias, C., Kambourakis, G., Stavrou, A., &amp; Voas, J. (2017). DDoS in the IoT: Mirai and other botnets. </w:t>
              </w:r>
              <w:r>
                <w:rPr>
                  <w:i/>
                  <w:iCs/>
                  <w:noProof/>
                </w:rPr>
                <w:t>Computer, 50</w:t>
              </w:r>
              <w:r>
                <w:rPr>
                  <w:noProof/>
                </w:rPr>
                <w:t>(7), 80-84. doi:https://doi.org/10.1109/MC.2017.201</w:t>
              </w:r>
            </w:p>
            <w:p w14:paraId="0C5562F0" w14:textId="71CBD6B3" w:rsidR="00DA6B93" w:rsidRDefault="00DA6B93" w:rsidP="00DA6B93">
              <w:pPr>
                <w:pStyle w:val="Bibliography"/>
                <w:ind w:left="720" w:hanging="720"/>
                <w:rPr>
                  <w:noProof/>
                </w:rPr>
              </w:pPr>
              <w:r>
                <w:rPr>
                  <w:noProof/>
                </w:rPr>
                <w:lastRenderedPageBreak/>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42C15765" w14:textId="33F88937" w:rsidR="00DA6B93" w:rsidRDefault="00DA6B93" w:rsidP="00DA6B93">
              <w:pPr>
                <w:pStyle w:val="Bibliography"/>
                <w:ind w:left="720" w:hanging="720"/>
                <w:rPr>
                  <w:noProof/>
                </w:rPr>
              </w:pPr>
              <w:r>
                <w:rPr>
                  <w:noProof/>
                </w:rPr>
                <w:t xml:space="preserve">Kovacs, L. (2018). National cybersecurity as the cornerstone of national security. </w:t>
              </w:r>
              <w:r>
                <w:rPr>
                  <w:i/>
                  <w:iCs/>
                  <w:noProof/>
                </w:rPr>
                <w:t>Revista Academiei Fortelor Terrestre, 23</w:t>
              </w:r>
              <w:r>
                <w:rPr>
                  <w:noProof/>
                </w:rPr>
                <w:t>(2), 113-120. Retrieved from https://search-ebscohost-com.proxy1.ncu.edu/login.aspx?direct=true&amp;db=a9h&amp;AN=130455890&amp;site=eds-live</w:t>
              </w:r>
            </w:p>
            <w:p w14:paraId="0E429F1A" w14:textId="60B4C3F1" w:rsidR="00DA6B93" w:rsidRDefault="00DA6B93" w:rsidP="00DA6B93">
              <w:pPr>
                <w:pStyle w:val="Bibliography"/>
                <w:ind w:left="720" w:hanging="720"/>
                <w:rPr>
                  <w:noProof/>
                </w:rPr>
              </w:pPr>
              <w:r>
                <w:rPr>
                  <w:noProof/>
                </w:rPr>
                <w:t>Krebs, C. (2019, April 23rd). ICCE 2019 - Keynote by Christopher Krebs, Director, Cybersecurity, and Infrastructure Security Agency. Retrieved from YouTube: https://www.youtube.com/watch?v=aVfcgNhHSDM</w:t>
              </w:r>
            </w:p>
            <w:p w14:paraId="2CDE6105" w14:textId="77777777" w:rsidR="00DA6B93" w:rsidRDefault="00DA6B93" w:rsidP="00DA6B93">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6A3CB59C" w14:textId="77777777" w:rsidR="00DA6B93" w:rsidRDefault="00DA6B93" w:rsidP="00DA6B93">
              <w:pPr>
                <w:pStyle w:val="Bibliography"/>
                <w:ind w:left="720" w:hanging="720"/>
                <w:rPr>
                  <w:noProof/>
                </w:rPr>
              </w:pPr>
              <w:r>
                <w:rPr>
                  <w:noProof/>
                </w:rPr>
                <w:t xml:space="preserve">Lee, J., Moon, S., &amp; Park, J. (2017, July). CloudRPS: a cloud analysis based enhanced ransomware prevention system. </w:t>
              </w:r>
              <w:r>
                <w:rPr>
                  <w:i/>
                  <w:iCs/>
                  <w:noProof/>
                </w:rPr>
                <w:t>Journal of Supercomputing, 73</w:t>
              </w:r>
              <w:r>
                <w:rPr>
                  <w:noProof/>
                </w:rPr>
                <w:t>(7), 3065-3084. doi:https://doi-org.proxy1.ncu.edu/10.1007/s11227-016-1825-5</w:t>
              </w:r>
            </w:p>
            <w:p w14:paraId="361015BD" w14:textId="11CDE0E6" w:rsidR="00DA6B93" w:rsidRDefault="00DA6B93" w:rsidP="00DA6B93">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221EB500" w14:textId="77777777" w:rsidR="00DA6B93" w:rsidRDefault="00DA6B93" w:rsidP="00DA6B93">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0F128377" w14:textId="1186A2F1" w:rsidR="00DA6B93" w:rsidRDefault="00DA6B93" w:rsidP="00DA6B93">
              <w:pPr>
                <w:pStyle w:val="Bibliography"/>
                <w:ind w:left="720" w:hanging="720"/>
                <w:rPr>
                  <w:noProof/>
                </w:rPr>
              </w:pPr>
              <w:r>
                <w:rPr>
                  <w:noProof/>
                </w:rPr>
                <w:lastRenderedPageBreak/>
                <w:t xml:space="preserve">Mickens. (2018, August 16th). </w:t>
              </w:r>
              <w:r>
                <w:rPr>
                  <w:i/>
                  <w:iCs/>
                  <w:noProof/>
                </w:rPr>
                <w:t>Why Do Keynote Speakers Keep Suggesting That Improving Security Is Possible?</w:t>
              </w:r>
              <w:r>
                <w:rPr>
                  <w:noProof/>
                </w:rPr>
                <w:t xml:space="preserve"> Retrieved from YouTube: https://www.youtube.com/watch?v=ajGX7odA87k</w:t>
              </w:r>
            </w:p>
            <w:p w14:paraId="544A2420" w14:textId="40F3DF28" w:rsidR="00DA6B93" w:rsidRDefault="00DA6B93" w:rsidP="00DA6B93">
              <w:pPr>
                <w:pStyle w:val="Bibliography"/>
                <w:ind w:left="720" w:hanging="720"/>
                <w:rPr>
                  <w:noProof/>
                </w:rPr>
              </w:pPr>
              <w:r>
                <w:rPr>
                  <w:noProof/>
                </w:rPr>
                <w:t xml:space="preserve">Mickens, J. (2015, September 9th). </w:t>
              </w:r>
              <w:r>
                <w:rPr>
                  <w:i/>
                  <w:iCs/>
                  <w:noProof/>
                </w:rPr>
                <w:t>Not Even Close, The State of Computer Security with Slides</w:t>
              </w:r>
              <w:r>
                <w:rPr>
                  <w:noProof/>
                </w:rPr>
                <w:t>. Retrieved May 24th, 2020, from YouTube: https://youtu.be/tF24WHumvIc</w:t>
              </w:r>
            </w:p>
            <w:p w14:paraId="3B58CCCC" w14:textId="66C4CC15" w:rsidR="00DA6B93" w:rsidRDefault="00DA6B93" w:rsidP="00DA6B93">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9th, 2020, from https://youtu.be/xz7IFVJf3Lk</w:t>
              </w:r>
            </w:p>
            <w:p w14:paraId="58B57A89" w14:textId="77777777" w:rsidR="00DA6B93" w:rsidRDefault="00DA6B93" w:rsidP="00DA6B93">
              <w:pPr>
                <w:pStyle w:val="Bibliography"/>
                <w:ind w:left="720" w:hanging="720"/>
                <w:rPr>
                  <w:noProof/>
                </w:rPr>
              </w:pPr>
              <w:r>
                <w:rPr>
                  <w:noProof/>
                </w:rPr>
                <w:t xml:space="preserve">Valiente, C. (2017, October). Addressing Malware WITH Cybersecurity Awareness. </w:t>
              </w:r>
              <w:r>
                <w:rPr>
                  <w:i/>
                  <w:iCs/>
                  <w:noProof/>
                </w:rPr>
                <w:t>Information Systems Security Association Journal, 15</w:t>
              </w:r>
              <w:r>
                <w:rPr>
                  <w:noProof/>
                </w:rPr>
                <w:t>(10), 16-22. Retrieved from https://search-ebscohost-com.proxy1.ncu.edu/login.aspx?direct=true&amp;db=tsh&amp;AN=125478200&amp;site=eds-live</w:t>
              </w:r>
            </w:p>
            <w:p w14:paraId="452ABE19" w14:textId="77777777" w:rsidR="00DA6B93" w:rsidRDefault="00DA6B93" w:rsidP="00DA6B93">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13CBA73E" w14:textId="77777777" w:rsidR="00DA6B93" w:rsidRDefault="00DA6B93" w:rsidP="00DA6B93">
              <w:pPr>
                <w:pStyle w:val="Bibliography"/>
                <w:ind w:left="720" w:hanging="720"/>
                <w:rPr>
                  <w:noProof/>
                </w:rPr>
              </w:pPr>
              <w:r>
                <w:rPr>
                  <w:noProof/>
                </w:rPr>
                <w:t xml:space="preserve">Weber, R. H., &amp; Studer, E. (2016, October). Cybersecurity in the Internet of Things: Legal aspects. </w:t>
              </w:r>
              <w:r>
                <w:rPr>
                  <w:i/>
                  <w:iCs/>
                  <w:noProof/>
                </w:rPr>
                <w:t>Computer Law &amp; Security Review, 32</w:t>
              </w:r>
              <w:r>
                <w:rPr>
                  <w:noProof/>
                </w:rPr>
                <w:t>(5), 715-728. doi:https://doi.org/10.1016/j.clsr.2016.07.002</w:t>
              </w:r>
            </w:p>
            <w:p w14:paraId="33367B19" w14:textId="47EA7CB7" w:rsidR="00DA6B93" w:rsidRDefault="00DA6B93" w:rsidP="00DA6B93">
              <w:r>
                <w:rPr>
                  <w:b/>
                  <w:bCs/>
                  <w:noProof/>
                </w:rPr>
                <w:fldChar w:fldCharType="end"/>
              </w:r>
            </w:p>
          </w:sdtContent>
        </w:sdt>
      </w:sdtContent>
    </w:sdt>
    <w:p w14:paraId="04C46FE6" w14:textId="77777777" w:rsidR="00DA6B93" w:rsidRDefault="00DA6B93" w:rsidP="00FC21FE"/>
    <w:sectPr w:rsidR="00DA6B93"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1B7BA" w14:textId="77777777" w:rsidR="00174B9B" w:rsidRDefault="00174B9B" w:rsidP="0082223F">
      <w:pPr>
        <w:spacing w:line="240" w:lineRule="auto"/>
      </w:pPr>
      <w:r>
        <w:separator/>
      </w:r>
    </w:p>
  </w:endnote>
  <w:endnote w:type="continuationSeparator" w:id="0">
    <w:p w14:paraId="52856566" w14:textId="77777777" w:rsidR="00174B9B" w:rsidRDefault="00174B9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FA366" w14:textId="77777777" w:rsidR="00174B9B" w:rsidRDefault="00174B9B" w:rsidP="0082223F">
      <w:pPr>
        <w:spacing w:line="240" w:lineRule="auto"/>
      </w:pPr>
      <w:r>
        <w:separator/>
      </w:r>
    </w:p>
  </w:footnote>
  <w:footnote w:type="continuationSeparator" w:id="0">
    <w:p w14:paraId="2939EBF8" w14:textId="77777777" w:rsidR="00174B9B" w:rsidRDefault="00174B9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5347E1F" w:rsidR="00877007" w:rsidRDefault="00877007" w:rsidP="00877007">
    <w:pPr>
      <w:pStyle w:val="Header"/>
    </w:pPr>
    <w:r w:rsidRPr="00877007">
      <w:t xml:space="preserve">TIM-8301: </w:t>
    </w:r>
    <w:r w:rsidR="00DA6B93">
      <w:t>Principals of Cybersecurity</w:t>
    </w:r>
    <w:r w:rsidR="00DA6B93">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932D0"/>
    <w:rsid w:val="00093786"/>
    <w:rsid w:val="00143B57"/>
    <w:rsid w:val="00174B9B"/>
    <w:rsid w:val="00183597"/>
    <w:rsid w:val="001C78B2"/>
    <w:rsid w:val="0020728E"/>
    <w:rsid w:val="00275E97"/>
    <w:rsid w:val="002806B7"/>
    <w:rsid w:val="002F04E7"/>
    <w:rsid w:val="00323386"/>
    <w:rsid w:val="003279DA"/>
    <w:rsid w:val="003B150F"/>
    <w:rsid w:val="003C04D6"/>
    <w:rsid w:val="003F4714"/>
    <w:rsid w:val="00401D65"/>
    <w:rsid w:val="004223E8"/>
    <w:rsid w:val="004957FF"/>
    <w:rsid w:val="004A784B"/>
    <w:rsid w:val="0051374A"/>
    <w:rsid w:val="005263AD"/>
    <w:rsid w:val="00531990"/>
    <w:rsid w:val="005B7079"/>
    <w:rsid w:val="005E59D9"/>
    <w:rsid w:val="00665CB6"/>
    <w:rsid w:val="006B0FEA"/>
    <w:rsid w:val="006D793E"/>
    <w:rsid w:val="006F6C46"/>
    <w:rsid w:val="00720C66"/>
    <w:rsid w:val="0073677D"/>
    <w:rsid w:val="00737532"/>
    <w:rsid w:val="008135B9"/>
    <w:rsid w:val="0082223F"/>
    <w:rsid w:val="008305D4"/>
    <w:rsid w:val="00841E5E"/>
    <w:rsid w:val="00854D29"/>
    <w:rsid w:val="00877007"/>
    <w:rsid w:val="008839A4"/>
    <w:rsid w:val="008B5129"/>
    <w:rsid w:val="009537C8"/>
    <w:rsid w:val="009A757D"/>
    <w:rsid w:val="00A23619"/>
    <w:rsid w:val="00A341C7"/>
    <w:rsid w:val="00AB0C2C"/>
    <w:rsid w:val="00B129F7"/>
    <w:rsid w:val="00B83AAC"/>
    <w:rsid w:val="00BA25DB"/>
    <w:rsid w:val="00BC4BDF"/>
    <w:rsid w:val="00C54DC8"/>
    <w:rsid w:val="00C7357C"/>
    <w:rsid w:val="00C73692"/>
    <w:rsid w:val="00C93BB7"/>
    <w:rsid w:val="00CB25E9"/>
    <w:rsid w:val="00CE072C"/>
    <w:rsid w:val="00D11F2F"/>
    <w:rsid w:val="00D37CFD"/>
    <w:rsid w:val="00D51751"/>
    <w:rsid w:val="00D63A16"/>
    <w:rsid w:val="00D75C7B"/>
    <w:rsid w:val="00D85C7B"/>
    <w:rsid w:val="00DA6B93"/>
    <w:rsid w:val="00DE2224"/>
    <w:rsid w:val="00EA62CE"/>
    <w:rsid w:val="00EB711D"/>
    <w:rsid w:val="00ED3713"/>
    <w:rsid w:val="00EF0959"/>
    <w:rsid w:val="00EF1AD6"/>
    <w:rsid w:val="00F00D3A"/>
    <w:rsid w:val="00F47BD1"/>
    <w:rsid w:val="00F96CB0"/>
    <w:rsid w:val="00FB74F8"/>
    <w:rsid w:val="00FC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AB0C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3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 w:type="character" w:customStyle="1" w:styleId="Heading3Char">
    <w:name w:val="Heading 3 Char"/>
    <w:basedOn w:val="DefaultParagraphFont"/>
    <w:link w:val="Heading3"/>
    <w:uiPriority w:val="9"/>
    <w:rsid w:val="00AB0C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3386"/>
    <w:rPr>
      <w:rFonts w:asciiTheme="majorHAnsi" w:eastAsiaTheme="majorEastAsia" w:hAnsiTheme="majorHAnsi" w:cstheme="majorBidi"/>
      <w:i/>
      <w:iCs/>
      <w:color w:val="2F5496" w:themeColor="accent1" w:themeShade="BF"/>
      <w:sz w:val="24"/>
      <w:szCs w:val="24"/>
    </w:rPr>
  </w:style>
  <w:style w:type="paragraph" w:styleId="Bibliography">
    <w:name w:val="Bibliography"/>
    <w:basedOn w:val="Normal"/>
    <w:next w:val="Normal"/>
    <w:uiPriority w:val="37"/>
    <w:unhideWhenUsed/>
    <w:rsid w:val="00DA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6738">
      <w:bodyDiv w:val="1"/>
      <w:marLeft w:val="0"/>
      <w:marRight w:val="0"/>
      <w:marTop w:val="0"/>
      <w:marBottom w:val="0"/>
      <w:divBdr>
        <w:top w:val="none" w:sz="0" w:space="0" w:color="auto"/>
        <w:left w:val="none" w:sz="0" w:space="0" w:color="auto"/>
        <w:bottom w:val="none" w:sz="0" w:space="0" w:color="auto"/>
        <w:right w:val="none" w:sz="0" w:space="0" w:color="auto"/>
      </w:divBdr>
    </w:div>
    <w:div w:id="63114141">
      <w:bodyDiv w:val="1"/>
      <w:marLeft w:val="0"/>
      <w:marRight w:val="0"/>
      <w:marTop w:val="0"/>
      <w:marBottom w:val="0"/>
      <w:divBdr>
        <w:top w:val="none" w:sz="0" w:space="0" w:color="auto"/>
        <w:left w:val="none" w:sz="0" w:space="0" w:color="auto"/>
        <w:bottom w:val="none" w:sz="0" w:space="0" w:color="auto"/>
        <w:right w:val="none" w:sz="0" w:space="0" w:color="auto"/>
      </w:divBdr>
    </w:div>
    <w:div w:id="199898347">
      <w:bodyDiv w:val="1"/>
      <w:marLeft w:val="0"/>
      <w:marRight w:val="0"/>
      <w:marTop w:val="0"/>
      <w:marBottom w:val="0"/>
      <w:divBdr>
        <w:top w:val="none" w:sz="0" w:space="0" w:color="auto"/>
        <w:left w:val="none" w:sz="0" w:space="0" w:color="auto"/>
        <w:bottom w:val="none" w:sz="0" w:space="0" w:color="auto"/>
        <w:right w:val="none" w:sz="0" w:space="0" w:color="auto"/>
      </w:divBdr>
    </w:div>
    <w:div w:id="205678534">
      <w:bodyDiv w:val="1"/>
      <w:marLeft w:val="0"/>
      <w:marRight w:val="0"/>
      <w:marTop w:val="0"/>
      <w:marBottom w:val="0"/>
      <w:divBdr>
        <w:top w:val="none" w:sz="0" w:space="0" w:color="auto"/>
        <w:left w:val="none" w:sz="0" w:space="0" w:color="auto"/>
        <w:bottom w:val="none" w:sz="0" w:space="0" w:color="auto"/>
        <w:right w:val="none" w:sz="0" w:space="0" w:color="auto"/>
      </w:divBdr>
    </w:div>
    <w:div w:id="238560383">
      <w:bodyDiv w:val="1"/>
      <w:marLeft w:val="0"/>
      <w:marRight w:val="0"/>
      <w:marTop w:val="0"/>
      <w:marBottom w:val="0"/>
      <w:divBdr>
        <w:top w:val="none" w:sz="0" w:space="0" w:color="auto"/>
        <w:left w:val="none" w:sz="0" w:space="0" w:color="auto"/>
        <w:bottom w:val="none" w:sz="0" w:space="0" w:color="auto"/>
        <w:right w:val="none" w:sz="0" w:space="0" w:color="auto"/>
      </w:divBdr>
    </w:div>
    <w:div w:id="262812302">
      <w:bodyDiv w:val="1"/>
      <w:marLeft w:val="0"/>
      <w:marRight w:val="0"/>
      <w:marTop w:val="0"/>
      <w:marBottom w:val="0"/>
      <w:divBdr>
        <w:top w:val="none" w:sz="0" w:space="0" w:color="auto"/>
        <w:left w:val="none" w:sz="0" w:space="0" w:color="auto"/>
        <w:bottom w:val="none" w:sz="0" w:space="0" w:color="auto"/>
        <w:right w:val="none" w:sz="0" w:space="0" w:color="auto"/>
      </w:divBdr>
    </w:div>
    <w:div w:id="269168491">
      <w:bodyDiv w:val="1"/>
      <w:marLeft w:val="0"/>
      <w:marRight w:val="0"/>
      <w:marTop w:val="0"/>
      <w:marBottom w:val="0"/>
      <w:divBdr>
        <w:top w:val="none" w:sz="0" w:space="0" w:color="auto"/>
        <w:left w:val="none" w:sz="0" w:space="0" w:color="auto"/>
        <w:bottom w:val="none" w:sz="0" w:space="0" w:color="auto"/>
        <w:right w:val="none" w:sz="0" w:space="0" w:color="auto"/>
      </w:divBdr>
    </w:div>
    <w:div w:id="285284719">
      <w:bodyDiv w:val="1"/>
      <w:marLeft w:val="0"/>
      <w:marRight w:val="0"/>
      <w:marTop w:val="0"/>
      <w:marBottom w:val="0"/>
      <w:divBdr>
        <w:top w:val="none" w:sz="0" w:space="0" w:color="auto"/>
        <w:left w:val="none" w:sz="0" w:space="0" w:color="auto"/>
        <w:bottom w:val="none" w:sz="0" w:space="0" w:color="auto"/>
        <w:right w:val="none" w:sz="0" w:space="0" w:color="auto"/>
      </w:divBdr>
    </w:div>
    <w:div w:id="304314937">
      <w:bodyDiv w:val="1"/>
      <w:marLeft w:val="0"/>
      <w:marRight w:val="0"/>
      <w:marTop w:val="0"/>
      <w:marBottom w:val="0"/>
      <w:divBdr>
        <w:top w:val="none" w:sz="0" w:space="0" w:color="auto"/>
        <w:left w:val="none" w:sz="0" w:space="0" w:color="auto"/>
        <w:bottom w:val="none" w:sz="0" w:space="0" w:color="auto"/>
        <w:right w:val="none" w:sz="0" w:space="0" w:color="auto"/>
      </w:divBdr>
    </w:div>
    <w:div w:id="367339990">
      <w:bodyDiv w:val="1"/>
      <w:marLeft w:val="0"/>
      <w:marRight w:val="0"/>
      <w:marTop w:val="0"/>
      <w:marBottom w:val="0"/>
      <w:divBdr>
        <w:top w:val="none" w:sz="0" w:space="0" w:color="auto"/>
        <w:left w:val="none" w:sz="0" w:space="0" w:color="auto"/>
        <w:bottom w:val="none" w:sz="0" w:space="0" w:color="auto"/>
        <w:right w:val="none" w:sz="0" w:space="0" w:color="auto"/>
      </w:divBdr>
    </w:div>
    <w:div w:id="371925175">
      <w:bodyDiv w:val="1"/>
      <w:marLeft w:val="0"/>
      <w:marRight w:val="0"/>
      <w:marTop w:val="0"/>
      <w:marBottom w:val="0"/>
      <w:divBdr>
        <w:top w:val="none" w:sz="0" w:space="0" w:color="auto"/>
        <w:left w:val="none" w:sz="0" w:space="0" w:color="auto"/>
        <w:bottom w:val="none" w:sz="0" w:space="0" w:color="auto"/>
        <w:right w:val="none" w:sz="0" w:space="0" w:color="auto"/>
      </w:divBdr>
    </w:div>
    <w:div w:id="427850080">
      <w:bodyDiv w:val="1"/>
      <w:marLeft w:val="0"/>
      <w:marRight w:val="0"/>
      <w:marTop w:val="0"/>
      <w:marBottom w:val="0"/>
      <w:divBdr>
        <w:top w:val="none" w:sz="0" w:space="0" w:color="auto"/>
        <w:left w:val="none" w:sz="0" w:space="0" w:color="auto"/>
        <w:bottom w:val="none" w:sz="0" w:space="0" w:color="auto"/>
        <w:right w:val="none" w:sz="0" w:space="0" w:color="auto"/>
      </w:divBdr>
    </w:div>
    <w:div w:id="582566268">
      <w:bodyDiv w:val="1"/>
      <w:marLeft w:val="0"/>
      <w:marRight w:val="0"/>
      <w:marTop w:val="0"/>
      <w:marBottom w:val="0"/>
      <w:divBdr>
        <w:top w:val="none" w:sz="0" w:space="0" w:color="auto"/>
        <w:left w:val="none" w:sz="0" w:space="0" w:color="auto"/>
        <w:bottom w:val="none" w:sz="0" w:space="0" w:color="auto"/>
        <w:right w:val="none" w:sz="0" w:space="0" w:color="auto"/>
      </w:divBdr>
    </w:div>
    <w:div w:id="595794422">
      <w:bodyDiv w:val="1"/>
      <w:marLeft w:val="0"/>
      <w:marRight w:val="0"/>
      <w:marTop w:val="0"/>
      <w:marBottom w:val="0"/>
      <w:divBdr>
        <w:top w:val="none" w:sz="0" w:space="0" w:color="auto"/>
        <w:left w:val="none" w:sz="0" w:space="0" w:color="auto"/>
        <w:bottom w:val="none" w:sz="0" w:space="0" w:color="auto"/>
        <w:right w:val="none" w:sz="0" w:space="0" w:color="auto"/>
      </w:divBdr>
    </w:div>
    <w:div w:id="630861935">
      <w:bodyDiv w:val="1"/>
      <w:marLeft w:val="0"/>
      <w:marRight w:val="0"/>
      <w:marTop w:val="0"/>
      <w:marBottom w:val="0"/>
      <w:divBdr>
        <w:top w:val="none" w:sz="0" w:space="0" w:color="auto"/>
        <w:left w:val="none" w:sz="0" w:space="0" w:color="auto"/>
        <w:bottom w:val="none" w:sz="0" w:space="0" w:color="auto"/>
        <w:right w:val="none" w:sz="0" w:space="0" w:color="auto"/>
      </w:divBdr>
    </w:div>
    <w:div w:id="693925799">
      <w:bodyDiv w:val="1"/>
      <w:marLeft w:val="0"/>
      <w:marRight w:val="0"/>
      <w:marTop w:val="0"/>
      <w:marBottom w:val="0"/>
      <w:divBdr>
        <w:top w:val="none" w:sz="0" w:space="0" w:color="auto"/>
        <w:left w:val="none" w:sz="0" w:space="0" w:color="auto"/>
        <w:bottom w:val="none" w:sz="0" w:space="0" w:color="auto"/>
        <w:right w:val="none" w:sz="0" w:space="0" w:color="auto"/>
      </w:divBdr>
    </w:div>
    <w:div w:id="698117467">
      <w:bodyDiv w:val="1"/>
      <w:marLeft w:val="0"/>
      <w:marRight w:val="0"/>
      <w:marTop w:val="0"/>
      <w:marBottom w:val="0"/>
      <w:divBdr>
        <w:top w:val="none" w:sz="0" w:space="0" w:color="auto"/>
        <w:left w:val="none" w:sz="0" w:space="0" w:color="auto"/>
        <w:bottom w:val="none" w:sz="0" w:space="0" w:color="auto"/>
        <w:right w:val="none" w:sz="0" w:space="0" w:color="auto"/>
      </w:divBdr>
    </w:div>
    <w:div w:id="703747126">
      <w:bodyDiv w:val="1"/>
      <w:marLeft w:val="0"/>
      <w:marRight w:val="0"/>
      <w:marTop w:val="0"/>
      <w:marBottom w:val="0"/>
      <w:divBdr>
        <w:top w:val="none" w:sz="0" w:space="0" w:color="auto"/>
        <w:left w:val="none" w:sz="0" w:space="0" w:color="auto"/>
        <w:bottom w:val="none" w:sz="0" w:space="0" w:color="auto"/>
        <w:right w:val="none" w:sz="0" w:space="0" w:color="auto"/>
      </w:divBdr>
    </w:div>
    <w:div w:id="741099923">
      <w:bodyDiv w:val="1"/>
      <w:marLeft w:val="0"/>
      <w:marRight w:val="0"/>
      <w:marTop w:val="0"/>
      <w:marBottom w:val="0"/>
      <w:divBdr>
        <w:top w:val="none" w:sz="0" w:space="0" w:color="auto"/>
        <w:left w:val="none" w:sz="0" w:space="0" w:color="auto"/>
        <w:bottom w:val="none" w:sz="0" w:space="0" w:color="auto"/>
        <w:right w:val="none" w:sz="0" w:space="0" w:color="auto"/>
      </w:divBdr>
    </w:div>
    <w:div w:id="759371757">
      <w:bodyDiv w:val="1"/>
      <w:marLeft w:val="0"/>
      <w:marRight w:val="0"/>
      <w:marTop w:val="0"/>
      <w:marBottom w:val="0"/>
      <w:divBdr>
        <w:top w:val="none" w:sz="0" w:space="0" w:color="auto"/>
        <w:left w:val="none" w:sz="0" w:space="0" w:color="auto"/>
        <w:bottom w:val="none" w:sz="0" w:space="0" w:color="auto"/>
        <w:right w:val="none" w:sz="0" w:space="0" w:color="auto"/>
      </w:divBdr>
    </w:div>
    <w:div w:id="783228064">
      <w:bodyDiv w:val="1"/>
      <w:marLeft w:val="0"/>
      <w:marRight w:val="0"/>
      <w:marTop w:val="0"/>
      <w:marBottom w:val="0"/>
      <w:divBdr>
        <w:top w:val="none" w:sz="0" w:space="0" w:color="auto"/>
        <w:left w:val="none" w:sz="0" w:space="0" w:color="auto"/>
        <w:bottom w:val="none" w:sz="0" w:space="0" w:color="auto"/>
        <w:right w:val="none" w:sz="0" w:space="0" w:color="auto"/>
      </w:divBdr>
    </w:div>
    <w:div w:id="797724651">
      <w:bodyDiv w:val="1"/>
      <w:marLeft w:val="0"/>
      <w:marRight w:val="0"/>
      <w:marTop w:val="0"/>
      <w:marBottom w:val="0"/>
      <w:divBdr>
        <w:top w:val="none" w:sz="0" w:space="0" w:color="auto"/>
        <w:left w:val="none" w:sz="0" w:space="0" w:color="auto"/>
        <w:bottom w:val="none" w:sz="0" w:space="0" w:color="auto"/>
        <w:right w:val="none" w:sz="0" w:space="0" w:color="auto"/>
      </w:divBdr>
    </w:div>
    <w:div w:id="850291207">
      <w:bodyDiv w:val="1"/>
      <w:marLeft w:val="0"/>
      <w:marRight w:val="0"/>
      <w:marTop w:val="0"/>
      <w:marBottom w:val="0"/>
      <w:divBdr>
        <w:top w:val="none" w:sz="0" w:space="0" w:color="auto"/>
        <w:left w:val="none" w:sz="0" w:space="0" w:color="auto"/>
        <w:bottom w:val="none" w:sz="0" w:space="0" w:color="auto"/>
        <w:right w:val="none" w:sz="0" w:space="0" w:color="auto"/>
      </w:divBdr>
    </w:div>
    <w:div w:id="865143389">
      <w:bodyDiv w:val="1"/>
      <w:marLeft w:val="0"/>
      <w:marRight w:val="0"/>
      <w:marTop w:val="0"/>
      <w:marBottom w:val="0"/>
      <w:divBdr>
        <w:top w:val="none" w:sz="0" w:space="0" w:color="auto"/>
        <w:left w:val="none" w:sz="0" w:space="0" w:color="auto"/>
        <w:bottom w:val="none" w:sz="0" w:space="0" w:color="auto"/>
        <w:right w:val="none" w:sz="0" w:space="0" w:color="auto"/>
      </w:divBdr>
    </w:div>
    <w:div w:id="897011886">
      <w:bodyDiv w:val="1"/>
      <w:marLeft w:val="0"/>
      <w:marRight w:val="0"/>
      <w:marTop w:val="0"/>
      <w:marBottom w:val="0"/>
      <w:divBdr>
        <w:top w:val="none" w:sz="0" w:space="0" w:color="auto"/>
        <w:left w:val="none" w:sz="0" w:space="0" w:color="auto"/>
        <w:bottom w:val="none" w:sz="0" w:space="0" w:color="auto"/>
        <w:right w:val="none" w:sz="0" w:space="0" w:color="auto"/>
      </w:divBdr>
    </w:div>
    <w:div w:id="1001544932">
      <w:bodyDiv w:val="1"/>
      <w:marLeft w:val="0"/>
      <w:marRight w:val="0"/>
      <w:marTop w:val="0"/>
      <w:marBottom w:val="0"/>
      <w:divBdr>
        <w:top w:val="none" w:sz="0" w:space="0" w:color="auto"/>
        <w:left w:val="none" w:sz="0" w:space="0" w:color="auto"/>
        <w:bottom w:val="none" w:sz="0" w:space="0" w:color="auto"/>
        <w:right w:val="none" w:sz="0" w:space="0" w:color="auto"/>
      </w:divBdr>
    </w:div>
    <w:div w:id="1014261057">
      <w:bodyDiv w:val="1"/>
      <w:marLeft w:val="0"/>
      <w:marRight w:val="0"/>
      <w:marTop w:val="0"/>
      <w:marBottom w:val="0"/>
      <w:divBdr>
        <w:top w:val="none" w:sz="0" w:space="0" w:color="auto"/>
        <w:left w:val="none" w:sz="0" w:space="0" w:color="auto"/>
        <w:bottom w:val="none" w:sz="0" w:space="0" w:color="auto"/>
        <w:right w:val="none" w:sz="0" w:space="0" w:color="auto"/>
      </w:divBdr>
    </w:div>
    <w:div w:id="1046417561">
      <w:bodyDiv w:val="1"/>
      <w:marLeft w:val="0"/>
      <w:marRight w:val="0"/>
      <w:marTop w:val="0"/>
      <w:marBottom w:val="0"/>
      <w:divBdr>
        <w:top w:val="none" w:sz="0" w:space="0" w:color="auto"/>
        <w:left w:val="none" w:sz="0" w:space="0" w:color="auto"/>
        <w:bottom w:val="none" w:sz="0" w:space="0" w:color="auto"/>
        <w:right w:val="none" w:sz="0" w:space="0" w:color="auto"/>
      </w:divBdr>
    </w:div>
    <w:div w:id="1047341601">
      <w:bodyDiv w:val="1"/>
      <w:marLeft w:val="0"/>
      <w:marRight w:val="0"/>
      <w:marTop w:val="0"/>
      <w:marBottom w:val="0"/>
      <w:divBdr>
        <w:top w:val="none" w:sz="0" w:space="0" w:color="auto"/>
        <w:left w:val="none" w:sz="0" w:space="0" w:color="auto"/>
        <w:bottom w:val="none" w:sz="0" w:space="0" w:color="auto"/>
        <w:right w:val="none" w:sz="0" w:space="0" w:color="auto"/>
      </w:divBdr>
    </w:div>
    <w:div w:id="1065026814">
      <w:bodyDiv w:val="1"/>
      <w:marLeft w:val="0"/>
      <w:marRight w:val="0"/>
      <w:marTop w:val="0"/>
      <w:marBottom w:val="0"/>
      <w:divBdr>
        <w:top w:val="none" w:sz="0" w:space="0" w:color="auto"/>
        <w:left w:val="none" w:sz="0" w:space="0" w:color="auto"/>
        <w:bottom w:val="none" w:sz="0" w:space="0" w:color="auto"/>
        <w:right w:val="none" w:sz="0" w:space="0" w:color="auto"/>
      </w:divBdr>
    </w:div>
    <w:div w:id="1160076704">
      <w:bodyDiv w:val="1"/>
      <w:marLeft w:val="0"/>
      <w:marRight w:val="0"/>
      <w:marTop w:val="0"/>
      <w:marBottom w:val="0"/>
      <w:divBdr>
        <w:top w:val="none" w:sz="0" w:space="0" w:color="auto"/>
        <w:left w:val="none" w:sz="0" w:space="0" w:color="auto"/>
        <w:bottom w:val="none" w:sz="0" w:space="0" w:color="auto"/>
        <w:right w:val="none" w:sz="0" w:space="0" w:color="auto"/>
      </w:divBdr>
    </w:div>
    <w:div w:id="1168792338">
      <w:bodyDiv w:val="1"/>
      <w:marLeft w:val="0"/>
      <w:marRight w:val="0"/>
      <w:marTop w:val="0"/>
      <w:marBottom w:val="0"/>
      <w:divBdr>
        <w:top w:val="none" w:sz="0" w:space="0" w:color="auto"/>
        <w:left w:val="none" w:sz="0" w:space="0" w:color="auto"/>
        <w:bottom w:val="none" w:sz="0" w:space="0" w:color="auto"/>
        <w:right w:val="none" w:sz="0" w:space="0" w:color="auto"/>
      </w:divBdr>
    </w:div>
    <w:div w:id="1174491397">
      <w:bodyDiv w:val="1"/>
      <w:marLeft w:val="0"/>
      <w:marRight w:val="0"/>
      <w:marTop w:val="0"/>
      <w:marBottom w:val="0"/>
      <w:divBdr>
        <w:top w:val="none" w:sz="0" w:space="0" w:color="auto"/>
        <w:left w:val="none" w:sz="0" w:space="0" w:color="auto"/>
        <w:bottom w:val="none" w:sz="0" w:space="0" w:color="auto"/>
        <w:right w:val="none" w:sz="0" w:space="0" w:color="auto"/>
      </w:divBdr>
    </w:div>
    <w:div w:id="1210342476">
      <w:bodyDiv w:val="1"/>
      <w:marLeft w:val="0"/>
      <w:marRight w:val="0"/>
      <w:marTop w:val="0"/>
      <w:marBottom w:val="0"/>
      <w:divBdr>
        <w:top w:val="none" w:sz="0" w:space="0" w:color="auto"/>
        <w:left w:val="none" w:sz="0" w:space="0" w:color="auto"/>
        <w:bottom w:val="none" w:sz="0" w:space="0" w:color="auto"/>
        <w:right w:val="none" w:sz="0" w:space="0" w:color="auto"/>
      </w:divBdr>
    </w:div>
    <w:div w:id="1231506102">
      <w:bodyDiv w:val="1"/>
      <w:marLeft w:val="0"/>
      <w:marRight w:val="0"/>
      <w:marTop w:val="0"/>
      <w:marBottom w:val="0"/>
      <w:divBdr>
        <w:top w:val="none" w:sz="0" w:space="0" w:color="auto"/>
        <w:left w:val="none" w:sz="0" w:space="0" w:color="auto"/>
        <w:bottom w:val="none" w:sz="0" w:space="0" w:color="auto"/>
        <w:right w:val="none" w:sz="0" w:space="0" w:color="auto"/>
      </w:divBdr>
    </w:div>
    <w:div w:id="1271820365">
      <w:bodyDiv w:val="1"/>
      <w:marLeft w:val="0"/>
      <w:marRight w:val="0"/>
      <w:marTop w:val="0"/>
      <w:marBottom w:val="0"/>
      <w:divBdr>
        <w:top w:val="none" w:sz="0" w:space="0" w:color="auto"/>
        <w:left w:val="none" w:sz="0" w:space="0" w:color="auto"/>
        <w:bottom w:val="none" w:sz="0" w:space="0" w:color="auto"/>
        <w:right w:val="none" w:sz="0" w:space="0" w:color="auto"/>
      </w:divBdr>
    </w:div>
    <w:div w:id="1276909892">
      <w:bodyDiv w:val="1"/>
      <w:marLeft w:val="0"/>
      <w:marRight w:val="0"/>
      <w:marTop w:val="0"/>
      <w:marBottom w:val="0"/>
      <w:divBdr>
        <w:top w:val="none" w:sz="0" w:space="0" w:color="auto"/>
        <w:left w:val="none" w:sz="0" w:space="0" w:color="auto"/>
        <w:bottom w:val="none" w:sz="0" w:space="0" w:color="auto"/>
        <w:right w:val="none" w:sz="0" w:space="0" w:color="auto"/>
      </w:divBdr>
    </w:div>
    <w:div w:id="1300645999">
      <w:bodyDiv w:val="1"/>
      <w:marLeft w:val="0"/>
      <w:marRight w:val="0"/>
      <w:marTop w:val="0"/>
      <w:marBottom w:val="0"/>
      <w:divBdr>
        <w:top w:val="none" w:sz="0" w:space="0" w:color="auto"/>
        <w:left w:val="none" w:sz="0" w:space="0" w:color="auto"/>
        <w:bottom w:val="none" w:sz="0" w:space="0" w:color="auto"/>
        <w:right w:val="none" w:sz="0" w:space="0" w:color="auto"/>
      </w:divBdr>
    </w:div>
    <w:div w:id="1330795355">
      <w:bodyDiv w:val="1"/>
      <w:marLeft w:val="0"/>
      <w:marRight w:val="0"/>
      <w:marTop w:val="0"/>
      <w:marBottom w:val="0"/>
      <w:divBdr>
        <w:top w:val="none" w:sz="0" w:space="0" w:color="auto"/>
        <w:left w:val="none" w:sz="0" w:space="0" w:color="auto"/>
        <w:bottom w:val="none" w:sz="0" w:space="0" w:color="auto"/>
        <w:right w:val="none" w:sz="0" w:space="0" w:color="auto"/>
      </w:divBdr>
    </w:div>
    <w:div w:id="1358000398">
      <w:bodyDiv w:val="1"/>
      <w:marLeft w:val="0"/>
      <w:marRight w:val="0"/>
      <w:marTop w:val="0"/>
      <w:marBottom w:val="0"/>
      <w:divBdr>
        <w:top w:val="none" w:sz="0" w:space="0" w:color="auto"/>
        <w:left w:val="none" w:sz="0" w:space="0" w:color="auto"/>
        <w:bottom w:val="none" w:sz="0" w:space="0" w:color="auto"/>
        <w:right w:val="none" w:sz="0" w:space="0" w:color="auto"/>
      </w:divBdr>
    </w:div>
    <w:div w:id="1410466032">
      <w:bodyDiv w:val="1"/>
      <w:marLeft w:val="0"/>
      <w:marRight w:val="0"/>
      <w:marTop w:val="0"/>
      <w:marBottom w:val="0"/>
      <w:divBdr>
        <w:top w:val="none" w:sz="0" w:space="0" w:color="auto"/>
        <w:left w:val="none" w:sz="0" w:space="0" w:color="auto"/>
        <w:bottom w:val="none" w:sz="0" w:space="0" w:color="auto"/>
        <w:right w:val="none" w:sz="0" w:space="0" w:color="auto"/>
      </w:divBdr>
    </w:div>
    <w:div w:id="1422292836">
      <w:bodyDiv w:val="1"/>
      <w:marLeft w:val="0"/>
      <w:marRight w:val="0"/>
      <w:marTop w:val="0"/>
      <w:marBottom w:val="0"/>
      <w:divBdr>
        <w:top w:val="none" w:sz="0" w:space="0" w:color="auto"/>
        <w:left w:val="none" w:sz="0" w:space="0" w:color="auto"/>
        <w:bottom w:val="none" w:sz="0" w:space="0" w:color="auto"/>
        <w:right w:val="none" w:sz="0" w:space="0" w:color="auto"/>
      </w:divBdr>
    </w:div>
    <w:div w:id="1492595968">
      <w:bodyDiv w:val="1"/>
      <w:marLeft w:val="0"/>
      <w:marRight w:val="0"/>
      <w:marTop w:val="0"/>
      <w:marBottom w:val="0"/>
      <w:divBdr>
        <w:top w:val="none" w:sz="0" w:space="0" w:color="auto"/>
        <w:left w:val="none" w:sz="0" w:space="0" w:color="auto"/>
        <w:bottom w:val="none" w:sz="0" w:space="0" w:color="auto"/>
        <w:right w:val="none" w:sz="0" w:space="0" w:color="auto"/>
      </w:divBdr>
    </w:div>
    <w:div w:id="1538662465">
      <w:bodyDiv w:val="1"/>
      <w:marLeft w:val="0"/>
      <w:marRight w:val="0"/>
      <w:marTop w:val="0"/>
      <w:marBottom w:val="0"/>
      <w:divBdr>
        <w:top w:val="none" w:sz="0" w:space="0" w:color="auto"/>
        <w:left w:val="none" w:sz="0" w:space="0" w:color="auto"/>
        <w:bottom w:val="none" w:sz="0" w:space="0" w:color="auto"/>
        <w:right w:val="none" w:sz="0" w:space="0" w:color="auto"/>
      </w:divBdr>
    </w:div>
    <w:div w:id="1563835497">
      <w:bodyDiv w:val="1"/>
      <w:marLeft w:val="0"/>
      <w:marRight w:val="0"/>
      <w:marTop w:val="0"/>
      <w:marBottom w:val="0"/>
      <w:divBdr>
        <w:top w:val="none" w:sz="0" w:space="0" w:color="auto"/>
        <w:left w:val="none" w:sz="0" w:space="0" w:color="auto"/>
        <w:bottom w:val="none" w:sz="0" w:space="0" w:color="auto"/>
        <w:right w:val="none" w:sz="0" w:space="0" w:color="auto"/>
      </w:divBdr>
    </w:div>
    <w:div w:id="1630431821">
      <w:bodyDiv w:val="1"/>
      <w:marLeft w:val="0"/>
      <w:marRight w:val="0"/>
      <w:marTop w:val="0"/>
      <w:marBottom w:val="0"/>
      <w:divBdr>
        <w:top w:val="none" w:sz="0" w:space="0" w:color="auto"/>
        <w:left w:val="none" w:sz="0" w:space="0" w:color="auto"/>
        <w:bottom w:val="none" w:sz="0" w:space="0" w:color="auto"/>
        <w:right w:val="none" w:sz="0" w:space="0" w:color="auto"/>
      </w:divBdr>
    </w:div>
    <w:div w:id="1641349791">
      <w:bodyDiv w:val="1"/>
      <w:marLeft w:val="0"/>
      <w:marRight w:val="0"/>
      <w:marTop w:val="0"/>
      <w:marBottom w:val="0"/>
      <w:divBdr>
        <w:top w:val="none" w:sz="0" w:space="0" w:color="auto"/>
        <w:left w:val="none" w:sz="0" w:space="0" w:color="auto"/>
        <w:bottom w:val="none" w:sz="0" w:space="0" w:color="auto"/>
        <w:right w:val="none" w:sz="0" w:space="0" w:color="auto"/>
      </w:divBdr>
    </w:div>
    <w:div w:id="1777746197">
      <w:bodyDiv w:val="1"/>
      <w:marLeft w:val="0"/>
      <w:marRight w:val="0"/>
      <w:marTop w:val="0"/>
      <w:marBottom w:val="0"/>
      <w:divBdr>
        <w:top w:val="none" w:sz="0" w:space="0" w:color="auto"/>
        <w:left w:val="none" w:sz="0" w:space="0" w:color="auto"/>
        <w:bottom w:val="none" w:sz="0" w:space="0" w:color="auto"/>
        <w:right w:val="none" w:sz="0" w:space="0" w:color="auto"/>
      </w:divBdr>
    </w:div>
    <w:div w:id="1797868261">
      <w:bodyDiv w:val="1"/>
      <w:marLeft w:val="0"/>
      <w:marRight w:val="0"/>
      <w:marTop w:val="0"/>
      <w:marBottom w:val="0"/>
      <w:divBdr>
        <w:top w:val="none" w:sz="0" w:space="0" w:color="auto"/>
        <w:left w:val="none" w:sz="0" w:space="0" w:color="auto"/>
        <w:bottom w:val="none" w:sz="0" w:space="0" w:color="auto"/>
        <w:right w:val="none" w:sz="0" w:space="0" w:color="auto"/>
      </w:divBdr>
    </w:div>
    <w:div w:id="1827892912">
      <w:bodyDiv w:val="1"/>
      <w:marLeft w:val="0"/>
      <w:marRight w:val="0"/>
      <w:marTop w:val="0"/>
      <w:marBottom w:val="0"/>
      <w:divBdr>
        <w:top w:val="none" w:sz="0" w:space="0" w:color="auto"/>
        <w:left w:val="none" w:sz="0" w:space="0" w:color="auto"/>
        <w:bottom w:val="none" w:sz="0" w:space="0" w:color="auto"/>
        <w:right w:val="none" w:sz="0" w:space="0" w:color="auto"/>
      </w:divBdr>
    </w:div>
    <w:div w:id="1886989644">
      <w:bodyDiv w:val="1"/>
      <w:marLeft w:val="0"/>
      <w:marRight w:val="0"/>
      <w:marTop w:val="0"/>
      <w:marBottom w:val="0"/>
      <w:divBdr>
        <w:top w:val="none" w:sz="0" w:space="0" w:color="auto"/>
        <w:left w:val="none" w:sz="0" w:space="0" w:color="auto"/>
        <w:bottom w:val="none" w:sz="0" w:space="0" w:color="auto"/>
        <w:right w:val="none" w:sz="0" w:space="0" w:color="auto"/>
      </w:divBdr>
    </w:div>
    <w:div w:id="1898857286">
      <w:bodyDiv w:val="1"/>
      <w:marLeft w:val="0"/>
      <w:marRight w:val="0"/>
      <w:marTop w:val="0"/>
      <w:marBottom w:val="0"/>
      <w:divBdr>
        <w:top w:val="none" w:sz="0" w:space="0" w:color="auto"/>
        <w:left w:val="none" w:sz="0" w:space="0" w:color="auto"/>
        <w:bottom w:val="none" w:sz="0" w:space="0" w:color="auto"/>
        <w:right w:val="none" w:sz="0" w:space="0" w:color="auto"/>
      </w:divBdr>
    </w:div>
    <w:div w:id="1973562285">
      <w:bodyDiv w:val="1"/>
      <w:marLeft w:val="0"/>
      <w:marRight w:val="0"/>
      <w:marTop w:val="0"/>
      <w:marBottom w:val="0"/>
      <w:divBdr>
        <w:top w:val="none" w:sz="0" w:space="0" w:color="auto"/>
        <w:left w:val="none" w:sz="0" w:space="0" w:color="auto"/>
        <w:bottom w:val="none" w:sz="0" w:space="0" w:color="auto"/>
        <w:right w:val="none" w:sz="0" w:space="0" w:color="auto"/>
      </w:divBdr>
    </w:div>
    <w:div w:id="2041516039">
      <w:bodyDiv w:val="1"/>
      <w:marLeft w:val="0"/>
      <w:marRight w:val="0"/>
      <w:marTop w:val="0"/>
      <w:marBottom w:val="0"/>
      <w:divBdr>
        <w:top w:val="none" w:sz="0" w:space="0" w:color="auto"/>
        <w:left w:val="none" w:sz="0" w:space="0" w:color="auto"/>
        <w:bottom w:val="none" w:sz="0" w:space="0" w:color="auto"/>
        <w:right w:val="none" w:sz="0" w:space="0" w:color="auto"/>
      </w:divBdr>
    </w:div>
    <w:div w:id="2044136485">
      <w:bodyDiv w:val="1"/>
      <w:marLeft w:val="0"/>
      <w:marRight w:val="0"/>
      <w:marTop w:val="0"/>
      <w:marBottom w:val="0"/>
      <w:divBdr>
        <w:top w:val="none" w:sz="0" w:space="0" w:color="auto"/>
        <w:left w:val="none" w:sz="0" w:space="0" w:color="auto"/>
        <w:bottom w:val="none" w:sz="0" w:space="0" w:color="auto"/>
        <w:right w:val="none" w:sz="0" w:space="0" w:color="auto"/>
      </w:divBdr>
    </w:div>
    <w:div w:id="21227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4</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6</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7</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8</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10</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11</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26</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31</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32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14</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15</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17</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9</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33</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34</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35</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27</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5</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23</b:RefOrder>
  </b:Source>
  <b:Source>
    <b:Tag>Eri181</b:Tag>
    <b:SourceType>ConferenceProceedings</b:SourceType>
    <b:Guid>{F95AF969-B445-4D57-B583-671E43190E47}</b:Guid>
    <b:Title>Community finding of malware and exploit vendors on darkweb marketplaces</b:Title>
    <b:Year>2018</b:Year>
    <b:ConferenceName>1st International Conference on Data Intelligence and Security</b:ConferenceName>
    <b:City>South Padre Island, TX, USA</b:City>
    <b:Author>
      <b:Author>
        <b:NameList>
          <b:Person>
            <b:Last>Ericsson</b:Last>
            <b:First>M</b:First>
          </b:Person>
          <b:Person>
            <b:Last>Almukaynizi</b:Last>
            <b:First>M</b:First>
          </b:Person>
          <b:Person>
            <b:Last>Nunes</b:Last>
            <b:First>E</b:First>
          </b:Person>
          <b:Person>
            <b:Last>Shakarian</b:Last>
            <b:First>P</b:First>
          </b:Person>
        </b:NameList>
      </b:Author>
    </b:Author>
    <b:Pages>81-84</b:Pages>
    <b:DOI>https://doi.org/10.1109/ICDIS.2018.00019.</b:DOI>
    <b:RefOrder>24</b:RefOrder>
  </b:Source>
  <b:Source>
    <b:Tag>Mic15</b:Tag>
    <b:SourceType>InternetSite</b:SourceType>
    <b:Guid>{82124140-2D7F-47A5-9A3C-5207BAE9035A}</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YearAccessed>2020</b:YearAccessed>
    <b:MonthAccessed>May</b:MonthAccessed>
    <b:DayAccessed>24</b:DayAccessed>
    <b:RefOrder>16</b:RefOrder>
  </b:Source>
  <b:Source>
    <b:Tag>Ban17</b:Tag>
    <b:SourceType>JournalArticle</b:SourceType>
    <b:Guid>{A52AF3ED-4EC3-4DC1-A2C4-AD13B85AF678}</b:Guid>
    <b:Author>
      <b:Author>
        <b:NameList>
          <b:Person>
            <b:Last>Banks</b:Last>
            <b:First>W</b:First>
          </b:Person>
        </b:NameList>
      </b:Author>
    </b:Author>
    <b:Title>Cyber espionage and electronic surveillance: beyond the media coverage</b:Title>
    <b:JournalName>Emory Law Journal</b:JournalName>
    <b:Year>2017</b:Year>
    <b:Pages>513-525</b:Pages>
    <b:Volume>66</b:Volume>
    <b:Issue>3</b:Issue>
    <b:URL> https://search-ebscohost-com.proxy1.ncu.edu/login.aspx?direct=true&amp;db=ofs&amp;AN=121933698&amp;site=eds-live</b:URL>
    <b:RefOrder>18</b:RefOrder>
  </b:Source>
  <b:Source>
    <b:Tag>Bly18</b:Tag>
    <b:SourceType>JournalArticle</b:SourceType>
    <b:Guid>{AE3F9E58-8028-4DA6-BB51-0279D68C5A7C}</b:Guid>
    <b:Author>
      <b:Author>
        <b:NameList>
          <b:Person>
            <b:Last>Blythe</b:Last>
            <b:First>J</b:First>
          </b:Person>
          <b:Person>
            <b:Last>Coventry</b:Last>
            <b:First>L</b:First>
          </b:Person>
        </b:NameList>
      </b:Author>
    </b:Author>
    <b:Title>Costly but effective: comparing the factors that influence employee anti-malware behaviours</b:Title>
    <b:JournalName>Computers in Human Behavior</b:JournalName>
    <b:Year>2018</b:Year>
    <b:Pages>87-97</b:Pages>
    <b:Month>October</b:Month>
    <b:Volume>87</b:Volume>
    <b:DOI>https://doi.org/10.1016/j.chb.2018.05.023</b:DOI>
    <b:RefOrder>21</b:RefOrder>
  </b:Source>
  <b:Source>
    <b:Tag>Bru17</b:Tag>
    <b:SourceType>JournalArticle</b:SourceType>
    <b:Guid>{3D8DFCCF-B306-49F3-99D3-709D14CA0853}</b:Guid>
    <b:Author>
      <b:Author>
        <b:NameList>
          <b:Person>
            <b:Last>de Bruijn</b:Last>
            <b:First>H</b:First>
          </b:Person>
          <b:Person>
            <b:Last>Janssen</b:Last>
            <b:First>M</b:First>
          </b:Person>
        </b:NameList>
      </b:Author>
    </b:Author>
    <b:Title>Building cybersecurity awareness: the need for evidence-based framing strategies</b:Title>
    <b:JournalName>Government Information Quarterly</b:JournalName>
    <b:Year>2017</b:Year>
    <b:Pages>1-7</b:Pages>
    <b:Month>January</b:Month>
    <b:Volume>34</b:Volume>
    <b:Issue>1</b:Issue>
    <b:DOI>https://doi.org/10.1016/j.giq.2017.02.007</b:DOI>
    <b:RefOrder>2</b:RefOrder>
  </b:Source>
  <b:Source>
    <b:Tag>Eli18</b:Tag>
    <b:SourceType>JournalArticle</b:SourceType>
    <b:Guid>{F37D2DB7-B59E-4EF3-8601-7BC68A2DB851}</b:Guid>
    <b:Title>Minimizing insider threat risk with behavioral monitoring</b:Title>
    <b:Year>2018</b:Year>
    <b:Author>
      <b:Author>
        <b:NameList>
          <b:Person>
            <b:Last>Elifoglu</b:Last>
            <b:First>H</b:First>
          </b:Person>
          <b:Person>
            <b:Last>Abel</b:Last>
            <b:First>I</b:First>
          </b:Person>
          <b:Person>
            <b:Last>Tasseven</b:Last>
            <b:First>O</b:First>
          </b:Person>
        </b:NameList>
      </b:Author>
    </b:Author>
    <b:JournalName>Review of Business</b:JournalName>
    <b:Pages>61-73</b:Pages>
    <b:Volume>38</b:Volume>
    <b:Issue>2</b:Issue>
    <b:URL>https://search-ebscohost-com.proxy1.ncu.edu/login.aspx?direct=true&amp;db=bth&amp;AN=129631258&amp;site=eds-live</b:URL>
    <b:RefOrder>22</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25</b:RefOrder>
  </b:Source>
  <b:Source>
    <b:Tag>Fis17</b:Tag>
    <b:SourceType>JournalArticle</b:SourceType>
    <b:Guid>{A4AC36F1-A4EA-4CAA-BA9D-FC244D95D6E9}</b:Guid>
    <b:Author>
      <b:Author>
        <b:NameList>
          <b:Person>
            <b:Last>Fischerkeller</b:Last>
            <b:First>M</b:First>
          </b:Person>
          <b:Person>
            <b:Last>Harknett</b:Last>
            <b:First>R</b:First>
          </b:Person>
        </b:NameList>
      </b:Author>
    </b:Author>
    <b:Title>Deterrence is not a credible strategy for cyberspace</b:Title>
    <b:JournalName>Orbis</b:JournalName>
    <b:Year>2017</b:Year>
    <b:Pages>381-393</b:Pages>
    <b:Volume>61</b:Volume>
    <b:Issue>3</b:Issue>
    <b:DOI>https://doi.org/10.1016/j.orbis.2017.05.003</b:DOI>
    <b:RefOrder>19</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28</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30</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29</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20</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3</b:RefOrder>
  </b:Source>
</b:Sources>
</file>

<file path=customXml/itemProps1.xml><?xml version="1.0" encoding="utf-8"?>
<ds:datastoreItem xmlns:ds="http://schemas.openxmlformats.org/officeDocument/2006/customXml" ds:itemID="{D1801D62-3B16-4581-A608-DFEFE948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22</Pages>
  <Words>5756</Words>
  <Characters>32815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2020-05-24T15:01:00Z</dcterms:modified>
</cp:coreProperties>
</file>