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5DF5D" w14:textId="77777777" w:rsidR="00012B0D" w:rsidRDefault="00012B0D" w:rsidP="00012B0D"/>
    <w:p w14:paraId="36F6CB93" w14:textId="77777777" w:rsidR="00012B0D" w:rsidRDefault="00012B0D" w:rsidP="00012B0D"/>
    <w:p w14:paraId="34ECA99C" w14:textId="77777777" w:rsidR="00012B0D" w:rsidRDefault="00012B0D" w:rsidP="00012B0D"/>
    <w:p w14:paraId="76338C07" w14:textId="77777777" w:rsidR="00012B0D" w:rsidRDefault="00012B0D" w:rsidP="00012B0D"/>
    <w:p w14:paraId="328FD7E3" w14:textId="77777777" w:rsidR="00012B0D" w:rsidRDefault="00012B0D" w:rsidP="00012B0D"/>
    <w:p w14:paraId="5359F64E" w14:textId="77777777" w:rsidR="00012B0D" w:rsidRDefault="00012B0D" w:rsidP="00012B0D"/>
    <w:p w14:paraId="3D4AFC2E" w14:textId="77777777" w:rsidR="00012B0D" w:rsidRDefault="00012B0D" w:rsidP="00012B0D">
      <w:pPr>
        <w:jc w:val="center"/>
      </w:pPr>
      <w:r>
        <w:rPr>
          <w:b/>
        </w:rPr>
        <w:t>Week 3: Monitoring Security Risk</w:t>
      </w:r>
      <w:r>
        <w:br/>
        <w:t>Nate Bachmeier</w:t>
      </w:r>
      <w:r>
        <w:br/>
        <w:t>July 27</w:t>
      </w:r>
      <w:r w:rsidRPr="005B1617">
        <w:rPr>
          <w:vertAlign w:val="superscript"/>
        </w:rPr>
        <w:t>th</w:t>
      </w:r>
      <w:r>
        <w:t>, 2014</w:t>
      </w:r>
      <w:r>
        <w:br/>
        <w:t>CMGT442: Risk Management</w:t>
      </w:r>
      <w:r>
        <w:br/>
        <w:t>University of Phoenix</w:t>
      </w:r>
    </w:p>
    <w:p w14:paraId="00B9557E" w14:textId="77777777" w:rsidR="00012B0D" w:rsidRDefault="00012B0D" w:rsidP="00012B0D">
      <w:pPr>
        <w:spacing w:line="259" w:lineRule="auto"/>
      </w:pPr>
      <w:r>
        <w:br w:type="page"/>
      </w:r>
    </w:p>
    <w:p w14:paraId="61118203" w14:textId="77777777" w:rsidR="00012B0D" w:rsidRDefault="00012B0D" w:rsidP="00012B0D">
      <w:pPr>
        <w:pStyle w:val="Heading1"/>
      </w:pPr>
      <w:r w:rsidRPr="005B1617">
        <w:lastRenderedPageBreak/>
        <w:t>Monitoring Security Risk</w:t>
      </w:r>
    </w:p>
    <w:p w14:paraId="77B5929E" w14:textId="7CEF038F" w:rsidR="00012B0D" w:rsidRDefault="00012B0D" w:rsidP="00012B0D">
      <w:r>
        <w:tab/>
        <w:t xml:space="preserve">It is a widely accepted fact that it is critical to the success of an organization to have security services correctly deployed across their environment. These systems prevent misbehavior either through accidental or malicious intent. After being deployed within an </w:t>
      </w:r>
      <w:r w:rsidR="00F71D96">
        <w:t>enterprise</w:t>
      </w:r>
      <w:r>
        <w:t xml:space="preserve">, security monitoring activities need to be conducted across internal business practices and among external interactions. </w:t>
      </w:r>
    </w:p>
    <w:p w14:paraId="0BC6A16D" w14:textId="77777777" w:rsidR="00012B0D" w:rsidRDefault="00012B0D" w:rsidP="00012B0D">
      <w:pPr>
        <w:pStyle w:val="Heading1"/>
      </w:pPr>
      <w:r>
        <w:t>Monitoring Internal Security Risk</w:t>
      </w:r>
    </w:p>
    <w:p w14:paraId="5E2B86F9" w14:textId="78688958" w:rsidR="00012B0D" w:rsidRDefault="00012B0D" w:rsidP="00012B0D">
      <w:r>
        <w:tab/>
        <w:t xml:space="preserve">For many it is easy to accept that there are thieves that want to steal from their retail outlets or computer hackers trying to break into their network. However it is much harder to think that “good old Joe from accounting” might be plotting to embezzle millions. </w:t>
      </w:r>
    </w:p>
    <w:p w14:paraId="46E5D706" w14:textId="77777777" w:rsidR="00012B0D" w:rsidRDefault="00012B0D" w:rsidP="00012B0D">
      <w:pPr>
        <w:pStyle w:val="Heading2"/>
      </w:pPr>
      <w:r>
        <w:t>Payroll</w:t>
      </w:r>
    </w:p>
    <w:p w14:paraId="7A76CF7A" w14:textId="7D02F95B" w:rsidR="00012B0D" w:rsidRDefault="00012B0D" w:rsidP="00012B0D">
      <w:r>
        <w:tab/>
        <w:t>The payroll department presents a unique sets of monetary risk to the organization. If an employee is able to leverage an exploit</w:t>
      </w:r>
      <w:r w:rsidR="00B4570B">
        <w:t>,</w:t>
      </w:r>
      <w:r>
        <w:t xml:space="preserve"> they directly receive money. The exploitation can occur through technical or process based vulnerabilities. </w:t>
      </w:r>
    </w:p>
    <w:p w14:paraId="3B027468" w14:textId="19B9B896" w:rsidR="00012B0D" w:rsidRDefault="00012B0D" w:rsidP="00012B0D">
      <w:r>
        <w:tab/>
        <w:t>For instance a technical vulnerability might include a software bug that allows the actor to update a payment or billing amount to themselves or another entity. Common examples include SQL injections and cross site scripting (XSS) attacks</w:t>
      </w:r>
      <w:sdt>
        <w:sdtPr>
          <w:id w:val="-30342856"/>
          <w:citation/>
        </w:sdtPr>
        <w:sdtContent>
          <w:r w:rsidR="001D06AB">
            <w:fldChar w:fldCharType="begin"/>
          </w:r>
          <w:r w:rsidR="001D06AB">
            <w:instrText xml:space="preserve"> CITATION Sta08 \l 1033 </w:instrText>
          </w:r>
          <w:r w:rsidR="001D06AB">
            <w:fldChar w:fldCharType="separate"/>
          </w:r>
          <w:r w:rsidR="001D06AB">
            <w:rPr>
              <w:noProof/>
            </w:rPr>
            <w:t xml:space="preserve"> (Stallings &amp; Brown, 2008)</w:t>
          </w:r>
          <w:r w:rsidR="001D06AB">
            <w:fldChar w:fldCharType="end"/>
          </w:r>
        </w:sdtContent>
      </w:sdt>
      <w:r>
        <w:t xml:space="preserve">. </w:t>
      </w:r>
    </w:p>
    <w:p w14:paraId="683881A3" w14:textId="1872EDB0" w:rsidR="00012B0D" w:rsidRDefault="00012B0D" w:rsidP="00012B0D">
      <w:pPr>
        <w:ind w:firstLine="720"/>
      </w:pPr>
      <w:r>
        <w:t>To mitigate these risks change management solutions (CMS) need to exist</w:t>
      </w:r>
      <w:sdt>
        <w:sdtPr>
          <w:id w:val="1102302270"/>
          <w:citation/>
        </w:sdtPr>
        <w:sdtContent>
          <w:r w:rsidR="001D06AB">
            <w:fldChar w:fldCharType="begin"/>
          </w:r>
          <w:r w:rsidR="001D06AB">
            <w:instrText xml:space="preserve"> CITATION Mar12 \l 1033 </w:instrText>
          </w:r>
          <w:r w:rsidR="001D06AB">
            <w:fldChar w:fldCharType="separate"/>
          </w:r>
          <w:r w:rsidR="001D06AB">
            <w:rPr>
              <w:noProof/>
            </w:rPr>
            <w:t xml:space="preserve"> (Marchewka, 2012)</w:t>
          </w:r>
          <w:r w:rsidR="001D06AB">
            <w:fldChar w:fldCharType="end"/>
          </w:r>
        </w:sdtContent>
      </w:sdt>
      <w:r>
        <w:t xml:space="preserve">. For a small organization it can be as simple as an email notification to a leadership team. As the organization becomes larger and more complex so does the CMS. The organization might introduce a multiple authorization policy, such as the manager and skip manager need to approve the pay </w:t>
      </w:r>
      <w:r>
        <w:lastRenderedPageBreak/>
        <w:t>change</w:t>
      </w:r>
      <w:sdt>
        <w:sdtPr>
          <w:id w:val="642235433"/>
          <w:citation/>
        </w:sdtPr>
        <w:sdtContent>
          <w:r w:rsidR="001D06AB">
            <w:fldChar w:fldCharType="begin"/>
          </w:r>
          <w:r w:rsidR="001D06AB">
            <w:instrText xml:space="preserve"> CITATION Sta08 \l 1033 </w:instrText>
          </w:r>
          <w:r w:rsidR="001D06AB">
            <w:fldChar w:fldCharType="separate"/>
          </w:r>
          <w:r w:rsidR="001D06AB">
            <w:rPr>
              <w:noProof/>
            </w:rPr>
            <w:t xml:space="preserve"> (Stallings &amp; Brown, 2008)</w:t>
          </w:r>
          <w:r w:rsidR="001D06AB">
            <w:fldChar w:fldCharType="end"/>
          </w:r>
        </w:sdtContent>
      </w:sdt>
      <w:sdt>
        <w:sdtPr>
          <w:id w:val="721718819"/>
          <w:citation/>
        </w:sdtPr>
        <w:sdtContent>
          <w:r w:rsidR="001D06AB">
            <w:fldChar w:fldCharType="begin"/>
          </w:r>
          <w:r w:rsidR="001D06AB">
            <w:instrText xml:space="preserve"> CITATION Her12 \l 1033 </w:instrText>
          </w:r>
          <w:r w:rsidR="001D06AB">
            <w:fldChar w:fldCharType="separate"/>
          </w:r>
          <w:r w:rsidR="001D06AB">
            <w:rPr>
              <w:noProof/>
            </w:rPr>
            <w:t xml:space="preserve"> (Hernandez, 2012)</w:t>
          </w:r>
          <w:r w:rsidR="001D06AB">
            <w:fldChar w:fldCharType="end"/>
          </w:r>
        </w:sdtContent>
      </w:sdt>
      <w:r>
        <w:t>.</w:t>
      </w:r>
      <w:r w:rsidR="00B4570B">
        <w:t xml:space="preserve"> Having an audit trail will be useful </w:t>
      </w:r>
      <w:r w:rsidR="001D06AB">
        <w:t>when</w:t>
      </w:r>
      <w:r w:rsidR="00B4570B">
        <w:t xml:space="preserve"> understanding what has happened and how it became approved.</w:t>
      </w:r>
    </w:p>
    <w:p w14:paraId="5AD22B78" w14:textId="56BC028C" w:rsidR="00012B0D" w:rsidRDefault="00012B0D" w:rsidP="00012B0D">
      <w:r>
        <w:tab/>
        <w:t>In addition to technical vulnerabilities are process attacks such as collusion and other poor oversight vulnerabilities</w:t>
      </w:r>
      <w:sdt>
        <w:sdtPr>
          <w:id w:val="-771156012"/>
          <w:citation/>
        </w:sdtPr>
        <w:sdtContent>
          <w:r w:rsidR="001D06AB">
            <w:fldChar w:fldCharType="begin"/>
          </w:r>
          <w:r w:rsidR="001D06AB">
            <w:instrText xml:space="preserve"> CITATION Her12 \l 1033 </w:instrText>
          </w:r>
          <w:r w:rsidR="001D06AB">
            <w:fldChar w:fldCharType="separate"/>
          </w:r>
          <w:r w:rsidR="001D06AB">
            <w:rPr>
              <w:noProof/>
            </w:rPr>
            <w:t xml:space="preserve"> (Hernandez, 2012)</w:t>
          </w:r>
          <w:r w:rsidR="001D06AB">
            <w:fldChar w:fldCharType="end"/>
          </w:r>
        </w:sdtContent>
      </w:sdt>
      <w:r>
        <w:t>. To provide a real world example</w:t>
      </w:r>
      <w:r w:rsidR="00B4570B">
        <w:t>,</w:t>
      </w:r>
      <w:r>
        <w:t xml:space="preserve"> a popular bar downtown had designed policy that managers needed a second manager to authorize an expense report. This simple policy kept everyone honest until two of the managers started dating. At that point they </w:t>
      </w:r>
      <w:r w:rsidR="00B4570B">
        <w:t xml:space="preserve">began </w:t>
      </w:r>
      <w:r>
        <w:t xml:space="preserve">authorized for one </w:t>
      </w:r>
      <w:r w:rsidR="00B4570B">
        <w:t>each other, eventually collapsing the business.</w:t>
      </w:r>
    </w:p>
    <w:p w14:paraId="4BDA91F4" w14:textId="42F105CF" w:rsidR="00012B0D" w:rsidRDefault="00012B0D" w:rsidP="00012B0D">
      <w:r>
        <w:tab/>
        <w:t>To mitigate these classes of issues regular auditing both by internal leadership and external consultants needs to exist</w:t>
      </w:r>
      <w:sdt>
        <w:sdtPr>
          <w:id w:val="1391468789"/>
          <w:citation/>
        </w:sdtPr>
        <w:sdtContent>
          <w:r w:rsidR="001D06AB">
            <w:fldChar w:fldCharType="begin"/>
          </w:r>
          <w:r w:rsidR="001D06AB">
            <w:instrText xml:space="preserve"> CITATION Her12 \l 1033 </w:instrText>
          </w:r>
          <w:r w:rsidR="001D06AB">
            <w:fldChar w:fldCharType="separate"/>
          </w:r>
          <w:r w:rsidR="001D06AB">
            <w:rPr>
              <w:noProof/>
            </w:rPr>
            <w:t xml:space="preserve"> (Hernandez, 2012)</w:t>
          </w:r>
          <w:r w:rsidR="001D06AB">
            <w:fldChar w:fldCharType="end"/>
          </w:r>
        </w:sdtContent>
      </w:sdt>
      <w:r>
        <w:t>. The internal team is there to go over the books and find any obvious signs of accidental or malicious corruption. Later on a given cadence external consultants can validate the internal team is efficient and not corrupt themselves. Another benefit to external consul</w:t>
      </w:r>
      <w:r w:rsidR="00B4570B">
        <w:t>tants is that they are unbiased</w:t>
      </w:r>
      <w:r>
        <w:t>.</w:t>
      </w:r>
    </w:p>
    <w:p w14:paraId="1B1E250B" w14:textId="77777777" w:rsidR="00012B0D" w:rsidRDefault="00012B0D" w:rsidP="00012B0D">
      <w:pPr>
        <w:pStyle w:val="Heading2"/>
      </w:pPr>
      <w:r>
        <w:t>General Ledger</w:t>
      </w:r>
    </w:p>
    <w:p w14:paraId="6E7FE3F2" w14:textId="2ED31FCF" w:rsidR="00012B0D" w:rsidRDefault="00012B0D" w:rsidP="00012B0D">
      <w:r>
        <w:tab/>
        <w:t>Similar to payroll</w:t>
      </w:r>
      <w:r w:rsidR="00F271BA">
        <w:t>,</w:t>
      </w:r>
      <w:r>
        <w:t xml:space="preserve"> the ledger and accounts payable records also present risk from internal attacks. </w:t>
      </w:r>
      <w:r w:rsidR="001D06AB">
        <w:t>D</w:t>
      </w:r>
      <w:r w:rsidR="001D06AB" w:rsidRPr="001D06AB">
        <w:t xml:space="preserve">an </w:t>
      </w:r>
      <w:r w:rsidR="001D06AB">
        <w:t>A</w:t>
      </w:r>
      <w:r w:rsidR="001D06AB" w:rsidRPr="001D06AB">
        <w:t>riely</w:t>
      </w:r>
      <w:r w:rsidR="001D06AB">
        <w:t xml:space="preserve"> discussed such an incident </w:t>
      </w:r>
      <w:r>
        <w:t>at MCI telecommunication</w:t>
      </w:r>
      <w:r w:rsidR="001D06AB">
        <w:t>,</w:t>
      </w:r>
      <w:r>
        <w:t xml:space="preserve"> where an employee in the accounts receivable became overwhelmed by the work. His job was to collect money from overdue accounts. </w:t>
      </w:r>
      <w:r w:rsidR="00F271BA">
        <w:t>One day he thought</w:t>
      </w:r>
      <w:r>
        <w:t xml:space="preserve">, </w:t>
      </w:r>
      <w:r w:rsidR="00F271BA">
        <w:t>“</w:t>
      </w:r>
      <w:r>
        <w:t xml:space="preserve">what if I just set </w:t>
      </w:r>
      <w:r w:rsidR="001D06AB">
        <w:t xml:space="preserve">the </w:t>
      </w:r>
      <w:r>
        <w:t>debt to 0$?</w:t>
      </w:r>
      <w:r w:rsidR="00F271BA">
        <w:t>”</w:t>
      </w:r>
      <w:r>
        <w:t xml:space="preserve"> The company would be happy as owed amount </w:t>
      </w:r>
      <w:r w:rsidR="00F271BA">
        <w:t xml:space="preserve">has </w:t>
      </w:r>
      <w:r>
        <w:t>declined, customer is happy, etc. This quickly became a slippery slope and to keep making the new expected quotas had to blank out debt more frequently each quarter</w:t>
      </w:r>
      <w:sdt>
        <w:sdtPr>
          <w:id w:val="2107921880"/>
          <w:citation/>
        </w:sdtPr>
        <w:sdtContent>
          <w:r w:rsidR="001D06AB">
            <w:fldChar w:fldCharType="begin"/>
          </w:r>
          <w:r w:rsidR="001D06AB">
            <w:instrText xml:space="preserve"> CITATION Ari12 \l 1033 </w:instrText>
          </w:r>
          <w:r w:rsidR="001D06AB">
            <w:fldChar w:fldCharType="separate"/>
          </w:r>
          <w:r w:rsidR="001D06AB">
            <w:rPr>
              <w:noProof/>
            </w:rPr>
            <w:t xml:space="preserve"> (Ariely, 2012)</w:t>
          </w:r>
          <w:r w:rsidR="001D06AB">
            <w:fldChar w:fldCharType="end"/>
          </w:r>
        </w:sdtContent>
      </w:sdt>
      <w:r>
        <w:t>.</w:t>
      </w:r>
    </w:p>
    <w:p w14:paraId="3B58A9A9" w14:textId="77777777" w:rsidR="00012B0D" w:rsidRDefault="00012B0D" w:rsidP="00012B0D">
      <w:r>
        <w:lastRenderedPageBreak/>
        <w:tab/>
        <w:t xml:space="preserve">After discussing his problems with a friend, that friend decided to visit each of the overdue accounts and offer cash settlement offers at pennies on the dollar. Not too unexpected the story ends about 18 months later in court. </w:t>
      </w:r>
    </w:p>
    <w:p w14:paraId="53717DDA" w14:textId="7D203E7D" w:rsidR="00012B0D" w:rsidRDefault="00012B0D" w:rsidP="00012B0D">
      <w:r>
        <w:tab/>
        <w:t>Through proper security monitoring this story could have been prevented or at least reduced in damage</w:t>
      </w:r>
      <w:sdt>
        <w:sdtPr>
          <w:id w:val="-1979756299"/>
          <w:citation/>
        </w:sdtPr>
        <w:sdtContent>
          <w:r w:rsidR="001D06AB">
            <w:fldChar w:fldCharType="begin"/>
          </w:r>
          <w:r w:rsidR="001D06AB">
            <w:instrText xml:space="preserve"> CITATION Coo05 \l 1033 </w:instrText>
          </w:r>
          <w:r w:rsidR="001D06AB">
            <w:fldChar w:fldCharType="separate"/>
          </w:r>
          <w:r w:rsidR="001D06AB">
            <w:rPr>
              <w:noProof/>
            </w:rPr>
            <w:t xml:space="preserve"> (Cooper &amp; al., 2005)</w:t>
          </w:r>
          <w:r w:rsidR="001D06AB">
            <w:fldChar w:fldCharType="end"/>
          </w:r>
        </w:sdtContent>
      </w:sdt>
      <w:r>
        <w:t>. For instance auditing solutions needed to be in place to detect an unusually high amount of debt being waved. These can be achieved easily by sampling base lines and looking at trend charts, or complexly designed through Machine Learning as a Service (MLaaS) systems</w:t>
      </w:r>
      <w:sdt>
        <w:sdtPr>
          <w:id w:val="-1972055086"/>
          <w:citation/>
        </w:sdtPr>
        <w:sdtContent>
          <w:r w:rsidR="001D06AB">
            <w:fldChar w:fldCharType="begin"/>
          </w:r>
          <w:r w:rsidR="001D06AB">
            <w:instrText xml:space="preserve"> CITATION NgA14 \l 1033 </w:instrText>
          </w:r>
          <w:r w:rsidR="001D06AB">
            <w:fldChar w:fldCharType="separate"/>
          </w:r>
          <w:r w:rsidR="001D06AB">
            <w:rPr>
              <w:noProof/>
            </w:rPr>
            <w:t xml:space="preserve"> (Ng, 2014)</w:t>
          </w:r>
          <w:r w:rsidR="001D06AB">
            <w:fldChar w:fldCharType="end"/>
          </w:r>
        </w:sdtContent>
      </w:sdt>
      <w:r>
        <w:t>.</w:t>
      </w:r>
    </w:p>
    <w:p w14:paraId="43F5FCA5" w14:textId="77777777" w:rsidR="00012B0D" w:rsidRDefault="00012B0D" w:rsidP="00012B0D">
      <w:pPr>
        <w:ind w:firstLine="720"/>
      </w:pPr>
      <w:r>
        <w:t>Another issue is that the employee had the ability to clear any debt of any amount. More granular controls needed to exist either in technical road blocks or at least through business policy. For instance having a rule that any settlement over 1000$ requires a supervisor to sign off and log the business justification. In addition to reducing risk per incident, having safeguards as another part of business culture reduces employees “risking it the first time.”</w:t>
      </w:r>
    </w:p>
    <w:p w14:paraId="16AB0F17" w14:textId="45F87F69" w:rsidR="0075660C" w:rsidRDefault="0075660C" w:rsidP="00012B0D">
      <w:pPr>
        <w:ind w:firstLine="720"/>
      </w:pPr>
      <w:r>
        <w:t xml:space="preserve">Lastly having dedicated monthly meeting to review the charts could have alerted the stakeholders of the sudden shift in high debt clearance. </w:t>
      </w:r>
      <w:r w:rsidR="001D06AB">
        <w:t>Other charts such as the volume of approved escalations could have also tipped them off something was wrong.</w:t>
      </w:r>
    </w:p>
    <w:p w14:paraId="4EEA27B9" w14:textId="03E9A4A2" w:rsidR="00012B0D" w:rsidRDefault="00012B0D" w:rsidP="00012B0D">
      <w:pPr>
        <w:pStyle w:val="Heading2"/>
      </w:pPr>
      <w:r>
        <w:t>Inventory</w:t>
      </w:r>
      <w:r w:rsidR="002A6119">
        <w:t xml:space="preserve"> Control</w:t>
      </w:r>
    </w:p>
    <w:p w14:paraId="0802BFA0" w14:textId="6536717D" w:rsidR="00012B0D" w:rsidRDefault="00012B0D" w:rsidP="00012B0D">
      <w:r>
        <w:tab/>
        <w:t>An organization that does not have good security around inventory control will find it difficult to stay profitable or even remain operational.</w:t>
      </w:r>
      <w:r w:rsidR="00C85127">
        <w:t xml:space="preserve"> </w:t>
      </w:r>
      <w:r w:rsidR="002A21E5">
        <w:t xml:space="preserve">Washington State outlined an inventory management framework as part of the </w:t>
      </w:r>
      <w:r w:rsidR="00C85127">
        <w:t>Washington Initiative 50</w:t>
      </w:r>
      <w:r w:rsidR="001D06AB">
        <w:t>2</w:t>
      </w:r>
      <w:r w:rsidR="002A21E5">
        <w:t xml:space="preserve">. </w:t>
      </w:r>
    </w:p>
    <w:p w14:paraId="02122520" w14:textId="49F6AACA" w:rsidR="002A21E5" w:rsidRDefault="002A21E5" w:rsidP="00012B0D">
      <w:r>
        <w:tab/>
        <w:t>According to 50</w:t>
      </w:r>
      <w:r w:rsidR="001D06AB">
        <w:t>2</w:t>
      </w:r>
      <w:r>
        <w:t>, there are three key phases to where inventory is at risk; production, processing, and retail. At each phase detailed records need to be maintained regarding resources coming in and product going out. If these detailed records are not available, it is easier to misrepresent tax information or have employee’s steal from the organization.</w:t>
      </w:r>
    </w:p>
    <w:p w14:paraId="2F223028" w14:textId="30508F87" w:rsidR="002A21E5" w:rsidRDefault="002A21E5" w:rsidP="002A21E5">
      <w:pPr>
        <w:ind w:firstLine="720"/>
      </w:pPr>
      <w:r>
        <w:t>Another mandate of 50</w:t>
      </w:r>
      <w:r w:rsidR="001D06AB">
        <w:t>2</w:t>
      </w:r>
      <w:r>
        <w:t xml:space="preserve"> is to use video surveillance of all primary doors. </w:t>
      </w:r>
      <w:r w:rsidR="0075660C">
        <w:t>V</w:t>
      </w:r>
      <w:r>
        <w:t xml:space="preserve">ideo feeds need to be watermarked with the date and time, then encrypted to </w:t>
      </w:r>
      <w:r w:rsidR="0075660C">
        <w:t>prevent</w:t>
      </w:r>
      <w:r>
        <w:t xml:space="preserve"> tampering and finally uploaded to a remote location. Having the video in a remote location prevents a robber stealing inventory and the evidence</w:t>
      </w:r>
      <w:sdt>
        <w:sdtPr>
          <w:id w:val="-2072105706"/>
          <w:citation/>
        </w:sdtPr>
        <w:sdtContent>
          <w:r w:rsidR="001D06AB">
            <w:fldChar w:fldCharType="begin"/>
          </w:r>
          <w:r w:rsidR="001D06AB">
            <w:instrText xml:space="preserve"> CITATION Sta14 \l 1033 </w:instrText>
          </w:r>
          <w:r w:rsidR="001D06AB">
            <w:fldChar w:fldCharType="separate"/>
          </w:r>
          <w:r w:rsidR="001D06AB">
            <w:rPr>
              <w:noProof/>
            </w:rPr>
            <w:t xml:space="preserve"> (State of Washington, 2014)</w:t>
          </w:r>
          <w:r w:rsidR="001D06AB">
            <w:fldChar w:fldCharType="end"/>
          </w:r>
        </w:sdtContent>
      </w:sdt>
      <w:r>
        <w:t>.</w:t>
      </w:r>
    </w:p>
    <w:p w14:paraId="78642D30" w14:textId="54BF4CC3" w:rsidR="00835CF5" w:rsidRDefault="00835CF5" w:rsidP="002A21E5">
      <w:pPr>
        <w:ind w:firstLine="720"/>
      </w:pPr>
      <w:r>
        <w:t>Ideally technology solutions need to be deployed throughout the end to end process. For instance as the product is unloaded into the warehouse it uses RFID chips to record when it enters or exits a room. These signals can then be fed into an Enterprise Resource Planner (ERP) to remove accidental loss. At the cash register a Point of Sale (PoS) system can be leveraged to push updates of which items have been purchased</w:t>
      </w:r>
      <w:sdt>
        <w:sdtPr>
          <w:id w:val="-1182657059"/>
          <w:citation/>
        </w:sdtPr>
        <w:sdtContent>
          <w:r w:rsidR="00300E24">
            <w:fldChar w:fldCharType="begin"/>
          </w:r>
          <w:r w:rsidR="00300E24">
            <w:instrText xml:space="preserve"> CITATION Sta14 \l 1033 </w:instrText>
          </w:r>
          <w:r w:rsidR="00300E24">
            <w:fldChar w:fldCharType="separate"/>
          </w:r>
          <w:r w:rsidR="00300E24">
            <w:rPr>
              <w:noProof/>
            </w:rPr>
            <w:t xml:space="preserve"> (State of Washington, 2014)</w:t>
          </w:r>
          <w:r w:rsidR="00300E24">
            <w:fldChar w:fldCharType="end"/>
          </w:r>
        </w:sdtContent>
      </w:sdt>
      <w:r>
        <w:t>. Having a continuous electronic monitoring of the ecosystem reduces risk of loss</w:t>
      </w:r>
      <w:r w:rsidR="001D06AB">
        <w:t xml:space="preserve"> and </w:t>
      </w:r>
      <w:r>
        <w:t>cost associated with inventory control</w:t>
      </w:r>
      <w:sdt>
        <w:sdtPr>
          <w:id w:val="1769353811"/>
          <w:citation/>
        </w:sdtPr>
        <w:sdtContent>
          <w:r w:rsidR="00300E24">
            <w:fldChar w:fldCharType="begin"/>
          </w:r>
          <w:r w:rsidR="00300E24">
            <w:instrText xml:space="preserve"> CITATION Coo05 \l 1033 </w:instrText>
          </w:r>
          <w:r w:rsidR="00300E24">
            <w:fldChar w:fldCharType="separate"/>
          </w:r>
          <w:r w:rsidR="00300E24">
            <w:rPr>
              <w:noProof/>
            </w:rPr>
            <w:t xml:space="preserve"> (Cooper &amp; al., 2005)</w:t>
          </w:r>
          <w:r w:rsidR="00300E24">
            <w:fldChar w:fldCharType="end"/>
          </w:r>
        </w:sdtContent>
      </w:sdt>
      <w:sdt>
        <w:sdtPr>
          <w:id w:val="-1739311066"/>
          <w:citation/>
        </w:sdtPr>
        <w:sdtContent>
          <w:r w:rsidR="00300E24">
            <w:fldChar w:fldCharType="begin"/>
          </w:r>
          <w:r w:rsidR="00300E24">
            <w:instrText xml:space="preserve"> CITATION Mar12 \l 1033 </w:instrText>
          </w:r>
          <w:r w:rsidR="00300E24">
            <w:fldChar w:fldCharType="separate"/>
          </w:r>
          <w:r w:rsidR="00300E24">
            <w:rPr>
              <w:noProof/>
            </w:rPr>
            <w:t xml:space="preserve"> (Marchewka, 2012)</w:t>
          </w:r>
          <w:r w:rsidR="00300E24">
            <w:fldChar w:fldCharType="end"/>
          </w:r>
        </w:sdtContent>
      </w:sdt>
      <w:r>
        <w:t>.</w:t>
      </w:r>
    </w:p>
    <w:p w14:paraId="6C7E0150" w14:textId="13914B43" w:rsidR="00012B0D" w:rsidRDefault="00012B0D" w:rsidP="00012B0D">
      <w:pPr>
        <w:pStyle w:val="Heading2"/>
      </w:pPr>
      <w:r>
        <w:t xml:space="preserve">Human Resource </w:t>
      </w:r>
    </w:p>
    <w:p w14:paraId="6729C2B3" w14:textId="77777777" w:rsidR="00151E85" w:rsidRDefault="00C428C0" w:rsidP="00C428C0">
      <w:r>
        <w:tab/>
        <w:t>The human resource department will have many of the same risks already discussed, and also need to protect against information disclosure issues. To provide an example, the human resource department will have information on employee medical claims</w:t>
      </w:r>
      <w:r w:rsidR="00151E85">
        <w:t xml:space="preserve"> or advance notification of potential mergers or other valuable information.</w:t>
      </w:r>
    </w:p>
    <w:p w14:paraId="18A10010" w14:textId="644BBF39" w:rsidR="00C428C0" w:rsidRPr="00C428C0" w:rsidRDefault="00151E85" w:rsidP="00C428C0">
      <w:r>
        <w:tab/>
        <w:t>This data needs to be protected through security systems such as encryption, central authentication, and authorized through DRM or related technologies</w:t>
      </w:r>
      <w:sdt>
        <w:sdtPr>
          <w:id w:val="-1221196317"/>
          <w:citation/>
        </w:sdtPr>
        <w:sdtContent>
          <w:r w:rsidR="00300E24">
            <w:fldChar w:fldCharType="begin"/>
          </w:r>
          <w:r w:rsidR="00300E24">
            <w:instrText xml:space="preserve"> CITATION Sta08 \l 1033 </w:instrText>
          </w:r>
          <w:r w:rsidR="00300E24">
            <w:fldChar w:fldCharType="separate"/>
          </w:r>
          <w:r w:rsidR="00300E24">
            <w:rPr>
              <w:noProof/>
            </w:rPr>
            <w:t xml:space="preserve"> (Stallings &amp; Brown, 2008)</w:t>
          </w:r>
          <w:r w:rsidR="00300E24">
            <w:fldChar w:fldCharType="end"/>
          </w:r>
        </w:sdtContent>
      </w:sdt>
      <w:r>
        <w:t>. Each of these protections will emit audit records that need to be explored and reported on. Anomalies and other unlikely events escalated into alerts for the administration team.</w:t>
      </w:r>
    </w:p>
    <w:p w14:paraId="39055000" w14:textId="77777777" w:rsidR="00012B0D" w:rsidRDefault="00012B0D" w:rsidP="00012B0D">
      <w:pPr>
        <w:pStyle w:val="Heading1"/>
      </w:pPr>
      <w:r>
        <w:t>Monitoring External Security Risk</w:t>
      </w:r>
    </w:p>
    <w:p w14:paraId="114215FE" w14:textId="6160FACD" w:rsidR="00C55EA9" w:rsidRPr="00C55EA9" w:rsidRDefault="00C55EA9" w:rsidP="00C55EA9">
      <w:r>
        <w:tab/>
      </w:r>
      <w:r w:rsidR="00643C0D">
        <w:t xml:space="preserve">Risks of an organizations </w:t>
      </w:r>
      <w:r w:rsidR="00051DEB">
        <w:t>exist within their corporate walls and among their employees, and also with interactions with external users of their services. Many of these users will be honest and legitimate customers, however a handful will be there to vandalize and steal from the company.</w:t>
      </w:r>
    </w:p>
    <w:p w14:paraId="37BFB4FC" w14:textId="775B02E5" w:rsidR="00012B0D" w:rsidRDefault="00012B0D" w:rsidP="00012B0D">
      <w:pPr>
        <w:pStyle w:val="Heading2"/>
      </w:pPr>
      <w:r>
        <w:t>E-Commerce Site</w:t>
      </w:r>
    </w:p>
    <w:p w14:paraId="2311A7B1" w14:textId="6895E47C" w:rsidR="00051DEB" w:rsidRDefault="00051DEB" w:rsidP="00051DEB">
      <w:r>
        <w:tab/>
        <w:t>A core area that needs to be monitored are e-commerce sites. If there are vulnerabilities in the service the company could give out bogus refunds, discounted products, or private information such as credit card numbers</w:t>
      </w:r>
      <w:sdt>
        <w:sdtPr>
          <w:id w:val="583344908"/>
          <w:citation/>
        </w:sdtPr>
        <w:sdtContent>
          <w:r w:rsidR="00300E24">
            <w:fldChar w:fldCharType="begin"/>
          </w:r>
          <w:r w:rsidR="00300E24">
            <w:instrText xml:space="preserve"> CITATION Sta08 \l 1033 </w:instrText>
          </w:r>
          <w:r w:rsidR="00300E24">
            <w:fldChar w:fldCharType="separate"/>
          </w:r>
          <w:r w:rsidR="00300E24">
            <w:rPr>
              <w:noProof/>
            </w:rPr>
            <w:t xml:space="preserve"> (Stallings &amp; Brown, 2008)</w:t>
          </w:r>
          <w:r w:rsidR="00300E24">
            <w:fldChar w:fldCharType="end"/>
          </w:r>
        </w:sdtContent>
      </w:sdt>
      <w:r>
        <w:t xml:space="preserve">. </w:t>
      </w:r>
    </w:p>
    <w:p w14:paraId="70B7B876" w14:textId="761CAAFB" w:rsidR="00051DEB" w:rsidRDefault="00051DEB" w:rsidP="00051DEB">
      <w:r>
        <w:tab/>
      </w:r>
      <w:r w:rsidR="00380317">
        <w:t>To ensure the quality of service and the experience of the user, security monitoring needs to be deployed at the networking level of the edge routers</w:t>
      </w:r>
      <w:sdt>
        <w:sdtPr>
          <w:id w:val="509421260"/>
          <w:citation/>
        </w:sdtPr>
        <w:sdtContent>
          <w:r w:rsidR="00300E24">
            <w:fldChar w:fldCharType="begin"/>
          </w:r>
          <w:r w:rsidR="00300E24">
            <w:instrText xml:space="preserve"> CITATION Gol07 \l 1033 </w:instrText>
          </w:r>
          <w:r w:rsidR="00300E24">
            <w:fldChar w:fldCharType="separate"/>
          </w:r>
          <w:r w:rsidR="00300E24">
            <w:rPr>
              <w:noProof/>
            </w:rPr>
            <w:t xml:space="preserve"> (Goleniewski &amp; Jarrett, 2007)</w:t>
          </w:r>
          <w:r w:rsidR="00300E24">
            <w:fldChar w:fldCharType="end"/>
          </w:r>
        </w:sdtContent>
      </w:sdt>
      <w:r w:rsidR="00380317">
        <w:t>. Trends need to be evaluated such as high volumes of corrupt or malicious traffic. Denial of service attacks can degrade the service and cause legitimate traffic to use a different provider</w:t>
      </w:r>
      <w:sdt>
        <w:sdtPr>
          <w:id w:val="761109837"/>
          <w:citation/>
        </w:sdtPr>
        <w:sdtContent>
          <w:r w:rsidR="00300E24">
            <w:fldChar w:fldCharType="begin"/>
          </w:r>
          <w:r w:rsidR="00300E24">
            <w:instrText xml:space="preserve"> CITATION Sta08 \l 1033 </w:instrText>
          </w:r>
          <w:r w:rsidR="00300E24">
            <w:fldChar w:fldCharType="separate"/>
          </w:r>
          <w:r w:rsidR="00300E24">
            <w:rPr>
              <w:noProof/>
            </w:rPr>
            <w:t xml:space="preserve"> (Stallings &amp; Brown, 2008)</w:t>
          </w:r>
          <w:r w:rsidR="00300E24">
            <w:fldChar w:fldCharType="end"/>
          </w:r>
        </w:sdtContent>
      </w:sdt>
      <w:r w:rsidR="00380317">
        <w:t>.</w:t>
      </w:r>
    </w:p>
    <w:p w14:paraId="3F72E355" w14:textId="308CEAAF" w:rsidR="00380317" w:rsidRDefault="00380317" w:rsidP="00051DEB">
      <w:r>
        <w:tab/>
        <w:t>Another area to monitor is fraudulent activity, such as automated bots in the auctions. It is not fun for people to compete against programs which will cause them to use different providers</w:t>
      </w:r>
      <w:sdt>
        <w:sdtPr>
          <w:id w:val="687417755"/>
          <w:citation/>
        </w:sdtPr>
        <w:sdtContent>
          <w:r w:rsidR="007A55D4">
            <w:fldChar w:fldCharType="begin"/>
          </w:r>
          <w:r w:rsidR="007A55D4">
            <w:instrText xml:space="preserve"> CITATION Gre02 \l 1033 </w:instrText>
          </w:r>
          <w:r w:rsidR="007A55D4">
            <w:fldChar w:fldCharType="separate"/>
          </w:r>
          <w:r w:rsidR="007A55D4">
            <w:rPr>
              <w:noProof/>
            </w:rPr>
            <w:t xml:space="preserve"> (Greenstein &amp; Vasarhelyi, 2002)</w:t>
          </w:r>
          <w:r w:rsidR="007A55D4">
            <w:fldChar w:fldCharType="end"/>
          </w:r>
        </w:sdtContent>
      </w:sdt>
      <w:r>
        <w:t>. Also having a lot of bots in the e-commerce site is likely to decrease the margins available on the products. For example if a bot detects that a product is mispriced</w:t>
      </w:r>
      <w:r w:rsidR="00F3618B">
        <w:t>, then</w:t>
      </w:r>
      <w:r>
        <w:t xml:space="preserve"> </w:t>
      </w:r>
      <w:r w:rsidR="00300E24">
        <w:t xml:space="preserve">it can </w:t>
      </w:r>
      <w:r>
        <w:t xml:space="preserve">automatically </w:t>
      </w:r>
      <w:r w:rsidR="00300E24">
        <w:t>exploit the incorrect data entry</w:t>
      </w:r>
      <w:r>
        <w:t>.</w:t>
      </w:r>
    </w:p>
    <w:p w14:paraId="1750AD50" w14:textId="77777777" w:rsidR="007A55D4" w:rsidRDefault="007A55D4" w:rsidP="00051DEB"/>
    <w:p w14:paraId="10EDA2E0" w14:textId="77777777" w:rsidR="007A55D4" w:rsidRDefault="007A55D4" w:rsidP="00051DEB"/>
    <w:p w14:paraId="4357DDF1" w14:textId="5696B804" w:rsidR="007A55D4" w:rsidRDefault="007A55D4" w:rsidP="007A55D4">
      <w:pPr>
        <w:pStyle w:val="Heading1"/>
      </w:pPr>
      <w:r>
        <w:t>Conclusions</w:t>
      </w:r>
    </w:p>
    <w:p w14:paraId="5A425A4C" w14:textId="77777777" w:rsidR="007A55D4" w:rsidRDefault="007A55D4" w:rsidP="007A55D4">
      <w:r>
        <w:tab/>
        <w:t xml:space="preserve">Running a business is a complex task that needs to be accomplished in a hostile environment. Employees will steal and attack the systems the same as external users of the service. It is critical for the success of the organization that security systems be in place to prevent accidental or malicious usage. </w:t>
      </w:r>
    </w:p>
    <w:p w14:paraId="45C94CDE" w14:textId="5E65E5DC" w:rsidR="007A55D4" w:rsidRDefault="007A55D4" w:rsidP="007A55D4">
      <w:pPr>
        <w:ind w:firstLine="720"/>
      </w:pPr>
      <w:r>
        <w:t>While having such systems provides a layer of safety, it is not sufficient and another layer of monitoring needs to be provided. For instance if access was denied to the secure room, notify the security team so they can investigate who was trying to get in. These solutions ensure the business continues running as expected.</w:t>
      </w:r>
    </w:p>
    <w:p w14:paraId="0630163F" w14:textId="77777777" w:rsidR="007A55D4" w:rsidRDefault="007A55D4">
      <w:pPr>
        <w:spacing w:line="259" w:lineRule="auto"/>
      </w:pPr>
      <w:r>
        <w:br w:type="page"/>
      </w:r>
    </w:p>
    <w:sdt>
      <w:sdtPr>
        <w:id w:val="1176149683"/>
        <w:docPartObj>
          <w:docPartGallery w:val="Bibliographies"/>
          <w:docPartUnique/>
        </w:docPartObj>
      </w:sdtPr>
      <w:sdtEndPr>
        <w:rPr>
          <w:b w:val="0"/>
        </w:rPr>
      </w:sdtEndPr>
      <w:sdtContent>
        <w:p w14:paraId="0D3A2359" w14:textId="3B1EAE30" w:rsidR="007A55D4" w:rsidRDefault="007A55D4">
          <w:pPr>
            <w:pStyle w:val="Heading1"/>
          </w:pPr>
          <w:r>
            <w:t>References</w:t>
          </w:r>
        </w:p>
        <w:sdt>
          <w:sdtPr>
            <w:id w:val="-573587230"/>
            <w:bibliography/>
          </w:sdtPr>
          <w:sdtContent>
            <w:p w14:paraId="0FF6B6E4" w14:textId="77777777" w:rsidR="007A55D4" w:rsidRDefault="007A55D4" w:rsidP="007A55D4">
              <w:pPr>
                <w:pStyle w:val="Bibliography"/>
                <w:ind w:left="720" w:hanging="720"/>
                <w:rPr>
                  <w:noProof/>
                </w:rPr>
              </w:pPr>
              <w:r>
                <w:fldChar w:fldCharType="begin"/>
              </w:r>
              <w:r>
                <w:instrText xml:space="preserve"> BIBLIOGRAPHY </w:instrText>
              </w:r>
              <w:r>
                <w:fldChar w:fldCharType="separate"/>
              </w:r>
              <w:r>
                <w:rPr>
                  <w:noProof/>
                </w:rPr>
                <w:t xml:space="preserve">Ariely, D. (2012). </w:t>
              </w:r>
              <w:r>
                <w:rPr>
                  <w:i/>
                  <w:iCs/>
                  <w:noProof/>
                </w:rPr>
                <w:t>Predictably Irrational, Revised and Expanded Edition: The Hidden Forces That Shape Our Decisions.</w:t>
              </w:r>
              <w:r>
                <w:rPr>
                  <w:noProof/>
                </w:rPr>
                <w:t xml:space="preserve"> </w:t>
              </w:r>
            </w:p>
            <w:p w14:paraId="06D305AC" w14:textId="77777777" w:rsidR="007A55D4" w:rsidRDefault="007A55D4" w:rsidP="007A55D4">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688D5DD7" w14:textId="77777777" w:rsidR="007A55D4" w:rsidRDefault="007A55D4" w:rsidP="007A55D4">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1255F074" w14:textId="77777777" w:rsidR="007A55D4" w:rsidRDefault="007A55D4" w:rsidP="007A55D4">
              <w:pPr>
                <w:pStyle w:val="Bibliography"/>
                <w:ind w:left="720" w:hanging="720"/>
                <w:rPr>
                  <w:noProof/>
                </w:rPr>
              </w:pPr>
              <w:r>
                <w:rPr>
                  <w:noProof/>
                </w:rPr>
                <w:t xml:space="preserve">Greenstein, M., &amp; Vasarhelyi, M. (2002). </w:t>
              </w:r>
              <w:r>
                <w:rPr>
                  <w:i/>
                  <w:iCs/>
                  <w:noProof/>
                </w:rPr>
                <w:t>Electronic Commerce: Security, Risk Managemetn and Control.</w:t>
              </w:r>
              <w:r>
                <w:rPr>
                  <w:noProof/>
                </w:rPr>
                <w:t xml:space="preserve"> McGraw-Hill.</w:t>
              </w:r>
            </w:p>
            <w:p w14:paraId="05F64279" w14:textId="77777777" w:rsidR="007A55D4" w:rsidRDefault="007A55D4" w:rsidP="007A55D4">
              <w:pPr>
                <w:pStyle w:val="Bibliography"/>
                <w:ind w:left="720" w:hanging="720"/>
                <w:rPr>
                  <w:noProof/>
                </w:rPr>
              </w:pPr>
              <w:r>
                <w:rPr>
                  <w:noProof/>
                </w:rPr>
                <w:t xml:space="preserve">Hernandez, S. (2012). </w:t>
              </w:r>
              <w:r>
                <w:rPr>
                  <w:i/>
                  <w:iCs/>
                  <w:noProof/>
                </w:rPr>
                <w:t>Official Guide to the CISSP CBK, Third Edition.</w:t>
              </w:r>
              <w:r>
                <w:rPr>
                  <w:noProof/>
                </w:rPr>
                <w:t xml:space="preserve"> </w:t>
              </w:r>
            </w:p>
            <w:p w14:paraId="5360D580" w14:textId="77777777" w:rsidR="007A55D4" w:rsidRDefault="007A55D4" w:rsidP="007A55D4">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44EB7C85" w14:textId="77777777" w:rsidR="007A55D4" w:rsidRDefault="007A55D4" w:rsidP="007A55D4">
              <w:pPr>
                <w:pStyle w:val="Bibliography"/>
                <w:ind w:left="720" w:hanging="720"/>
                <w:rPr>
                  <w:noProof/>
                </w:rPr>
              </w:pPr>
              <w:r>
                <w:rPr>
                  <w:noProof/>
                </w:rPr>
                <w:t xml:space="preserve">Ng, A. (2014). </w:t>
              </w:r>
              <w:r>
                <w:rPr>
                  <w:i/>
                  <w:iCs/>
                  <w:noProof/>
                </w:rPr>
                <w:t>Machine Learning.</w:t>
              </w:r>
              <w:r>
                <w:rPr>
                  <w:noProof/>
                </w:rPr>
                <w:t xml:space="preserve"> Stanford.</w:t>
              </w:r>
            </w:p>
            <w:p w14:paraId="1914DF2C" w14:textId="77777777" w:rsidR="007A55D4" w:rsidRDefault="007A55D4" w:rsidP="007A55D4">
              <w:pPr>
                <w:pStyle w:val="Bibliography"/>
                <w:ind w:left="720" w:hanging="720"/>
                <w:rPr>
                  <w:noProof/>
                </w:rPr>
              </w:pPr>
              <w:r>
                <w:rPr>
                  <w:noProof/>
                </w:rPr>
                <w:t xml:space="preserve">Stallings, W., &amp; Brown, L. (2008). </w:t>
              </w:r>
              <w:r>
                <w:rPr>
                  <w:i/>
                  <w:iCs/>
                  <w:noProof/>
                </w:rPr>
                <w:t>Computer Security: Principals and Practices.</w:t>
              </w:r>
              <w:r>
                <w:rPr>
                  <w:noProof/>
                </w:rPr>
                <w:t xml:space="preserve"> Pearson Education, Inc.</w:t>
              </w:r>
            </w:p>
            <w:p w14:paraId="50C26131" w14:textId="77777777" w:rsidR="007A55D4" w:rsidRDefault="007A55D4" w:rsidP="007A55D4">
              <w:pPr>
                <w:pStyle w:val="Bibliography"/>
                <w:ind w:left="720" w:hanging="720"/>
                <w:rPr>
                  <w:noProof/>
                </w:rPr>
              </w:pPr>
              <w:r>
                <w:rPr>
                  <w:noProof/>
                </w:rPr>
                <w:t xml:space="preserve">State of Washington. (2014). </w:t>
              </w:r>
              <w:r>
                <w:rPr>
                  <w:i/>
                  <w:iCs/>
                  <w:noProof/>
                </w:rPr>
                <w:t>MARIJUANA LICENSES, APPLICATION PROCESS, REQUIREMENTS, AND REPORTING.</w:t>
              </w:r>
              <w:r>
                <w:rPr>
                  <w:noProof/>
                </w:rPr>
                <w:t xml:space="preserve"> Retrieved from https://lcb.app.box.com/adopted-rules</w:t>
              </w:r>
            </w:p>
            <w:p w14:paraId="0A6AD245" w14:textId="4C177635" w:rsidR="007A55D4" w:rsidRDefault="007A55D4" w:rsidP="007A55D4">
              <w:r>
                <w:rPr>
                  <w:b/>
                  <w:bCs/>
                  <w:noProof/>
                </w:rPr>
                <w:fldChar w:fldCharType="end"/>
              </w:r>
            </w:p>
          </w:sdtContent>
        </w:sdt>
      </w:sdtContent>
    </w:sdt>
    <w:p w14:paraId="508F06EE" w14:textId="77777777" w:rsidR="00A27D19" w:rsidRDefault="00A27D19">
      <w:bookmarkStart w:id="0" w:name="_GoBack"/>
      <w:bookmarkEnd w:id="0"/>
    </w:p>
    <w:sectPr w:rsidR="00A27D19" w:rsidSect="00051DEB">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E1C4" w14:textId="77777777" w:rsidR="00051DEB" w:rsidRDefault="00051DEB" w:rsidP="00051DEB">
      <w:pPr>
        <w:spacing w:after="0" w:line="240" w:lineRule="auto"/>
      </w:pPr>
      <w:r>
        <w:separator/>
      </w:r>
    </w:p>
  </w:endnote>
  <w:endnote w:type="continuationSeparator" w:id="0">
    <w:p w14:paraId="4AAF1289" w14:textId="77777777" w:rsidR="00051DEB" w:rsidRDefault="00051DEB" w:rsidP="0005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AB7E8" w14:textId="77777777" w:rsidR="00051DEB" w:rsidRDefault="00051DEB" w:rsidP="00051DEB">
      <w:pPr>
        <w:spacing w:after="0" w:line="240" w:lineRule="auto"/>
      </w:pPr>
      <w:r>
        <w:separator/>
      </w:r>
    </w:p>
  </w:footnote>
  <w:footnote w:type="continuationSeparator" w:id="0">
    <w:p w14:paraId="7F43E2A4" w14:textId="77777777" w:rsidR="00051DEB" w:rsidRDefault="00051DEB" w:rsidP="00051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81381" w14:textId="77777777" w:rsidR="005B1617" w:rsidRDefault="00F3618B" w:rsidP="005B1617">
    <w:pPr>
      <w:pStyle w:val="Header"/>
      <w:pBdr>
        <w:bottom w:val="single" w:sz="4" w:space="1" w:color="D9D9D9" w:themeColor="background1" w:themeShade="D9"/>
      </w:pBdr>
      <w:rPr>
        <w:b/>
        <w:bCs/>
      </w:rPr>
    </w:pPr>
    <w:r>
      <w:rPr>
        <w:color w:val="7F7F7F" w:themeColor="background1" w:themeShade="7F"/>
        <w:spacing w:val="60"/>
      </w:rPr>
      <w:t>CMGT442: RISK MANAGEMENT</w:t>
    </w:r>
    <w:r>
      <w:rPr>
        <w:color w:val="7F7F7F" w:themeColor="background1" w:themeShade="7F"/>
        <w:spacing w:val="60"/>
      </w:rPr>
      <w:tab/>
    </w:r>
    <w:sdt>
      <w:sdtPr>
        <w:rPr>
          <w:color w:val="7F7F7F" w:themeColor="background1" w:themeShade="7F"/>
          <w:spacing w:val="60"/>
        </w:rPr>
        <w:id w:val="-49456709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A7039" w:rsidRPr="006A7039">
          <w:rPr>
            <w:b/>
            <w:bCs/>
            <w:noProof/>
          </w:rPr>
          <w:t>6</w:t>
        </w:r>
        <w:r>
          <w:rPr>
            <w:b/>
            <w:bCs/>
            <w:noProof/>
          </w:rPr>
          <w:fldChar w:fldCharType="end"/>
        </w:r>
      </w:sdtContent>
    </w:sdt>
  </w:p>
  <w:p w14:paraId="3EE109F0" w14:textId="77777777" w:rsidR="005B1617" w:rsidRDefault="006A70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C5C1C" w14:textId="23B3C293" w:rsidR="00051DEB" w:rsidRDefault="00051DEB" w:rsidP="00051DEB">
    <w:pPr>
      <w:pStyle w:val="Header"/>
      <w:pBdr>
        <w:bottom w:val="single" w:sz="4" w:space="1" w:color="D9D9D9" w:themeColor="background1" w:themeShade="D9"/>
      </w:pBdr>
      <w:rPr>
        <w:b/>
        <w:bCs/>
      </w:rPr>
    </w:pPr>
    <w:r>
      <w:rPr>
        <w:color w:val="7F7F7F" w:themeColor="background1" w:themeShade="7F"/>
        <w:spacing w:val="60"/>
      </w:rPr>
      <w:t>MONITORING SECURITY RISK</w:t>
    </w:r>
    <w:r>
      <w:rPr>
        <w:color w:val="7F7F7F" w:themeColor="background1" w:themeShade="7F"/>
        <w:spacing w:val="60"/>
      </w:rPr>
      <w:tab/>
    </w:r>
    <w:sdt>
      <w:sdtPr>
        <w:rPr>
          <w:color w:val="7F7F7F" w:themeColor="background1" w:themeShade="7F"/>
          <w:spacing w:val="60"/>
        </w:rPr>
        <w:id w:val="-167942725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A7039" w:rsidRPr="006A7039">
          <w:rPr>
            <w:b/>
            <w:bCs/>
            <w:noProof/>
          </w:rPr>
          <w:t>5</w:t>
        </w:r>
        <w:r>
          <w:rPr>
            <w:b/>
            <w:bCs/>
            <w:noProof/>
          </w:rPr>
          <w:fldChar w:fldCharType="end"/>
        </w:r>
      </w:sdtContent>
    </w:sdt>
  </w:p>
  <w:p w14:paraId="3B867B90" w14:textId="77777777" w:rsidR="00051DEB" w:rsidRDefault="00051D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0D"/>
    <w:rsid w:val="00012B0D"/>
    <w:rsid w:val="00051DEB"/>
    <w:rsid w:val="000F55BC"/>
    <w:rsid w:val="00151E85"/>
    <w:rsid w:val="001D06AB"/>
    <w:rsid w:val="002A21E5"/>
    <w:rsid w:val="002A6119"/>
    <w:rsid w:val="00300E24"/>
    <w:rsid w:val="00380317"/>
    <w:rsid w:val="00643C0D"/>
    <w:rsid w:val="00693471"/>
    <w:rsid w:val="006A7039"/>
    <w:rsid w:val="00731D2E"/>
    <w:rsid w:val="0075660C"/>
    <w:rsid w:val="007A55D4"/>
    <w:rsid w:val="00835CF5"/>
    <w:rsid w:val="00A27D19"/>
    <w:rsid w:val="00B4570B"/>
    <w:rsid w:val="00B97597"/>
    <w:rsid w:val="00C428C0"/>
    <w:rsid w:val="00C55EA9"/>
    <w:rsid w:val="00C85127"/>
    <w:rsid w:val="00D54FC6"/>
    <w:rsid w:val="00F271BA"/>
    <w:rsid w:val="00F3618B"/>
    <w:rsid w:val="00F7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5DCB"/>
  <w15:chartTrackingRefBased/>
  <w15:docId w15:val="{6D960436-37F7-438D-9829-9EA43F7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0D"/>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12B0D"/>
    <w:pPr>
      <w:jc w:val="center"/>
      <w:outlineLvl w:val="0"/>
    </w:pPr>
    <w:rPr>
      <w:b/>
    </w:rPr>
  </w:style>
  <w:style w:type="paragraph" w:styleId="Heading2">
    <w:name w:val="heading 2"/>
    <w:basedOn w:val="Normal"/>
    <w:next w:val="Normal"/>
    <w:link w:val="Heading2Char"/>
    <w:uiPriority w:val="9"/>
    <w:unhideWhenUsed/>
    <w:qFormat/>
    <w:rsid w:val="00012B0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0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012B0D"/>
    <w:rPr>
      <w:rFonts w:ascii="Times New Roman" w:hAnsi="Times New Roman" w:cs="Times New Roman"/>
      <w:b/>
      <w:sz w:val="24"/>
      <w:szCs w:val="24"/>
    </w:rPr>
  </w:style>
  <w:style w:type="paragraph" w:styleId="Header">
    <w:name w:val="header"/>
    <w:basedOn w:val="Normal"/>
    <w:link w:val="HeaderChar"/>
    <w:uiPriority w:val="99"/>
    <w:unhideWhenUsed/>
    <w:rsid w:val="00012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B0D"/>
    <w:rPr>
      <w:rFonts w:ascii="Times New Roman" w:hAnsi="Times New Roman" w:cs="Times New Roman"/>
      <w:sz w:val="24"/>
      <w:szCs w:val="24"/>
    </w:rPr>
  </w:style>
  <w:style w:type="paragraph" w:styleId="Footer">
    <w:name w:val="footer"/>
    <w:basedOn w:val="Normal"/>
    <w:link w:val="FooterChar"/>
    <w:uiPriority w:val="99"/>
    <w:unhideWhenUsed/>
    <w:rsid w:val="0005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EB"/>
    <w:rPr>
      <w:rFonts w:ascii="Times New Roman" w:hAnsi="Times New Roman" w:cs="Times New Roman"/>
      <w:sz w:val="24"/>
      <w:szCs w:val="24"/>
    </w:rPr>
  </w:style>
  <w:style w:type="paragraph" w:styleId="Bibliography">
    <w:name w:val="Bibliography"/>
    <w:basedOn w:val="Normal"/>
    <w:next w:val="Normal"/>
    <w:uiPriority w:val="37"/>
    <w:unhideWhenUsed/>
    <w:rsid w:val="007A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236">
      <w:bodyDiv w:val="1"/>
      <w:marLeft w:val="0"/>
      <w:marRight w:val="0"/>
      <w:marTop w:val="0"/>
      <w:marBottom w:val="0"/>
      <w:divBdr>
        <w:top w:val="none" w:sz="0" w:space="0" w:color="auto"/>
        <w:left w:val="none" w:sz="0" w:space="0" w:color="auto"/>
        <w:bottom w:val="none" w:sz="0" w:space="0" w:color="auto"/>
        <w:right w:val="none" w:sz="0" w:space="0" w:color="auto"/>
      </w:divBdr>
    </w:div>
    <w:div w:id="96100868">
      <w:bodyDiv w:val="1"/>
      <w:marLeft w:val="0"/>
      <w:marRight w:val="0"/>
      <w:marTop w:val="0"/>
      <w:marBottom w:val="0"/>
      <w:divBdr>
        <w:top w:val="none" w:sz="0" w:space="0" w:color="auto"/>
        <w:left w:val="none" w:sz="0" w:space="0" w:color="auto"/>
        <w:bottom w:val="none" w:sz="0" w:space="0" w:color="auto"/>
        <w:right w:val="none" w:sz="0" w:space="0" w:color="auto"/>
      </w:divBdr>
    </w:div>
    <w:div w:id="120808690">
      <w:bodyDiv w:val="1"/>
      <w:marLeft w:val="0"/>
      <w:marRight w:val="0"/>
      <w:marTop w:val="0"/>
      <w:marBottom w:val="0"/>
      <w:divBdr>
        <w:top w:val="none" w:sz="0" w:space="0" w:color="auto"/>
        <w:left w:val="none" w:sz="0" w:space="0" w:color="auto"/>
        <w:bottom w:val="none" w:sz="0" w:space="0" w:color="auto"/>
        <w:right w:val="none" w:sz="0" w:space="0" w:color="auto"/>
      </w:divBdr>
    </w:div>
    <w:div w:id="202712472">
      <w:bodyDiv w:val="1"/>
      <w:marLeft w:val="0"/>
      <w:marRight w:val="0"/>
      <w:marTop w:val="0"/>
      <w:marBottom w:val="0"/>
      <w:divBdr>
        <w:top w:val="none" w:sz="0" w:space="0" w:color="auto"/>
        <w:left w:val="none" w:sz="0" w:space="0" w:color="auto"/>
        <w:bottom w:val="none" w:sz="0" w:space="0" w:color="auto"/>
        <w:right w:val="none" w:sz="0" w:space="0" w:color="auto"/>
      </w:divBdr>
    </w:div>
    <w:div w:id="322977410">
      <w:bodyDiv w:val="1"/>
      <w:marLeft w:val="0"/>
      <w:marRight w:val="0"/>
      <w:marTop w:val="0"/>
      <w:marBottom w:val="0"/>
      <w:divBdr>
        <w:top w:val="none" w:sz="0" w:space="0" w:color="auto"/>
        <w:left w:val="none" w:sz="0" w:space="0" w:color="auto"/>
        <w:bottom w:val="none" w:sz="0" w:space="0" w:color="auto"/>
        <w:right w:val="none" w:sz="0" w:space="0" w:color="auto"/>
      </w:divBdr>
    </w:div>
    <w:div w:id="496924365">
      <w:bodyDiv w:val="1"/>
      <w:marLeft w:val="0"/>
      <w:marRight w:val="0"/>
      <w:marTop w:val="0"/>
      <w:marBottom w:val="0"/>
      <w:divBdr>
        <w:top w:val="none" w:sz="0" w:space="0" w:color="auto"/>
        <w:left w:val="none" w:sz="0" w:space="0" w:color="auto"/>
        <w:bottom w:val="none" w:sz="0" w:space="0" w:color="auto"/>
        <w:right w:val="none" w:sz="0" w:space="0" w:color="auto"/>
      </w:divBdr>
    </w:div>
    <w:div w:id="689111612">
      <w:bodyDiv w:val="1"/>
      <w:marLeft w:val="0"/>
      <w:marRight w:val="0"/>
      <w:marTop w:val="0"/>
      <w:marBottom w:val="0"/>
      <w:divBdr>
        <w:top w:val="none" w:sz="0" w:space="0" w:color="auto"/>
        <w:left w:val="none" w:sz="0" w:space="0" w:color="auto"/>
        <w:bottom w:val="none" w:sz="0" w:space="0" w:color="auto"/>
        <w:right w:val="none" w:sz="0" w:space="0" w:color="auto"/>
      </w:divBdr>
    </w:div>
    <w:div w:id="863516170">
      <w:bodyDiv w:val="1"/>
      <w:marLeft w:val="0"/>
      <w:marRight w:val="0"/>
      <w:marTop w:val="0"/>
      <w:marBottom w:val="0"/>
      <w:divBdr>
        <w:top w:val="none" w:sz="0" w:space="0" w:color="auto"/>
        <w:left w:val="none" w:sz="0" w:space="0" w:color="auto"/>
        <w:bottom w:val="none" w:sz="0" w:space="0" w:color="auto"/>
        <w:right w:val="none" w:sz="0" w:space="0" w:color="auto"/>
      </w:divBdr>
    </w:div>
    <w:div w:id="1058019206">
      <w:bodyDiv w:val="1"/>
      <w:marLeft w:val="0"/>
      <w:marRight w:val="0"/>
      <w:marTop w:val="0"/>
      <w:marBottom w:val="0"/>
      <w:divBdr>
        <w:top w:val="none" w:sz="0" w:space="0" w:color="auto"/>
        <w:left w:val="none" w:sz="0" w:space="0" w:color="auto"/>
        <w:bottom w:val="none" w:sz="0" w:space="0" w:color="auto"/>
        <w:right w:val="none" w:sz="0" w:space="0" w:color="auto"/>
      </w:divBdr>
    </w:div>
    <w:div w:id="1143233085">
      <w:bodyDiv w:val="1"/>
      <w:marLeft w:val="0"/>
      <w:marRight w:val="0"/>
      <w:marTop w:val="0"/>
      <w:marBottom w:val="0"/>
      <w:divBdr>
        <w:top w:val="none" w:sz="0" w:space="0" w:color="auto"/>
        <w:left w:val="none" w:sz="0" w:space="0" w:color="auto"/>
        <w:bottom w:val="none" w:sz="0" w:space="0" w:color="auto"/>
        <w:right w:val="none" w:sz="0" w:space="0" w:color="auto"/>
      </w:divBdr>
    </w:div>
    <w:div w:id="1154956355">
      <w:bodyDiv w:val="1"/>
      <w:marLeft w:val="0"/>
      <w:marRight w:val="0"/>
      <w:marTop w:val="0"/>
      <w:marBottom w:val="0"/>
      <w:divBdr>
        <w:top w:val="none" w:sz="0" w:space="0" w:color="auto"/>
        <w:left w:val="none" w:sz="0" w:space="0" w:color="auto"/>
        <w:bottom w:val="none" w:sz="0" w:space="0" w:color="auto"/>
        <w:right w:val="none" w:sz="0" w:space="0" w:color="auto"/>
      </w:divBdr>
    </w:div>
    <w:div w:id="1223904165">
      <w:bodyDiv w:val="1"/>
      <w:marLeft w:val="0"/>
      <w:marRight w:val="0"/>
      <w:marTop w:val="0"/>
      <w:marBottom w:val="0"/>
      <w:divBdr>
        <w:top w:val="none" w:sz="0" w:space="0" w:color="auto"/>
        <w:left w:val="none" w:sz="0" w:space="0" w:color="auto"/>
        <w:bottom w:val="none" w:sz="0" w:space="0" w:color="auto"/>
        <w:right w:val="none" w:sz="0" w:space="0" w:color="auto"/>
      </w:divBdr>
    </w:div>
    <w:div w:id="1240477952">
      <w:bodyDiv w:val="1"/>
      <w:marLeft w:val="0"/>
      <w:marRight w:val="0"/>
      <w:marTop w:val="0"/>
      <w:marBottom w:val="0"/>
      <w:divBdr>
        <w:top w:val="none" w:sz="0" w:space="0" w:color="auto"/>
        <w:left w:val="none" w:sz="0" w:space="0" w:color="auto"/>
        <w:bottom w:val="none" w:sz="0" w:space="0" w:color="auto"/>
        <w:right w:val="none" w:sz="0" w:space="0" w:color="auto"/>
      </w:divBdr>
    </w:div>
    <w:div w:id="1493793196">
      <w:bodyDiv w:val="1"/>
      <w:marLeft w:val="0"/>
      <w:marRight w:val="0"/>
      <w:marTop w:val="0"/>
      <w:marBottom w:val="0"/>
      <w:divBdr>
        <w:top w:val="none" w:sz="0" w:space="0" w:color="auto"/>
        <w:left w:val="none" w:sz="0" w:space="0" w:color="auto"/>
        <w:bottom w:val="none" w:sz="0" w:space="0" w:color="auto"/>
        <w:right w:val="none" w:sz="0" w:space="0" w:color="auto"/>
      </w:divBdr>
    </w:div>
    <w:div w:id="1500120271">
      <w:bodyDiv w:val="1"/>
      <w:marLeft w:val="0"/>
      <w:marRight w:val="0"/>
      <w:marTop w:val="0"/>
      <w:marBottom w:val="0"/>
      <w:divBdr>
        <w:top w:val="none" w:sz="0" w:space="0" w:color="auto"/>
        <w:left w:val="none" w:sz="0" w:space="0" w:color="auto"/>
        <w:bottom w:val="none" w:sz="0" w:space="0" w:color="auto"/>
        <w:right w:val="none" w:sz="0" w:space="0" w:color="auto"/>
      </w:divBdr>
    </w:div>
    <w:div w:id="1520704945">
      <w:bodyDiv w:val="1"/>
      <w:marLeft w:val="0"/>
      <w:marRight w:val="0"/>
      <w:marTop w:val="0"/>
      <w:marBottom w:val="0"/>
      <w:divBdr>
        <w:top w:val="none" w:sz="0" w:space="0" w:color="auto"/>
        <w:left w:val="none" w:sz="0" w:space="0" w:color="auto"/>
        <w:bottom w:val="none" w:sz="0" w:space="0" w:color="auto"/>
        <w:right w:val="none" w:sz="0" w:space="0" w:color="auto"/>
      </w:divBdr>
    </w:div>
    <w:div w:id="1657807156">
      <w:bodyDiv w:val="1"/>
      <w:marLeft w:val="0"/>
      <w:marRight w:val="0"/>
      <w:marTop w:val="0"/>
      <w:marBottom w:val="0"/>
      <w:divBdr>
        <w:top w:val="none" w:sz="0" w:space="0" w:color="auto"/>
        <w:left w:val="none" w:sz="0" w:space="0" w:color="auto"/>
        <w:bottom w:val="none" w:sz="0" w:space="0" w:color="auto"/>
        <w:right w:val="none" w:sz="0" w:space="0" w:color="auto"/>
      </w:divBdr>
    </w:div>
    <w:div w:id="1952009391">
      <w:bodyDiv w:val="1"/>
      <w:marLeft w:val="0"/>
      <w:marRight w:val="0"/>
      <w:marTop w:val="0"/>
      <w:marBottom w:val="0"/>
      <w:divBdr>
        <w:top w:val="none" w:sz="0" w:space="0" w:color="auto"/>
        <w:left w:val="none" w:sz="0" w:space="0" w:color="auto"/>
        <w:bottom w:val="none" w:sz="0" w:space="0" w:color="auto"/>
        <w:right w:val="none" w:sz="0" w:space="0" w:color="auto"/>
      </w:divBdr>
    </w:div>
    <w:div w:id="19539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Sta08</b:Tag>
    <b:SourceType>Book</b:SourceType>
    <b:Guid>{43D1A46F-9716-4369-9449-F332C55546C9}</b:Guid>
    <b:Author>
      <b:Author>
        <b:NameList>
          <b:Person>
            <b:Last>Stallings</b:Last>
            <b:First>W</b:First>
          </b:Person>
          <b:Person>
            <b:Last>Brown</b:Last>
            <b:First>L</b:First>
          </b:Person>
        </b:NameList>
      </b:Author>
    </b:Author>
    <b:Title>Computer Security: Principals and Practices</b:Title>
    <b:Year>2008</b:Year>
    <b:Publisher>Pearson Education, Inc.</b:Publisher>
    <b:RefOrder>1</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2</b:RefOrder>
  </b:Source>
  <b:Source>
    <b:Tag>Her12</b:Tag>
    <b:SourceType>Book</b:SourceType>
    <b:Guid>{3CA6A85A-3A76-4CD4-8D05-AB914F68406B}</b:Guid>
    <b:Author>
      <b:Author>
        <b:NameList>
          <b:Person>
            <b:Last>Hernandez</b:Last>
            <b:First>S</b:First>
          </b:Person>
        </b:NameList>
      </b:Author>
    </b:Author>
    <b:Title>Official Guide to the CISSP CBK, Third Edition</b:Title>
    <b:Year>2012</b:Year>
    <b:RefOrder>3</b:RefOrder>
  </b:Source>
  <b:Source>
    <b:Tag>Ari12</b:Tag>
    <b:SourceType>Book</b:SourceType>
    <b:Guid>{EA3B5847-2F67-4258-BC2E-F5F4476B2508}</b:Guid>
    <b:Title>Predictably Irrational, Revised and Expanded Edition: The Hidden Forces That Shape Our Decisions</b:Title>
    <b:Year>2012</b:Year>
    <b:Author>
      <b:Author>
        <b:NameList>
          <b:Person>
            <b:Last>Ariely</b:Last>
            <b:First>D</b:First>
          </b:Person>
        </b:NameList>
      </b:Author>
    </b:Author>
    <b:RefOrder>4</b:RefOrder>
  </b:Source>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5</b:RefOrder>
  </b:Source>
  <b:Source>
    <b:Tag>NgA14</b:Tag>
    <b:SourceType>Book</b:SourceType>
    <b:Guid>{E7E5A9C5-C066-40A7-A098-2F51B43021F4}</b:Guid>
    <b:Author>
      <b:Author>
        <b:NameList>
          <b:Person>
            <b:Last>Ng</b:Last>
            <b:First>A</b:First>
          </b:Person>
        </b:NameList>
      </b:Author>
    </b:Author>
    <b:Title>Machine Learning</b:Title>
    <b:Year>2014</b:Year>
    <b:Publisher>Stanford</b:Publisher>
    <b:RefOrder>6</b:RefOrder>
  </b:Source>
  <b:Source>
    <b:Tag>Sta14</b:Tag>
    <b:SourceType>DocumentFromInternetSite</b:SourceType>
    <b:Guid>{CF2E6BD6-6441-4A98-AE0D-42A0882E6CAF}</b:Guid>
    <b:Title>MARIJUANA LICENSES, APPLICATION PROCESS, REQUIREMENTS, AND REPORTING</b:Title>
    <b:Year>2014</b:Year>
    <b:Pages>Chapter 314-55 WAC</b:Pages>
    <b:Author>
      <b:Author>
        <b:Corporate>State of Washington</b:Corporate>
      </b:Author>
    </b:Author>
    <b:URL>https://lcb.app.box.com/adopted-rules</b:URL>
    <b:RefOrder>7</b:RefOrder>
  </b:Source>
  <b:Source>
    <b:Tag>Gol07</b:Tag>
    <b:SourceType>Book</b:SourceType>
    <b:Guid>{EB2F56A1-F974-4421-A9D5-A5211DA0AF09}</b:Guid>
    <b:Title>Telecommunications Essentials. The Complete Global Source, Second Edition</b:Title>
    <b:Year>2007</b:Year>
    <b:Author>
      <b:Author>
        <b:NameList>
          <b:Person>
            <b:Last>Goleniewski</b:Last>
            <b:First>L</b:First>
          </b:Person>
          <b:Person>
            <b:Last>Jarrett</b:Last>
            <b:First>K</b:First>
          </b:Person>
        </b:NameList>
      </b:Author>
    </b:Author>
    <b:Publisher>Pearson Education</b:Publisher>
    <b:RefOrder>8</b:RefOrder>
  </b:Source>
  <b:Source>
    <b:Tag>Gre02</b:Tag>
    <b:SourceType>Book</b:SourceType>
    <b:Guid>{DDFD7AA3-07A9-4E56-A0A1-A066D6267592}</b:Guid>
    <b:Title>Electronic Commerce: Security, Risk Managemetn and Control</b:Title>
    <b:Year>2002</b:Year>
    <b:Author>
      <b:Author>
        <b:NameList>
          <b:Person>
            <b:Last>Greenstein</b:Last>
            <b:First>M</b:First>
          </b:Person>
          <b:Person>
            <b:Last>Vasarhelyi</b:Last>
            <b:First>M</b:First>
          </b:Person>
        </b:NameList>
      </b:Author>
    </b:Author>
    <b:Publisher>McGraw-Hill</b:Publisher>
    <b:RefOrder>9</b:RefOrder>
  </b:Source>
</b:Sources>
</file>

<file path=customXml/itemProps1.xml><?xml version="1.0" encoding="utf-8"?>
<ds:datastoreItem xmlns:ds="http://schemas.openxmlformats.org/officeDocument/2006/customXml" ds:itemID="{22D1C4B3-C4D9-4C0E-ADC8-F850D658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cp:revision>
  <dcterms:created xsi:type="dcterms:W3CDTF">2014-07-29T00:12:00Z</dcterms:created>
  <dcterms:modified xsi:type="dcterms:W3CDTF">2014-07-29T00:12:00Z</dcterms:modified>
</cp:coreProperties>
</file>