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360" w:lineRule="auto"/>
        <w:jc w:val="left"/>
      </w:pPr>
      <w:r>
        <w:rPr>
          <w:rFonts w:ascii="Times New Roman" w:hAnsi="Times New Roman" w:eastAsia="Times New Roman"/>
          <w:b/>
          <w:i w:val="0"/>
          <w:sz w:val="24"/>
        </w:rPr>
        <w:t>3.</w:t>
        <w:tab/>
        <w:t>PETA JALAN (ROADMAP)</w:t>
      </w:r>
    </w:p>
    <w:p>
      <w:pPr>
        <w:spacing w:after="120" w:before="0" w:line="360" w:lineRule="auto"/>
        <w:ind w:firstLine="567"/>
        <w:jc w:val="both"/>
      </w:pPr>
      <w:r>
        <w:rPr>
          <w:rFonts w:ascii="Times New Roman" w:hAnsi="Times New Roman" w:eastAsia="Times New Roman"/>
          <w:b w:val="0"/>
          <w:i w:val="0"/>
          <w:sz w:val="24"/>
        </w:rPr>
        <w:t>Peta jalan riset disusun untuk periode 2026–2029 dengan mempertimbangkan kondisi eksisting bahwa pada Tahun 2026 domba Temanggung sedang dalam proses pengusulan sebagai rumpun lokal. Roadmap ini menempatkan kegiatan RIIM Kompetisi (2026–2028) sebagai fondasi ilmiah penggaluran, dilanjutkan hilirisasi dan penguatan penetapan galur pada Tahun 2029.</w:t>
      </w:r>
    </w:p>
    <w:p>
      <w:pPr>
        <w:spacing w:after="160" w:before="0" w:line="360" w:lineRule="auto"/>
        <w:jc w:val="left"/>
      </w:pPr>
      <w:r>
        <w:rPr>
          <w:rFonts w:ascii="Times New Roman" w:hAnsi="Times New Roman" w:eastAsia="Times New Roman"/>
          <w:b/>
          <w:i w:val="0"/>
          <w:sz w:val="24"/>
        </w:rPr>
        <w:t>3.1.</w:t>
        <w:tab/>
        <w:t>Kondisi Eksisting (2026)</w:t>
      </w:r>
    </w:p>
    <w:p>
      <w:pPr>
        <w:spacing w:after="120" w:before="0" w:line="360" w:lineRule="auto"/>
        <w:ind w:firstLine="567"/>
        <w:jc w:val="both"/>
      </w:pPr>
      <w:r>
        <w:rPr>
          <w:rFonts w:ascii="Times New Roman" w:hAnsi="Times New Roman" w:eastAsia="Times New Roman"/>
          <w:b w:val="0"/>
          <w:i w:val="0"/>
          <w:sz w:val="24"/>
        </w:rPr>
        <w:t>Pada Tahun 2026, domba Temanggung telah diidentifikasi sebagai plasma nutfah lokal Kabupaten Temanggung dengan populasi sekitar 20.000 ekor dan sedang dalam proses pengusulan sebagai rumpun lokal oleh Pemerintah Kabupaten Temanggung melalui DKPPP. Deskripsi populasi masih mencakup fenotip teropong maupun non-teropong, sehingga diferensiasi genetik berbasis multi-omik dan penggaluran khusus domba Temanggung Teropong belum tersedia. Kondisi ini menjadi titik awal (baseline) roadmap menuju penetapan rumpun, penggaluran, dan hilirisasi bibit unggul.</w:t>
      </w:r>
    </w:p>
    <w:p>
      <w:pPr>
        <w:spacing w:after="160" w:before="0" w:line="360" w:lineRule="auto"/>
        <w:jc w:val="left"/>
      </w:pPr>
      <w:r>
        <w:rPr>
          <w:rFonts w:ascii="Times New Roman" w:hAnsi="Times New Roman" w:eastAsia="Times New Roman"/>
          <w:b/>
          <w:i w:val="0"/>
          <w:sz w:val="24"/>
        </w:rPr>
        <w:t>3.2.</w:t>
        <w:tab/>
        <w:t>Ringkasan Peta Jalan 2026–2029</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D9E2F3" w:val="clear"/>
          </w:tcPr>
          <w:p>
            <w:pPr>
              <w:spacing w:after="40" w:before="0" w:line="360" w:lineRule="auto"/>
              <w:jc w:val="center"/>
            </w:pPr>
            <w:r/>
            <w:r>
              <w:rPr>
                <w:rFonts w:ascii="Times New Roman" w:hAnsi="Times New Roman" w:eastAsia="Times New Roman"/>
                <w:b/>
                <w:i w:val="0"/>
                <w:sz w:val="18"/>
              </w:rPr>
              <w:t>Tahun</w:t>
            </w:r>
          </w:p>
        </w:tc>
        <w:tc>
          <w:tcPr>
            <w:tcW w:type="dxa" w:w="1824"/>
            <w:shd w:fill="D9E2F3" w:val="clear"/>
          </w:tcPr>
          <w:p>
            <w:pPr>
              <w:spacing w:after="40" w:before="0" w:line="360" w:lineRule="auto"/>
              <w:jc w:val="center"/>
            </w:pPr>
            <w:r/>
            <w:r>
              <w:rPr>
                <w:rFonts w:ascii="Times New Roman" w:hAnsi="Times New Roman" w:eastAsia="Times New Roman"/>
                <w:b/>
                <w:i w:val="0"/>
                <w:sz w:val="18"/>
              </w:rPr>
              <w:t>Status Kebijakan / Hilirisasi</w:t>
            </w:r>
          </w:p>
        </w:tc>
        <w:tc>
          <w:tcPr>
            <w:tcW w:type="dxa" w:w="1824"/>
            <w:shd w:fill="D9E2F3" w:val="clear"/>
          </w:tcPr>
          <w:p>
            <w:pPr>
              <w:spacing w:after="40" w:before="0" w:line="360" w:lineRule="auto"/>
              <w:jc w:val="center"/>
            </w:pPr>
            <w:r/>
            <w:r>
              <w:rPr>
                <w:rFonts w:ascii="Times New Roman" w:hAnsi="Times New Roman" w:eastAsia="Times New Roman"/>
                <w:b/>
                <w:i w:val="0"/>
                <w:sz w:val="18"/>
              </w:rPr>
              <w:t>Fokus Riset</w:t>
            </w:r>
          </w:p>
        </w:tc>
        <w:tc>
          <w:tcPr>
            <w:tcW w:type="dxa" w:w="1824"/>
            <w:shd w:fill="D9E2F3" w:val="clear"/>
          </w:tcPr>
          <w:p>
            <w:pPr>
              <w:spacing w:after="40" w:before="0" w:line="360" w:lineRule="auto"/>
              <w:jc w:val="center"/>
            </w:pPr>
            <w:r/>
            <w:r>
              <w:rPr>
                <w:rFonts w:ascii="Times New Roman" w:hAnsi="Times New Roman" w:eastAsia="Times New Roman"/>
                <w:b/>
                <w:i w:val="0"/>
                <w:sz w:val="18"/>
              </w:rPr>
              <w:t>Output Utama</w:t>
            </w:r>
          </w:p>
        </w:tc>
        <w:tc>
          <w:tcPr>
            <w:tcW w:type="dxa" w:w="1824"/>
            <w:shd w:fill="D9E2F3" w:val="clear"/>
          </w:tcPr>
          <w:p>
            <w:pPr>
              <w:spacing w:after="40" w:before="0" w:line="360" w:lineRule="auto"/>
              <w:jc w:val="center"/>
            </w:pPr>
            <w:r/>
            <w:r>
              <w:rPr>
                <w:rFonts w:ascii="Times New Roman" w:hAnsi="Times New Roman" w:eastAsia="Times New Roman"/>
                <w:b/>
                <w:i w:val="0"/>
                <w:sz w:val="18"/>
              </w:rPr>
              <w:t>Indikator Kunci</w:t>
            </w:r>
          </w:p>
        </w:tc>
      </w:tr>
      <w:tr>
        <w:tc>
          <w:tcPr>
            <w:tcW w:type="dxa" w:w="1824"/>
          </w:tcPr>
          <w:p>
            <w:pPr>
              <w:spacing w:after="40" w:before="0" w:line="360" w:lineRule="auto"/>
              <w:jc w:val="left"/>
            </w:pPr>
            <w:r/>
            <w:r>
              <w:rPr>
                <w:rFonts w:ascii="Times New Roman" w:hAnsi="Times New Roman" w:eastAsia="Times New Roman"/>
                <w:b w:val="0"/>
                <w:i w:val="0"/>
                <w:sz w:val="18"/>
              </w:rPr>
              <w:t>2026</w:t>
            </w:r>
          </w:p>
        </w:tc>
        <w:tc>
          <w:tcPr>
            <w:tcW w:type="dxa" w:w="1824"/>
          </w:tcPr>
          <w:p>
            <w:pPr>
              <w:spacing w:after="40" w:before="0" w:line="360" w:lineRule="auto"/>
              <w:jc w:val="left"/>
            </w:pPr>
            <w:r/>
            <w:r>
              <w:rPr>
                <w:rFonts w:ascii="Times New Roman" w:hAnsi="Times New Roman" w:eastAsia="Times New Roman"/>
                <w:b w:val="0"/>
                <w:i w:val="0"/>
                <w:sz w:val="18"/>
              </w:rPr>
              <w:t>Eksisting: pengusulan rumpun domba Temanggung berjalan; dimulainya riset RIIM Tahun 1</w:t>
            </w:r>
          </w:p>
        </w:tc>
        <w:tc>
          <w:tcPr>
            <w:tcW w:type="dxa" w:w="1824"/>
          </w:tcPr>
          <w:p>
            <w:pPr>
              <w:spacing w:after="40" w:before="0" w:line="360" w:lineRule="auto"/>
              <w:jc w:val="left"/>
            </w:pPr>
            <w:r/>
            <w:r>
              <w:rPr>
                <w:rFonts w:ascii="Times New Roman" w:hAnsi="Times New Roman" w:eastAsia="Times New Roman"/>
                <w:b w:val="0"/>
                <w:i w:val="0"/>
                <w:sz w:val="18"/>
              </w:rPr>
              <w:t>Fenotip teropong &amp; sifat produksi (bobot, morfometri)</w:t>
            </w:r>
          </w:p>
        </w:tc>
        <w:tc>
          <w:tcPr>
            <w:tcW w:type="dxa" w:w="1824"/>
          </w:tcPr>
          <w:p>
            <w:pPr>
              <w:spacing w:after="40" w:before="0" w:line="360" w:lineRule="auto"/>
              <w:jc w:val="left"/>
            </w:pPr>
            <w:r/>
            <w:r>
              <w:rPr>
                <w:rFonts w:ascii="Times New Roman" w:hAnsi="Times New Roman" w:eastAsia="Times New Roman"/>
                <w:b w:val="0"/>
                <w:i w:val="0"/>
                <w:sz w:val="18"/>
              </w:rPr>
              <w:t>Database fenotip–genomik–metabolomik; draft standar identitas/produksi; 1 KTI under review</w:t>
            </w:r>
          </w:p>
        </w:tc>
        <w:tc>
          <w:tcPr>
            <w:tcW w:type="dxa" w:w="1824"/>
          </w:tcPr>
          <w:p>
            <w:pPr>
              <w:spacing w:after="40" w:before="0" w:line="360" w:lineRule="auto"/>
              <w:jc w:val="left"/>
            </w:pPr>
            <w:r/>
            <w:r>
              <w:rPr>
                <w:rFonts w:ascii="Times New Roman" w:hAnsi="Times New Roman" w:eastAsia="Times New Roman"/>
                <w:b w:val="0"/>
                <w:i w:val="0"/>
                <w:sz w:val="18"/>
              </w:rPr>
              <w:t>Basis ilmiah pendukung penguatan rumpun; kandidat marka teropong–produksi</w:t>
            </w:r>
          </w:p>
        </w:tc>
      </w:tr>
      <w:tr>
        <w:tc>
          <w:tcPr>
            <w:tcW w:type="dxa" w:w="1824"/>
          </w:tcPr>
          <w:p>
            <w:pPr>
              <w:spacing w:after="40" w:before="0" w:line="360" w:lineRule="auto"/>
              <w:jc w:val="left"/>
            </w:pPr>
            <w:r/>
            <w:r>
              <w:rPr>
                <w:rFonts w:ascii="Times New Roman" w:hAnsi="Times New Roman" w:eastAsia="Times New Roman"/>
                <w:b w:val="0"/>
                <w:i w:val="0"/>
                <w:sz w:val="18"/>
              </w:rPr>
              <w:t>2027</w:t>
            </w:r>
          </w:p>
        </w:tc>
        <w:tc>
          <w:tcPr>
            <w:tcW w:type="dxa" w:w="1824"/>
          </w:tcPr>
          <w:p>
            <w:pPr>
              <w:spacing w:after="40" w:before="0" w:line="360" w:lineRule="auto"/>
              <w:jc w:val="left"/>
            </w:pPr>
            <w:r/>
            <w:r>
              <w:rPr>
                <w:rFonts w:ascii="Times New Roman" w:hAnsi="Times New Roman" w:eastAsia="Times New Roman"/>
                <w:b w:val="0"/>
                <w:i w:val="0"/>
                <w:sz w:val="18"/>
              </w:rPr>
              <w:t>Penguatan data pendukung rumpun; pendalaman penggaluran Teropong</w:t>
            </w:r>
          </w:p>
        </w:tc>
        <w:tc>
          <w:tcPr>
            <w:tcW w:type="dxa" w:w="1824"/>
          </w:tcPr>
          <w:p>
            <w:pPr>
              <w:spacing w:after="40" w:before="0" w:line="360" w:lineRule="auto"/>
              <w:jc w:val="left"/>
            </w:pPr>
            <w:r/>
            <w:r>
              <w:rPr>
                <w:rFonts w:ascii="Times New Roman" w:hAnsi="Times New Roman" w:eastAsia="Times New Roman"/>
                <w:b w:val="0"/>
                <w:i w:val="0"/>
                <w:sz w:val="18"/>
              </w:rPr>
              <w:t>Sifat reproduksi (prolificacy)</w:t>
            </w:r>
          </w:p>
        </w:tc>
        <w:tc>
          <w:tcPr>
            <w:tcW w:type="dxa" w:w="1824"/>
          </w:tcPr>
          <w:p>
            <w:pPr>
              <w:spacing w:after="40" w:before="0" w:line="360" w:lineRule="auto"/>
              <w:jc w:val="left"/>
            </w:pPr>
            <w:r/>
            <w:r>
              <w:rPr>
                <w:rFonts w:ascii="Times New Roman" w:hAnsi="Times New Roman" w:eastAsia="Times New Roman"/>
                <w:b w:val="0"/>
                <w:i w:val="0"/>
                <w:sz w:val="18"/>
              </w:rPr>
              <w:t>Parameter reproduksi terukur; model seleksi berbasis biomarka reproduksi; draft hak cipta; KTI lanjutan</w:t>
            </w:r>
          </w:p>
        </w:tc>
        <w:tc>
          <w:tcPr>
            <w:tcW w:type="dxa" w:w="1824"/>
          </w:tcPr>
          <w:p>
            <w:pPr>
              <w:spacing w:after="40" w:before="0" w:line="360" w:lineRule="auto"/>
              <w:jc w:val="left"/>
            </w:pPr>
            <w:r/>
            <w:r>
              <w:rPr>
                <w:rFonts w:ascii="Times New Roman" w:hAnsi="Times New Roman" w:eastAsia="Times New Roman"/>
                <w:b w:val="0"/>
                <w:i w:val="0"/>
                <w:sz w:val="18"/>
              </w:rPr>
              <w:t>Kandidat marka/biomarker reproduksi; kelengkapan profil galur</w:t>
            </w:r>
          </w:p>
        </w:tc>
      </w:tr>
      <w:tr>
        <w:tc>
          <w:tcPr>
            <w:tcW w:type="dxa" w:w="1824"/>
          </w:tcPr>
          <w:p>
            <w:pPr>
              <w:spacing w:after="40" w:before="0" w:line="360" w:lineRule="auto"/>
              <w:jc w:val="left"/>
            </w:pPr>
            <w:r/>
            <w:r>
              <w:rPr>
                <w:rFonts w:ascii="Times New Roman" w:hAnsi="Times New Roman" w:eastAsia="Times New Roman"/>
                <w:b w:val="0"/>
                <w:i w:val="0"/>
                <w:sz w:val="18"/>
              </w:rPr>
              <w:t>2028</w:t>
            </w:r>
          </w:p>
        </w:tc>
        <w:tc>
          <w:tcPr>
            <w:tcW w:type="dxa" w:w="1824"/>
          </w:tcPr>
          <w:p>
            <w:pPr>
              <w:spacing w:after="40" w:before="0" w:line="360" w:lineRule="auto"/>
              <w:jc w:val="left"/>
            </w:pPr>
            <w:r/>
            <w:r>
              <w:rPr>
                <w:rFonts w:ascii="Times New Roman" w:hAnsi="Times New Roman" w:eastAsia="Times New Roman"/>
                <w:b w:val="0"/>
                <w:i w:val="0"/>
                <w:sz w:val="18"/>
              </w:rPr>
              <w:t>Penyusunan &amp; pendaftaran galur Domba Temanggung Teropong (target TKT 7)</w:t>
            </w:r>
          </w:p>
        </w:tc>
        <w:tc>
          <w:tcPr>
            <w:tcW w:type="dxa" w:w="1824"/>
          </w:tcPr>
          <w:p>
            <w:pPr>
              <w:spacing w:after="40" w:before="0" w:line="360" w:lineRule="auto"/>
              <w:jc w:val="left"/>
            </w:pPr>
            <w:r/>
            <w:r>
              <w:rPr>
                <w:rFonts w:ascii="Times New Roman" w:hAnsi="Times New Roman" w:eastAsia="Times New Roman"/>
                <w:b w:val="0"/>
                <w:i w:val="0"/>
                <w:sz w:val="18"/>
              </w:rPr>
              <w:t>Integrasi multi-omik (teropong + produksi + reproduksi)</w:t>
            </w:r>
          </w:p>
        </w:tc>
        <w:tc>
          <w:tcPr>
            <w:tcW w:type="dxa" w:w="1824"/>
          </w:tcPr>
          <w:p>
            <w:pPr>
              <w:spacing w:after="40" w:before="0" w:line="360" w:lineRule="auto"/>
              <w:jc w:val="left"/>
            </w:pPr>
            <w:r/>
            <w:r>
              <w:rPr>
                <w:rFonts w:ascii="Times New Roman" w:hAnsi="Times New Roman" w:eastAsia="Times New Roman"/>
                <w:b w:val="0"/>
                <w:i w:val="0"/>
                <w:sz w:val="18"/>
              </w:rPr>
              <w:t>Panel biomarka final; dokumen model seleksi; naskah usulan galur; hak cipta terdaftar; KTI integratif</w:t>
            </w:r>
          </w:p>
        </w:tc>
        <w:tc>
          <w:tcPr>
            <w:tcW w:type="dxa" w:w="1824"/>
          </w:tcPr>
          <w:p>
            <w:pPr>
              <w:spacing w:after="40" w:before="0" w:line="360" w:lineRule="auto"/>
              <w:jc w:val="left"/>
            </w:pPr>
            <w:r/>
            <w:r>
              <w:rPr>
                <w:rFonts w:ascii="Times New Roman" w:hAnsi="Times New Roman" w:eastAsia="Times New Roman"/>
                <w:b w:val="0"/>
                <w:i w:val="0"/>
                <w:sz w:val="18"/>
              </w:rPr>
              <w:t>Naskah usulan galur siap diajukan; model seleksi berbasis biomarker</w:t>
            </w:r>
          </w:p>
        </w:tc>
      </w:tr>
      <w:tr>
        <w:tc>
          <w:tcPr>
            <w:tcW w:type="dxa" w:w="1824"/>
          </w:tcPr>
          <w:p>
            <w:pPr>
              <w:spacing w:after="40" w:before="0" w:line="360" w:lineRule="auto"/>
              <w:jc w:val="left"/>
            </w:pPr>
            <w:r/>
            <w:r>
              <w:rPr>
                <w:rFonts w:ascii="Times New Roman" w:hAnsi="Times New Roman" w:eastAsia="Times New Roman"/>
                <w:b w:val="0"/>
                <w:i w:val="0"/>
                <w:sz w:val="18"/>
              </w:rPr>
              <w:t>2029</w:t>
            </w:r>
          </w:p>
        </w:tc>
        <w:tc>
          <w:tcPr>
            <w:tcW w:type="dxa" w:w="1824"/>
          </w:tcPr>
          <w:p>
            <w:pPr>
              <w:spacing w:after="40" w:before="0" w:line="360" w:lineRule="auto"/>
              <w:jc w:val="left"/>
            </w:pPr>
            <w:r/>
            <w:r>
              <w:rPr>
                <w:rFonts w:ascii="Times New Roman" w:hAnsi="Times New Roman" w:eastAsia="Times New Roman"/>
                <w:b w:val="0"/>
                <w:i w:val="0"/>
                <w:sz w:val="18"/>
              </w:rPr>
              <w:t>Hilirisasi pasca-RIIM: penetapan galur, penguatan SNI/standar bibit, adopsi lapangan</w:t>
            </w:r>
          </w:p>
        </w:tc>
        <w:tc>
          <w:tcPr>
            <w:tcW w:type="dxa" w:w="1824"/>
          </w:tcPr>
          <w:p>
            <w:pPr>
              <w:spacing w:after="40" w:before="0" w:line="360" w:lineRule="auto"/>
              <w:jc w:val="left"/>
            </w:pPr>
            <w:r/>
            <w:r>
              <w:rPr>
                <w:rFonts w:ascii="Times New Roman" w:hAnsi="Times New Roman" w:eastAsia="Times New Roman"/>
                <w:b w:val="0"/>
                <w:i w:val="0"/>
                <w:sz w:val="18"/>
              </w:rPr>
              <w:t>Validasi terbatas &amp; diseminasi seleksi berbasis marka</w:t>
            </w:r>
          </w:p>
        </w:tc>
        <w:tc>
          <w:tcPr>
            <w:tcW w:type="dxa" w:w="1824"/>
          </w:tcPr>
          <w:p>
            <w:pPr>
              <w:spacing w:after="40" w:before="0" w:line="360" w:lineRule="auto"/>
              <w:jc w:val="left"/>
            </w:pPr>
            <w:r/>
            <w:r>
              <w:rPr>
                <w:rFonts w:ascii="Times New Roman" w:hAnsi="Times New Roman" w:eastAsia="Times New Roman"/>
                <w:b w:val="0"/>
                <w:i w:val="0"/>
                <w:sz w:val="18"/>
              </w:rPr>
              <w:t>Implementasi model seleksi bersama mitra; dukungan penetapan galur/standar bibit</w:t>
            </w:r>
          </w:p>
        </w:tc>
        <w:tc>
          <w:tcPr>
            <w:tcW w:type="dxa" w:w="1824"/>
          </w:tcPr>
          <w:p>
            <w:pPr>
              <w:spacing w:after="40" w:before="0" w:line="360" w:lineRule="auto"/>
              <w:jc w:val="left"/>
            </w:pPr>
            <w:r/>
            <w:r>
              <w:rPr>
                <w:rFonts w:ascii="Times New Roman" w:hAnsi="Times New Roman" w:eastAsia="Times New Roman"/>
                <w:b w:val="0"/>
                <w:i w:val="0"/>
                <w:sz w:val="18"/>
              </w:rPr>
              <w:t>Adopsi teknis oleh DKPPP/peternak; penguatan nilai ekonomi bibit Teropong</w:t>
            </w:r>
          </w:p>
        </w:tc>
      </w:tr>
    </w:tbl>
    <w:p/>
    <w:p>
      <w:pPr>
        <w:spacing w:after="160" w:before="0" w:line="360" w:lineRule="auto"/>
        <w:jc w:val="left"/>
      </w:pPr>
      <w:r>
        <w:rPr>
          <w:rFonts w:ascii="Times New Roman" w:hAnsi="Times New Roman" w:eastAsia="Times New Roman"/>
          <w:b/>
          <w:i w:val="0"/>
          <w:sz w:val="24"/>
        </w:rPr>
        <w:t>3.3.</w:t>
        <w:tab/>
        <w:t>Uraian Peta Jalan per Tahun</w:t>
      </w:r>
    </w:p>
    <w:p>
      <w:pPr>
        <w:spacing w:after="160" w:before="0" w:line="360" w:lineRule="auto"/>
        <w:jc w:val="left"/>
      </w:pPr>
      <w:r>
        <w:rPr>
          <w:rFonts w:ascii="Times New Roman" w:hAnsi="Times New Roman" w:eastAsia="Times New Roman"/>
          <w:b/>
          <w:i w:val="0"/>
          <w:sz w:val="24"/>
        </w:rPr>
        <w:t>Tahun 2026 — Fondasi Rumpun &amp; Identitas–Produksi Galur Teropong</w:t>
      </w:r>
    </w:p>
    <w:p>
      <w:pPr>
        <w:spacing w:after="120" w:before="0" w:line="360" w:lineRule="auto"/>
        <w:ind w:firstLine="567"/>
        <w:jc w:val="both"/>
      </w:pPr>
      <w:r>
        <w:rPr>
          <w:rFonts w:ascii="Times New Roman" w:hAnsi="Times New Roman" w:eastAsia="Times New Roman"/>
          <w:b w:val="0"/>
          <w:i w:val="0"/>
          <w:sz w:val="24"/>
        </w:rPr>
        <w:t>Eksisting: proses pengusulan rumpun domba Temanggung. Fokus riset (RIIM Tahun 1): karakterisasi fenotip teropong vs non-teropong serta sifat produksi; genotyping Ovine 50K; GWAS dan Signatures of Selection; metabolomik subset produksi. Output: database multi-omik awal; draft standar identitas/profil galur (fenotip hingga molekuler); model seleksi sifat produksi berbasis marka; 1 KTI jurnal internasional bereputasi (under review). Kaitan kebijakan: menyediakan bukti ilmiah untuk memperkuat pengusulan/penetapan rumpun sekaligus membuka jalan penggaluran khusus Teropong.</w:t>
      </w:r>
    </w:p>
    <w:p>
      <w:pPr>
        <w:spacing w:after="160" w:before="0" w:line="360" w:lineRule="auto"/>
        <w:jc w:val="left"/>
      </w:pPr>
      <w:r>
        <w:rPr>
          <w:rFonts w:ascii="Times New Roman" w:hAnsi="Times New Roman" w:eastAsia="Times New Roman"/>
          <w:b/>
          <w:i w:val="0"/>
          <w:sz w:val="24"/>
        </w:rPr>
        <w:t>Tahun 2027 — Penguatan Merit Reproduksi untuk Penggaluran</w:t>
      </w:r>
    </w:p>
    <w:p>
      <w:pPr>
        <w:spacing w:after="120" w:before="0" w:line="360" w:lineRule="auto"/>
        <w:ind w:firstLine="567"/>
        <w:jc w:val="both"/>
      </w:pPr>
      <w:r>
        <w:rPr>
          <w:rFonts w:ascii="Times New Roman" w:hAnsi="Times New Roman" w:eastAsia="Times New Roman"/>
          <w:b w:val="0"/>
          <w:i w:val="0"/>
          <w:sz w:val="24"/>
        </w:rPr>
        <w:t>Fokus riset (RIIM Tahun 2): karakterisasi sifat reproduksi (prolifik vs non-prolifik) pada betina dewasa; genotyping; GWAS dan metabolomik reproduksi; penyusunan model seleksi berbasis biomarka. Output: parameter reproduksi terukur; kandidat lokus/marka reproduksi; draft hak cipta; publikasi KTI (akumulasi published + under review baru). Kaitan kebijakan: melengkapi paket sifat ekonomi (produksi + reproduksi) pada kerangka penggaluran Domba Temanggung Teropong.</w:t>
      </w:r>
    </w:p>
    <w:p>
      <w:pPr>
        <w:spacing w:after="160" w:before="0" w:line="360" w:lineRule="auto"/>
        <w:jc w:val="left"/>
      </w:pPr>
      <w:r>
        <w:rPr>
          <w:rFonts w:ascii="Times New Roman" w:hAnsi="Times New Roman" w:eastAsia="Times New Roman"/>
          <w:b/>
          <w:i w:val="0"/>
          <w:sz w:val="24"/>
        </w:rPr>
        <w:t>Tahun 2028 — Integrasi Multi-Omik dan Usulan Galur</w:t>
      </w:r>
    </w:p>
    <w:p>
      <w:pPr>
        <w:spacing w:after="120" w:before="0" w:line="360" w:lineRule="auto"/>
        <w:ind w:firstLine="567"/>
        <w:jc w:val="both"/>
      </w:pPr>
      <w:r>
        <w:rPr>
          <w:rFonts w:ascii="Times New Roman" w:hAnsi="Times New Roman" w:eastAsia="Times New Roman"/>
          <w:b w:val="0"/>
          <w:i w:val="0"/>
          <w:sz w:val="24"/>
        </w:rPr>
        <w:t>Fokus riset (RIIM Tahun 3): integrasi data Tahun 1 dan 2 tanpa sampling baru; finalisasi panel biomarka; penyusunan dokumen model seleksi dan naskah usulan galur Domba Temanggung Teropong. Output: panel biomarka final; 1 dokumen model seleksi berbasis biomarker; hak cipta terdaftar; naskah usulan/pendaftaran galur (target TKT 7); publikasi KTI integratif. Kaitan kebijakan: menggeser posisi dari “rumpun dalam proses” menuju usulan galur Teropong yang terdokumentasi secara ilmiah.</w:t>
      </w:r>
    </w:p>
    <w:p>
      <w:pPr>
        <w:spacing w:after="160" w:before="0" w:line="360" w:lineRule="auto"/>
        <w:jc w:val="left"/>
      </w:pPr>
      <w:r>
        <w:rPr>
          <w:rFonts w:ascii="Times New Roman" w:hAnsi="Times New Roman" w:eastAsia="Times New Roman"/>
          <w:b/>
          <w:i w:val="0"/>
          <w:sz w:val="24"/>
        </w:rPr>
        <w:t>Tahun 2029 — Hilirisasi dan Penguatan Penetapan Galur</w:t>
      </w:r>
    </w:p>
    <w:p>
      <w:pPr>
        <w:spacing w:after="120" w:before="0" w:line="360" w:lineRule="auto"/>
        <w:ind w:firstLine="567"/>
        <w:jc w:val="both"/>
      </w:pPr>
      <w:r>
        <w:rPr>
          <w:rFonts w:ascii="Times New Roman" w:hAnsi="Times New Roman" w:eastAsia="Times New Roman"/>
          <w:b w:val="0"/>
          <w:i w:val="0"/>
          <w:sz w:val="24"/>
        </w:rPr>
        <w:t>Fokus kegiatan (pasca-pendanaan RIIM / keberlanjutan mitra): pendampingan proses penetapan galur; penguatan standar bibit/SNI rumpun–galur; uji adopsi model seleksi di populasi dampingan DKPPP dan peternak; diseminasi hasil. Output: implementasi teknis seleksi berbasis biomarka; dukungan dokumen penetapan; peningkatan kesiapan sistem perbibitan lokal. Kaitan kebijakan: memastikan manfaat ekonomi penggaluran (nilai jual/premium bibit Teropong) mulai terasa di tingkat peternak.</w:t>
      </w:r>
    </w:p>
    <w:p>
      <w:pPr>
        <w:spacing w:after="160" w:before="0" w:line="360" w:lineRule="auto"/>
        <w:jc w:val="left"/>
      </w:pPr>
      <w:r>
        <w:rPr>
          <w:rFonts w:ascii="Times New Roman" w:hAnsi="Times New Roman" w:eastAsia="Times New Roman"/>
          <w:b/>
          <w:i w:val="0"/>
          <w:sz w:val="24"/>
        </w:rPr>
        <w:t>3.4.</w:t>
        <w:tab/>
        <w:t>Produk Akhir Roadmap</w:t>
      </w:r>
    </w:p>
    <w:p>
      <w:pPr>
        <w:spacing w:after="120" w:before="0" w:line="360" w:lineRule="auto"/>
        <w:ind w:firstLine="567"/>
        <w:jc w:val="both"/>
      </w:pPr>
      <w:r>
        <w:rPr>
          <w:rFonts w:ascii="Times New Roman" w:hAnsi="Times New Roman" w:eastAsia="Times New Roman"/>
          <w:b w:val="0"/>
          <w:i w:val="0"/>
          <w:sz w:val="24"/>
        </w:rPr>
        <w:t>Pada akhir periode 2026–2029, diharapkan tersedia: (1) basis data dan bukti ilmiah multi-omik domba Temanggung (teropong vs non-teropong; produksi; reproduksi); (2) panel biomarka dan model seleksi bibit unggul Domba Temanggung Teropong; (3) dokumen/naskah usulan galur yang diajukan dan diproses menuju penetapan; serta (4) kontribusi terhadap kedaulatan pangan melalui penyediaan bibit lokal unggul berkekuatan identitas dan merit ekonomi.</w:t>
      </w:r>
    </w:p>
    <w:p>
      <w:pPr>
        <w:spacing w:after="160" w:before="0" w:line="360" w:lineRule="auto"/>
        <w:jc w:val="left"/>
      </w:pPr>
      <w:r>
        <w:rPr>
          <w:rFonts w:ascii="Times New Roman" w:hAnsi="Times New Roman" w:eastAsia="Times New Roman"/>
          <w:b/>
          <w:i w:val="0"/>
          <w:sz w:val="24"/>
        </w:rPr>
        <w:t>3.5.</w:t>
        <w:tab/>
        <w:t>Diagram Alur Peta Jalan</w:t>
      </w:r>
    </w:p>
    <w:p>
      <w:pPr>
        <w:spacing w:after="160" w:before="0" w:line="360" w:lineRule="auto"/>
        <w:jc w:val="left"/>
      </w:pPr>
      <w:r>
        <w:rPr>
          <w:rFonts w:ascii="Courier New" w:hAnsi="Courier New" w:eastAsia="Times New Roman"/>
          <w:b w:val="0"/>
          <w:i w:val="0"/>
          <w:sz w:val="20"/>
        </w:rPr>
        <w:t>2026 (EKSISTING + RIIM T1)</w:t>
        <w:br/>
        <w:t>Pengusulan RUMPUN Domba Temanggung</w:t>
        <w:br/>
        <w:t xml:space="preserve">        +</w:t>
        <w:br/>
        <w:t>Riset: Fenotip Teropong &amp; Produksi</w:t>
        <w:br/>
        <w:t>(GWAS, Signatures of Selection, Metabolomik)</w:t>
        <w:br/>
        <w:t xml:space="preserve">        ↓</w:t>
        <w:br/>
        <w:t>2027 (RIIM T2)</w:t>
        <w:br/>
        <w:t>Riset: Sifat Reproduksi (Prolificacy)</w:t>
        <w:br/>
        <w:t>Model seleksi berbasis biomarka reproduksi</w:t>
        <w:br/>
        <w:t xml:space="preserve">        ↓</w:t>
        <w:br/>
        <w:t>2028 (RIIM T3)</w:t>
        <w:br/>
        <w:t>Integrasi Multi-Omik</w:t>
        <w:br/>
        <w:t>Panel biomarka + Model seleksi + Naskah USULAN GALUR</w:t>
        <w:br/>
        <w:t>Domba Temanggung Teropong (TKT 7)</w:t>
        <w:br/>
        <w:t xml:space="preserve">        ↓</w:t>
        <w:br/>
        <w:t>2029 (HILIRISASI)</w:t>
        <w:br/>
        <w:t>Penetapan/penguatan GALUR + Adopsi seleksi di lapangan</w:t>
        <w:br/>
        <w:t>Peningkatan nilai ekonomi bibit lokal</w:t>
        <w:br/>
        <w:t xml:space="preserve">        ↓</w:t>
        <w:br/>
        <w:t>KEDAULATAN PANGAN NASIONAL</w:t>
        <w:br/>
        <w:t>(Bibit unggul berbasis plasma nutfah lokal)</w:t>
      </w:r>
    </w:p>
    <w:p>
      <w:pPr>
        <w:spacing w:after="120" w:before="0" w:line="360" w:lineRule="auto"/>
        <w:ind w:firstLine="567"/>
        <w:jc w:val="both"/>
      </w:pPr>
      <w:r>
        <w:rPr>
          <w:rFonts w:ascii="Times New Roman" w:hAnsi="Times New Roman" w:eastAsia="Times New Roman"/>
          <w:b w:val="0"/>
          <w:i w:val="0"/>
          <w:sz w:val="24"/>
        </w:rPr>
        <w:t>Secara keseluruhan, roadmap 2026–2029 menegaskan kesinambungan logis dari pengusulan rumpun (eksisting 2026) menuju penggaluran Domba Temanggung Teropong (2028) dan hilirisasi manfaat ekonomi–kebijakan (2029).</w:t>
      </w:r>
    </w:p>
    <w:p>
      <w:pPr>
        <w:spacing w:after="120" w:before="0" w:line="360" w:lineRule="auto"/>
        <w:jc w:val="left"/>
      </w:pPr>
      <w:r>
        <w:rPr>
          <w:rFonts w:ascii="Times New Roman" w:hAnsi="Times New Roman" w:eastAsia="Times New Roman"/>
          <w:b w:val="0"/>
          <w:i/>
          <w:sz w:val="20"/>
        </w:rPr>
        <w:t>Catatan: bagian ini siap disisipkan pada Bab 3 PETA JALAN (ROADMAP) proposal RIIM.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