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2.png" ContentType="image/png"/>
  <Override PartName="/word/media/rId2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1</m:t>
            </m:r>
          </m:sup>
        </m:sSup>
      </m:oMath>
      <w:r>
        <w:rPr>
          <w:b/>
          <w:bCs/>
        </w:rPr>
        <w:t xml:space="preserve">, Pamela Flores</w:t>
      </w:r>
      <m:oMath>
        <m:sSup>
          <m:e>
            <m:r>
              <m:t>​</m:t>
            </m:r>
          </m:e>
          <m:sup>
            <m:r>
              <m:t>1</m:t>
            </m:r>
          </m:sup>
        </m:sSup>
      </m:oMath>
      <w:r>
        <w:rPr>
          <w:b/>
          <w:bCs/>
        </w:rPr>
        <w:t xml:space="preserve">, Anirudha Dixit</w:t>
      </w:r>
      <m:oMath>
        <m:sSup>
          <m:e>
            <m:r>
              <m:t>​</m:t>
            </m:r>
          </m:e>
          <m:sup>
            <m:r>
              <m:t>1</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for Artemis III,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at Artemis candidate landing sites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demonstrate that geomagnetic field removal: (1) suppresses germination capacity, lowering the total number of germinated seedlings;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formulate an empirical flight risk-retirement framework incorporating sample-level 3-axis fluxgate telemetry, matched-current bifilar sham controls, active causal rescue (</w:t>
      </w:r>
      <m:oMath>
        <m:r>
          <m:t>40</m:t>
        </m:r>
        <m:r>
          <m:rPr>
            <m:nor/>
            <m:sty m:val="p"/>
          </m:rPr>
          <m:t>–</m:t>
        </m:r>
        <m:r>
          <m:t>50</m:t>
        </m:r>
        <m:r>
          <m:t> </m:t>
        </m:r>
        <m:r>
          <m:t>μ</m:t>
        </m:r>
        <m:r>
          <m:rPr>
            <m:nor/>
            <m:sty m:val="p"/>
          </m:rPr>
          <m:t>T</m:t>
        </m:r>
      </m:oMath>
      <w:r>
        <w:t xml:space="preserve"> </w:t>
      </w:r>
      <w:r>
        <w:t xml:space="preserve">vector re-application), and predeclared operational flight decision gates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w:t>
      </w:r>
    </w:p>
    <w:p>
      <w:r>
        <w:pict>
          <v:rect style="width:0;height:1.5pt" o:hralign="center" o:hrstd="t" o:hr="t"/>
        </w:pict>
      </w:r>
    </w:p>
    <w:bookmarkEnd w:id="10"/>
    <w:bookmarkStart w:id="14"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p>
      <w:pPr>
        <w:pStyle w:val="FirstParagraph"/>
      </w:pPr>
      <w:r>
        <w:t xml:space="preserve">Bioregenerative Life Support Systems (BLSS) and autonomous plant growth chambers are recognized as non-negotiable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the Artemis III crewed mission to the lunar South Pole [1,6].</w:t>
      </w:r>
    </w:p>
    <w:p>
      <w:pPr>
        <w:pStyle w:val="BodyText"/>
      </w:pPr>
      <w:r>
        <w:t xml:space="preserve">For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[7–10].</w:t>
      </w:r>
    </w:p>
    <w:p>
      <w:pPr>
        <w:pStyle w:val="BodyText"/>
      </w:pPr>
      <w:r>
        <w:t xml:space="preserve">In stark contrast,</w:t>
      </w:r>
      <w:r>
        <w:t xml:space="preserve"> </w:t>
      </w:r>
      <w:r>
        <w:rPr>
          <w:b/>
          <w:bCs/>
        </w:rPr>
        <w:t xml:space="preserve">the local magnetic field vector within the biological specimen volume has virtually never been treated as a primary experimental or operational design variable</w:t>
      </w:r>
      <w:r>
        <w:t xml:space="preserve"> </w:t>
      </w:r>
      <w:r>
        <w:t xml:space="preserve">[11–13].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[14]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[15,16].</w:t>
      </w:r>
    </w:p>
    <w:p>
      <w:pPr>
        <w:pStyle w:val="BodyText"/>
      </w:pPr>
      <w:r>
        <w:drawing>
          <wp:inline>
            <wp:extent cx="5334000" cy="4622918"/>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22918"/>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[17,18], overlaid with landing coordinates for Apollo (white circles), Chang’e (yellow squares), Chandrayaan (cyan triangles), and Artemis candidate zones (red stars). Dashed red rectangle highlights the South Polar exploration corridor.</w:t>
      </w:r>
      <w:r>
        <w:br/>
      </w:r>
      <w:r>
        <w:rPr>
          <w:b/>
          <w:bCs/>
        </w:rPr>
        <w:t xml:space="preserve">(b) Artemis South Polar Exploration Footprint:</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w:t>
      </w:r>
      <w:r>
        <w:br/>
      </w:r>
      <w:r>
        <w:rPr>
          <w:b/>
          <w:bCs/>
        </w:rPr>
        <w:t xml:space="preserve">(c) Landing Site Magnetic Classification:</w:t>
      </w:r>
      <w:r>
        <w:t xml:space="preserve"> </w:t>
      </w:r>
      <w:r>
        <w:t xml:space="preserve">Magnitude comparison across 23 historical and planned exploration sites. All Artemis South Pole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and active control are implemented.</w:t>
      </w:r>
    </w:p>
    <w:p>
      <w:pPr>
        <w:pStyle w:val="BodyText"/>
      </w:pPr>
      <w:r>
        <w:t xml:space="preserve">As demonstrated by high-resolution magnetometer data compiled from the Lunar Prospector and Kaguya missions [17–19],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candidate Artemis exploration sites in the South Polar region (such as Faustini Rim A, Haworth crater, Connecting Ridge, de Gerlache Rim, Malapert Massif, and Peak Near Shackleton) 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[17–19].</w:t>
      </w:r>
    </w:p>
    <w:tbl>
      <w:tblPr>
        <w:tblStyle w:val="Table"/>
        <w:tblW w:type="pct" w:w="5000"/>
        <w:tblLayout w:type="fixed"/>
        <w:tblLook w:firstRow="1" w:lastRow="0" w:firstColumn="0" w:lastColumn="0" w:noHBand="0" w:noVBand="0" w:val="0020"/>
      </w:tblPr>
      <w:tblGrid>
        <w:gridCol w:w="1173"/>
        <w:gridCol w:w="1173"/>
        <w:gridCol w:w="1466"/>
        <w:gridCol w:w="1466"/>
        <w:gridCol w:w="1466"/>
        <w:gridCol w:w="1173"/>
      </w:tblGrid>
      <w:tr>
        <w:trPr>
          <w:tblHeader w:val="on"/>
        </w:trPr>
        <w:tc>
          <w:tcPr/>
          <w:p>
            <w:pPr>
              <w:pStyle w:val="Compact"/>
              <w:jc w:val="left"/>
            </w:pPr>
            <w:r>
              <w:t xml:space="preserve">Mission</w:t>
            </w:r>
          </w:p>
        </w:tc>
        <w:tc>
          <w:tcPr/>
          <w:p>
            <w:pPr>
              <w:pStyle w:val="Compact"/>
              <w:jc w:val="left"/>
            </w:pPr>
            <w:r>
              <w:t xml:space="preserve">Landing Feature / Candidate Site</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r>
      <w:tr>
        <w:tc>
          <w:tcPr/>
          <w:p>
            <w:pPr>
              <w:pStyle w:val="Compact"/>
              <w:jc w:val="left"/>
            </w:pPr>
            <w:r>
              <w:rPr>
                <w:b/>
                <w:bCs/>
              </w:rPr>
              <w:t xml:space="preserve">Artemis</w:t>
            </w:r>
          </w:p>
        </w:tc>
        <w:tc>
          <w:tcPr/>
          <w:p>
            <w:pPr>
              <w:pStyle w:val="Compact"/>
              <w:jc w:val="left"/>
            </w:pPr>
            <w:r>
              <w:t xml:space="preserve">Haworth Crater Rim</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Faustini Rim A</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2</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1</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Gerlache-Kocher Massif</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Malapert Massif</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2</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1</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 Extension</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Amundsen Rim</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Leibnitz Beta Plateau</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Peak Near Shackleton</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r>
    </w:tbl>
    <w:p>
      <w:pPr>
        <w:pStyle w:val="BodyText"/>
      </w:pPr>
      <w:r>
        <w:t xml:space="preserve">Yet, establishing that near-null magnetic fields physically exist on the Moon (Core Concept 1) exposes a major experimental pitfall: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[12,20].</w:t>
      </w:r>
    </w:p>
    <w:p>
      <w:pPr>
        <w:pStyle w:val="BodyText"/>
      </w:pPr>
      <w:r>
        <w:t xml:space="preserve">Without meticulous sample-level magnetic vector logging and magnetic cleanliness protocols, spacecraft avionics can inadvertently bathe the specimens in static or alternating fields that equal or exceed the terrestrial geomagnetic field. Such uncontrolled stray fields inadvertently mask the lunar hypomagnetic environment, compromising the scientific integrity of flight investigations [12,21].</w:t>
      </w:r>
    </w:p>
    <w:p>
      <w:r>
        <w:pict>
          <v:rect style="width:0;height:1.5pt" o:hralign="center" o:hrstd="t" o:hr="t"/>
        </w:pict>
      </w:r>
    </w:p>
    <w:bookmarkEnd w:id="14"/>
    <w:bookmarkStart w:id="21" w:name="X91dcc69f4ee66fdadbfb89532eed46c4adf9c01"/>
    <w:p>
      <w:pPr>
        <w:pStyle w:val="Heading2"/>
      </w:pPr>
      <w:r>
        <w:t xml:space="preserve">2.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[11,13,22]. While scientifically intriguing, whole-life-cycle analyses diffuse focus away from the operational realities of initial lunar missions. Payloads such as LEAF on Artemis III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[5,23].</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[24,25].</w:t>
      </w:r>
    </w:p>
    <w:p>
      <w:pPr>
        <w:pStyle w:val="BodyText"/>
      </w:pPr>
      <w:r>
        <w:drawing>
          <wp:inline>
            <wp:extent cx="5334000" cy="4402537"/>
            <wp:effectExtent b="0" l="0" r="0" t="0"/>
            <wp:docPr descr="Figure 2" title="" id="16" name="Picture"/>
            <a:graphic>
              <a:graphicData uri="http://schemas.openxmlformats.org/drawingml/2006/picture">
                <pic:pic>
                  <pic:nvPicPr>
                    <pic:cNvPr descr="/Users/drb_laptop/Documents/NMF_review/figures/Fig2_first_5_days_germination_pigments.png" id="17" name="Picture"/>
                    <pic:cNvPicPr>
                      <a:picLocks noChangeArrowheads="1" noChangeAspect="1"/>
                    </pic:cNvPicPr>
                  </pic:nvPicPr>
                  <pic:blipFill>
                    <a:blip r:embed="rId15"/>
                    <a:stretch>
                      <a:fillRect/>
                    </a:stretch>
                  </pic:blipFill>
                  <pic:spPr bwMode="auto">
                    <a:xfrm>
                      <a:off x="0" y="0"/>
                      <a:ext cx="5334000" cy="4402537"/>
                    </a:xfrm>
                    <a:prstGeom prst="rect">
                      <a:avLst/>
                    </a:prstGeom>
                    <a:noFill/>
                    <a:ln w="9525">
                      <a:noFill/>
                      <a:headEnd/>
                      <a:tailEnd/>
                    </a:ln>
                  </pic:spPr>
                </pic:pic>
              </a:graphicData>
            </a:graphic>
          </wp:inline>
        </w:drawing>
      </w:r>
      <w:r>
        <w:t xml:space="preserve"> </w:t>
      </w:r>
      <w:r>
        <w:rPr>
          <w:b/>
          <w:bCs/>
        </w:rPr>
        <w:t xml:space="preserve">Figure 2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Concepts 2, 3, and 4 are mapped to their specific developmental phases.</w:t>
      </w:r>
      <w:r>
        <w:br/>
      </w:r>
      <w:r>
        <w:rPr>
          <w:b/>
          <w:bCs/>
        </w:rPr>
        <w:t xml:space="preserve">(b) Seed Germination Capacity and Kinetics:</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Hypomagnetic exposure causes a 20% decline in final germination capacity (Core Concept 2: total viable seedling count #) and a 16-hour emergence lag (</w:t>
      </w:r>
      <m:oMath>
        <m:r>
          <m:rPr>
            <m:sty m:val="p"/>
          </m:rPr>
          <m:t>Δ</m:t>
        </m:r>
        <m:sSub>
          <m:e>
            <m:r>
              <m:t>t</m:t>
            </m:r>
          </m:e>
          <m:sub>
            <m:r>
              <m:t>50</m:t>
            </m:r>
          </m:sub>
        </m:sSub>
      </m:oMath>
      <w:r>
        <w:t xml:space="preserve">, Core Concept 3: germination velocity).</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18" w:name="X8bd9cdd99fdfda0b8d3c60a110b5b3dbaa16298"/>
    <w:p>
      <w:pPr>
        <w:pStyle w:val="Heading3"/>
      </w:pPr>
      <w:r>
        <w:t xml:space="preserve">2.1 Core Concept 2: Null Magnetic Fields Alter Germination Capacity (# of Germinating Seedlings)</w:t>
      </w:r>
    </w:p>
    <w:p>
      <w:pPr>
        <w:pStyle w:val="FirstParagraph"/>
      </w:pPr>
      <w:r>
        <w:t xml:space="preserve">The initial developmental metric of any agricultural cycle is germination capacity: the total fraction of sown seeds that successfully break dormancy, complete imbibition, and emerge through the seed coat [26]. Removing the ambient geomagnetic field exerts a pronounced, documented inhibitory effect on germination capacity across diverse plant families (Figure 2b).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[27–31]. In wheat seedlings subjected to simulated lunar magnetic conditions (</w:t>
      </w:r>
      <m:oMath>
        <m:r>
          <m:rPr>
            <m:sty m:val="p"/>
          </m:rPr>
          <m:t>&lt;</m:t>
        </m:r>
        <m:r>
          <m:t>5</m:t>
        </m:r>
        <m:r>
          <m:rPr>
            <m:nor/>
            <m:sty m:val="p"/>
          </m:rPr>
          <m:t> nT</m:t>
        </m:r>
      </m:oMath>
      <w:r>
        <w:t xml:space="preserve">), Tang et al. [32]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[28,33].</w:t>
      </w:r>
    </w:p>
    <w:p>
      <w:pPr>
        <w:pStyle w:val="BodyText"/>
      </w:pPr>
      <w:r>
        <w:t xml:space="preserve">Mechanistically, the earliest events of imbibition involve rapid passive water influx followed by active cytoplasmic reorganization, membrane repair, and the rehydration of mitochondrial cristae [34]. Near-null magnetic field exposure alters aquaporin channel gating kinetics and perturbs the mobilization of seed storage reserves [13,35]. Furthermore, seed dormancy release is strictly governed by the antagonistic equilibrium between abscisic acid (ABA, which maintains dormancy) and gibberellic acid (GA, which promotes germination) [26]. Xu et al. [36,37]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20% loss in germination capacity represents an unacceptable penalty on mission resource efficiency.</w:t>
      </w:r>
    </w:p>
    <w:bookmarkEnd w:id="18"/>
    <w:bookmarkStart w:id="19" w:name="X3028596fe5146ab4ae7350086ef74a7060951e3"/>
    <w:p>
      <w:pPr>
        <w:pStyle w:val="Heading3"/>
      </w:pPr>
      <w:r>
        <w:t xml:space="preserve">2.2 Core Concept 3: Null Magnetic Fields Alter Germination Speed, Impacting Potential Material Yields</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time required for 50% of the seed population to emerge)</w:t>
      </w:r>
      <w:r>
        <w:t xml:space="preserve"> </w:t>
      </w:r>
      <w:r>
        <w:t xml:space="preserve">and the subsequent speed of seedling elongation are substantially depressed under near-null fields (Figure 2b,c).</w:t>
      </w:r>
    </w:p>
    <w:p>
      <w:pPr>
        <w:pStyle w:val="BodyText"/>
      </w:pPr>
      <w:r>
        <w:t xml:space="preserve">Controlled ground experiments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[27,29,38].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[38,39]. Cellular analysis by Narayana et al. [38] identified a sharp reduction in root apical meristem cell proliferation, accompanied by an abnormal redistribution of the PIN2 polar auxin efflux carrier. In maize, Fiorillo et al. [40]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[5,41].</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w:t>
      </w:r>
      <w:r>
        <w:t xml:space="preserve"> </w:t>
      </w:r>
      <m:oMath>
        <m:r>
          <m:t>25</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(Figure 2c). For spaceflight life-support scheduling, such delays disrupt continuous nutritional cropping cycles and diminish daily crew dietary supplementation [42].</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19"/>
    <w:bookmarkStart w:id="20" w:name="X97eefc28b93c669b1cf7a0fec97f5380bc56c63"/>
    <w:p>
      <w:pPr>
        <w:pStyle w:val="Heading3"/>
      </w:pPr>
      <w:r>
        <w:t xml:space="preserve">2.3 Core Concept 4: Null Magnetic Fields Affect Genes Involved in Pigment Formation</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[24,25].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[43,44].</w:t>
      </w:r>
    </w:p>
    <w:p>
      <w:pPr>
        <w:pStyle w:val="BodyText"/>
      </w:pPr>
      <w:r>
        <w:rPr>
          <w:b/>
          <w:bCs/>
        </w:rPr>
        <w:t xml:space="preserve">Hypomagnetic fields systematically impair pigment accumulation and downregulate the genetic networks governing plastid greening</w:t>
      </w:r>
      <w:r>
        <w:t xml:space="preserve"> </w:t>
      </w:r>
      <w:r>
        <w:t xml:space="preserve">(Figure 2d):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[32]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[32,45].</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[13,46].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[47]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[48].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[48,49].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[50–52].</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[53]. Islam et al. [54] and Narayana et al. [55]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20"/>
    <w:bookmarkEnd w:id="21"/>
    <w:bookmarkStart w:id="28" w:name="X02a9b06c6b4373f75ab42fb7113307e65fb3bd2"/>
    <w:p>
      <w:pPr>
        <w:pStyle w:val="Heading2"/>
      </w:pPr>
      <w:r>
        <w:t xml:space="preserve">3. Quantum Molecular Biology of the 0–5 Day Window: The Quantum Biology Atlas Perspective</w:t>
      </w:r>
    </w:p>
    <w:p>
      <w:pPr>
        <w:pStyle w:val="FirstParagraph"/>
      </w:pPr>
      <w:r>
        <w:t xml:space="preserve">To evaluate whether hypomagnetic phenotypes reflect specific biophysical magnetoreceptors or general downstream metabolic perturbation, mechanistic hypotheses must be stratified against physical laws and empirical evidence. We integrate the formal evidentiary framework developed in the</w:t>
      </w:r>
      <w:r>
        <w:t xml:space="preserve"> </w:t>
      </w:r>
      <w:r>
        <w:rPr>
          <w:b/>
          <w:bCs/>
        </w:rPr>
        <w:t xml:space="preserve">Quantum Biology Atlas</w:t>
      </w:r>
      <w:r>
        <w:t xml:space="preserve"> </w:t>
      </w:r>
      <w:r>
        <w:t xml:space="preserve">[56] (Figure 3).</w:t>
      </w:r>
    </w:p>
    <w:p>
      <w:pPr>
        <w:pStyle w:val="BodyText"/>
      </w:pPr>
      <w:r>
        <w:drawing>
          <wp:inline>
            <wp:extent cx="5334000" cy="4485820"/>
            <wp:effectExtent b="0" l="0" r="0" t="0"/>
            <wp:docPr descr="Figure 3" title="" id="23" name="Picture"/>
            <a:graphic>
              <a:graphicData uri="http://schemas.openxmlformats.org/drawingml/2006/picture">
                <pic:pic>
                  <pic:nvPicPr>
                    <pic:cNvPr descr="/Users/drb_laptop/Documents/NMF_review/figures/Fig3_quantum_biology_0to5day_pathways.png" id="24" name="Picture"/>
                    <pic:cNvPicPr>
                      <a:picLocks noChangeArrowheads="1" noChangeAspect="1"/>
                    </pic:cNvPicPr>
                  </pic:nvPicPr>
                  <pic:blipFill>
                    <a:blip r:embed="rId22"/>
                    <a:stretch>
                      <a:fillRect/>
                    </a:stretch>
                  </pic:blipFill>
                  <pic:spPr bwMode="auto">
                    <a:xfrm>
                      <a:off x="0" y="0"/>
                      <a:ext cx="5334000" cy="4485820"/>
                    </a:xfrm>
                    <a:prstGeom prst="rect">
                      <a:avLst/>
                    </a:prstGeom>
                    <a:noFill/>
                    <a:ln w="9525">
                      <a:noFill/>
                      <a:headEnd/>
                      <a:tailEnd/>
                    </a:ln>
                  </pic:spPr>
                </pic:pic>
              </a:graphicData>
            </a:graphic>
          </wp:inline>
        </w:drawing>
      </w:r>
      <w:r>
        <w:t xml:space="preserve"> </w:t>
      </w:r>
      <w:r>
        <w:rPr>
          <w:b/>
          <w:bCs/>
        </w:rPr>
        <w:t xml:space="preserve">Figure 3 | Quantum molecular biology of early seedling establishment (Days 0–5).</w:t>
      </w:r>
      <w:r>
        <w:br/>
      </w:r>
      <w:r>
        <w:rPr>
          <w:b/>
          <w:bCs/>
        </w:rPr>
        <w:t xml:space="preserve">(a) QBM-06 Pathway Map: Seed Germination Before Photosynthesis:</w:t>
      </w:r>
      <w:r>
        <w:t xml:space="preserve"> </w:t>
      </w:r>
      <w:r>
        <w:t xml:space="preserve">Re-authoring of the 0–72 h heterotrophic energy bottleneck from the Quantum Biology Atlas [56]. Four horizontal lanes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the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window [T2], Cytochrome</w:t>
      </w:r>
      <w:r>
        <w:t xml:space="preserve"> </w:t>
      </w:r>
      <m:oMath>
        <m:r>
          <m:t>c</m:t>
        </m:r>
      </m:oMath>
      <w:r>
        <w:t xml:space="preserve"> </w:t>
      </w:r>
      <w:r>
        <w:t xml:space="preserve">release modulating ABI4/ABA retrograde signaling [T4]); and Organism Endpoint (Radicle Emergence at 0–72 h).</w:t>
      </w:r>
      <w:r>
        <w:br/>
      </w:r>
      <w:r>
        <w:rPr>
          <w:b/>
          <w:bCs/>
        </w:rPr>
        <w:t xml:space="preserve">(b) Evidentiary Tier Hierarchy &amp; Biophysical Timescale Constraints:</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w:t>
      </w:r>
      <w:r>
        <w:t xml:space="preserve"> </w:t>
      </w:r>
      <m:oMath>
        <m:r>
          <m:t>50</m:t>
        </m:r>
        <m:r>
          <m:t> </m:t>
        </m:r>
        <m:r>
          <m:t>μ</m:t>
        </m:r>
        <m:r>
          <m:rPr>
            <m:nor/>
            <m:sty m:val="p"/>
          </m:rPr>
          <m:t>T</m:t>
        </m:r>
      </m:oMath>
      <w:r>
        <w:t xml:space="preserve"> </w:t>
      </w:r>
      <w:r>
        <w:t xml:space="preserve">GMF (</w:t>
      </w:r>
      <m:oMath>
        <m:sSub>
          <m:e>
            <m:r>
              <m:t>ν</m:t>
            </m:r>
          </m:e>
          <m:sub>
            <m:r>
              <m:t>L</m:t>
            </m:r>
          </m:sub>
        </m:sSub>
        <m:r>
          <m:rPr>
            <m:sty m:val="p"/>
          </m:rPr>
          <m:t>≈</m:t>
        </m:r>
        <m:r>
          <m:t>1.4</m:t>
        </m:r>
        <m:r>
          <m:rPr>
            <m:nor/>
            <m:sty m:val="p"/>
          </m:rPr>
          <m:t> MHz</m:t>
        </m:r>
      </m:oMath>
      <w:r>
        <w:t xml:space="preserve">,</w:t>
      </w:r>
      <w:r>
        <w:t xml:space="preserve"> </w:t>
      </w:r>
      <m:oMath>
        <m:sSub>
          <m:e>
            <m:r>
              <m:t>τ</m:t>
            </m:r>
          </m:e>
          <m:sub>
            <m:r>
              <m:t>L</m:t>
            </m:r>
          </m:sub>
        </m:sSub>
        <m:r>
          <m:rPr>
            <m:sty m:val="p"/>
          </m:rPr>
          <m:t>≈</m:t>
        </m:r>
        <m:r>
          <m:t>714</m:t>
        </m:r>
        <m:r>
          <m:rPr>
            <m:nor/>
            <m:sty m:val="p"/>
          </m:rPr>
          <m:t> ns</m:t>
        </m:r>
      </m:oMath>
      <w:r>
        <w:t xml:space="preserve">) matches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HMF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disabling magnetic modulation.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25" w:name="X3aaa2bfff3eec50bb0b3254979f83987963da5e"/>
    <w:p>
      <w:pPr>
        <w:pStyle w:val="Heading3"/>
      </w:pPr>
      <w:r>
        <w:t xml:space="preserve">3.1 The 0–72 h Heterotrophic Energy Route (QBM-06)</w:t>
      </w:r>
    </w:p>
    <w:p>
      <w:pPr>
        <w:pStyle w:val="FirstParagraph"/>
      </w:pPr>
      <w:r>
        <w:t xml:space="preserve">During the first 72 hours post-imbibition, the plant embryo possesses no functional chloroplasts. Energy production relies entirely on catabolizing stored lipids (triacylglycerols, TAGs) stored in seed oil bodies (Figure 3a):</w:t>
      </w:r>
      <w:r>
        <w:t xml:space="preserve"> </w:t>
      </w:r>
      <w:r>
        <w:t xml:space="preserve">1.</w:t>
      </w:r>
      <w:r>
        <w:t xml:space="preserve"> </w:t>
      </w:r>
      <w:r>
        <w:rPr>
          <w:b/>
          <w:bCs/>
        </w:rPr>
        <w:t xml:space="preserve">Peroxisomal Reserve Mobilization:</w:t>
      </w:r>
      <w:r>
        <w:t xml:space="preserve"> </w:t>
      </w:r>
      <w:r>
        <w:t xml:space="preserve">SUGAR-DEPENDENT1 (SDP1, [T4 Context])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[T3 Plausible]). Acetyl-CoA units are processed via the glyoxylate cycle (isocitrate lyase [</w:t>
      </w:r>
      <w:r>
        <w:rPr>
          <w:i/>
          <w:iCs/>
        </w:rPr>
        <w:t xml:space="preserve">ICL</w:t>
      </w:r>
      <w:r>
        <w:t xml:space="preserve">] and malate synthase [</w:t>
      </w:r>
      <w:r>
        <w:rPr>
          <w:i/>
          <w:iCs/>
        </w:rPr>
        <w:t xml:space="preserve">MLS</w:t>
      </w:r>
      <w:r>
        <w:t xml:space="preserve">], [T4 Context]) into succinate and malate [56].</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[T2 Inferred])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[T3 Plausible]) and Cytochrome</w:t>
      </w:r>
      <w:r>
        <w:t xml:space="preserve"> </w:t>
      </w:r>
      <m:oMath>
        <m:r>
          <m:t>c</m:t>
        </m:r>
      </m:oMath>
      <w:r>
        <w:t xml:space="preserve"> </w:t>
      </w:r>
      <w:r>
        <w:t xml:space="preserve">([T4 Context]) 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[T2 Inferred]), generating the proton-motive force driving ATP synthase [56,57].</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([T3 Plausible])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25"/>
    <w:bookmarkStart w:id="26" w:name="X47189a6742d435d1b399e4072d9cb6d7d351068"/>
    <w:p>
      <w:pPr>
        <w:pStyle w:val="Heading3"/>
      </w:pPr>
      <w:r>
        <w:t xml:space="preserve">3.2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[56] (Figure 3b):</w:t>
      </w:r>
      <w:r>
        <w:t xml:space="preserve"> </w:t>
      </w:r>
      <w:r>
        <w:t xml:space="preserve">-</w:t>
      </w:r>
      <w:r>
        <w:t xml:space="preserve"> </w:t>
      </w:r>
      <w:r>
        <w:rPr>
          <w:b/>
          <w:bCs/>
        </w:rPr>
        <w:t xml:space="preserve">Tier 1 (Demonstrated Field Effect, Solid Black Border):</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[50,58,59].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[50,51].</w:t>
      </w:r>
      <w:r>
        <w:t xml:space="preserve"> </w:t>
      </w:r>
      <w:r>
        <w:t xml:space="preserve">-</w:t>
      </w:r>
      <w:r>
        <w:t xml:space="preserve"> </w:t>
      </w:r>
      <w:r>
        <w:rPr>
          <w:b/>
          <w:bCs/>
        </w:rPr>
        <w:t xml:space="preserve">Tier 2 (Inferred from Complex/Process, Solid Blue Border):</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[32,60]; (2) Mitochondrial Alternative Oxidase (AOX) respiratory buffering [56,61]; and (3) Ferritin (</w:t>
      </w:r>
      <w:r>
        <w:rPr>
          <w:i/>
          <w:iCs/>
        </w:rPr>
        <w:t xml:space="preserve">AtFer1–4</w:t>
      </w:r>
      <w:r>
        <w:t xml:space="preserve">) iron sequestration [54,55].</w:t>
      </w:r>
      <w:r>
        <w:t xml:space="preserve"> </w:t>
      </w:r>
      <w:r>
        <w:t xml:space="preserve">-</w:t>
      </w:r>
      <w:r>
        <w:t xml:space="preserve"> </w:t>
      </w:r>
      <w:r>
        <w:rPr>
          <w:b/>
          <w:bCs/>
        </w:rPr>
        <w:t xml:space="preserve">Tier 3 (Plausible Physical Route, Dashed Vermillion Border):</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[56,62].</w:t>
      </w:r>
      <w:r>
        <w:t xml:space="preserve"> </w:t>
      </w:r>
      <w:r>
        <w:t xml:space="preserve">-</w:t>
      </w:r>
      <w:r>
        <w:t xml:space="preserve"> </w:t>
      </w:r>
      <w:r>
        <w:rPr>
          <w:b/>
          <w:bCs/>
        </w:rPr>
        <w:t xml:space="preserve">Tier 4 (Contextual Scaffold, Hairline Grey Border):</w:t>
      </w:r>
      <w:r>
        <w:t xml:space="preserve"> </w:t>
      </w:r>
      <w:r>
        <w:t xml:space="preserve">Structural proteins and metabolic enzymes that lack direct quantum magnetosensitivity but form the requisite physical scaffold for electron transfer.</w:t>
      </w:r>
    </w:p>
    <w:bookmarkEnd w:id="26"/>
    <w:bookmarkStart w:id="27" w:name="X23607cf7f83ac68f3fa7e48facb8451bd879e21"/>
    <w:p>
      <w:pPr>
        <w:pStyle w:val="Heading3"/>
      </w:pPr>
      <w:r>
        <w:t xml:space="preserve">3.3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[63].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[12].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[64].</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[65] and Bujnowicz et al. [66]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[12,56].</w:t>
      </w:r>
    </w:p>
    <w:p>
      <w:r>
        <w:pict>
          <v:rect style="width:0;height:1.5pt" o:hralign="center" o:hrstd="t" o:hr="t"/>
        </w:pict>
      </w:r>
    </w:p>
    <w:bookmarkEnd w:id="27"/>
    <w:bookmarkEnd w:id="28"/>
    <w:bookmarkStart w:id="35" w:name="X85037b07a43ba8a6ca07dd5271da38371d3a519"/>
    <w:p>
      <w:pPr>
        <w:pStyle w:val="Heading2"/>
      </w:pPr>
      <w:r>
        <w:t xml:space="preserve">4.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[7,8,67] (Figure 4a).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(Core Concept 5).</w:t>
      </w:r>
    </w:p>
    <w:p>
      <w:pPr>
        <w:pStyle w:val="BodyText"/>
      </w:pPr>
      <w:r>
        <w:drawing>
          <wp:inline>
            <wp:extent cx="5334000" cy="4331025"/>
            <wp:effectExtent b="0" l="0" r="0" t="0"/>
            <wp:docPr descr="Figure 4" title="" id="30" name="Picture"/>
            <a:graphic>
              <a:graphicData uri="http://schemas.openxmlformats.org/drawingml/2006/picture">
                <pic:pic>
                  <pic:nvPicPr>
                    <pic:cNvPr descr="/Users/drb_laptop/Documents/NMF_review/figures/Fig4_multistressor_co2_o2_ros_nexus.png" id="31" name="Picture"/>
                    <pic:cNvPicPr>
                      <a:picLocks noChangeArrowheads="1" noChangeAspect="1"/>
                    </pic:cNvPicPr>
                  </pic:nvPicPr>
                  <pic:blipFill>
                    <a:blip r:embed="rId29"/>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4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[68]), linking plant bioenergetics directly to crew health and food security.</w:t>
      </w:r>
    </w:p>
    <w:bookmarkStart w:id="32" w:name="exploration-atmosphere-the-gas-balance"/>
    <w:p>
      <w:pPr>
        <w:pStyle w:val="Heading3"/>
      </w:pPr>
      <w:r>
        <w:t xml:space="preserve">4.1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[8,67].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[41,69].</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[61]:</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[61,70].</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[61,71].</w:t>
      </w:r>
    </w:p>
    <w:bookmarkEnd w:id="32"/>
    <w:bookmarkStart w:id="33" w:name="Xb39b9264bedb3c8a3f94924d252feb42e93ab4f"/>
    <w:p>
      <w:pPr>
        <w:pStyle w:val="Heading3"/>
      </w:pPr>
      <w:r>
        <w:t xml:space="preserve">4.2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[72,73].</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[74]</w:t>
      </w:r>
      <w:r>
        <w:t xml:space="preserve"> </w:t>
      </w:r>
      <w:r>
        <w:t xml:space="preserve">(~30 nT vs. GMF, 10 min–96 h) via the Quantum Biology Atlas overlap pipeline [56] (Figure 4c).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33"/>
    <w:bookmarkStart w:id="34" w:name="X2a1c2c32e3ea60f58103c74ede25849cd4b1ed2"/>
    <w:p>
      <w:pPr>
        <w:pStyle w:val="Heading3"/>
      </w:pPr>
      <w:r>
        <w:t xml:space="preserve">4.3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[68,75] (Figure 4d).</w:t>
      </w:r>
    </w:p>
    <w:p>
      <w:pPr>
        <w:pStyle w:val="BodyText"/>
      </w:pPr>
      <w:r>
        <w:t xml:space="preserve">In a comprehensive multi-omics analysis of 59 astronauts and NASA Twins Study data, Afshinnekoo et al. [68]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[68,76].</w:t>
      </w:r>
    </w:p>
    <w:p>
      <w:pPr>
        <w:pStyle w:val="BodyText"/>
      </w:pPr>
      <w:r>
        <w:t xml:space="preserve">In mammalian cellular and rodent models, hypomagnetic field exposure exacerbates this mitochondrial decay: Mo et al. [77,78]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34"/>
    <w:bookmarkEnd w:id="35"/>
    <w:bookmarkStart w:id="43" w:name="X13ca5ee0b8c2d58241351f068321cebef7777a7"/>
    <w:p>
      <w:pPr>
        <w:pStyle w:val="Heading2"/>
      </w:pPr>
      <w:r>
        <w:t xml:space="preserve">5. Methodological Standards, Causal Rescue &amp; Artemis Flight Risk-Retirement Framework</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[12,21,79]. To transition lunar magnetobiology into an operational engineering discipline for Artemis payloads, we formulate a standardized, four-stage flight qualification and causal risk-retirement pipeline (Figure 5).</w:t>
      </w:r>
    </w:p>
    <w:p>
      <w:pPr>
        <w:pStyle w:val="BodyText"/>
      </w:pPr>
      <w:r>
        <w:drawing>
          <wp:inline>
            <wp:extent cx="5334000" cy="4329556"/>
            <wp:effectExtent b="0" l="0" r="0" t="0"/>
            <wp:docPr descr="Figure 5" title="" id="37" name="Picture"/>
            <a:graphic>
              <a:graphicData uri="http://schemas.openxmlformats.org/drawingml/2006/picture">
                <pic:pic>
                  <pic:nvPicPr>
                    <pic:cNvPr descr="/Users/drb_laptop/Documents/NMF_review/figures/Fig5_flight_validation_risk_pipeline.png" id="38" name="Picture"/>
                    <pic:cNvPicPr>
                      <a:picLocks noChangeArrowheads="1" noChangeAspect="1"/>
                    </pic:cNvPicPr>
                  </pic:nvPicPr>
                  <pic:blipFill>
                    <a:blip r:embed="rId36"/>
                    <a:stretch>
                      <a:fillRect/>
                    </a:stretch>
                  </pic:blipFill>
                  <pic:spPr bwMode="auto">
                    <a:xfrm>
                      <a:off x="0" y="0"/>
                      <a:ext cx="5334000" cy="4329556"/>
                    </a:xfrm>
                    <a:prstGeom prst="rect">
                      <a:avLst/>
                    </a:prstGeom>
                    <a:noFill/>
                    <a:ln w="9525">
                      <a:noFill/>
                      <a:headEnd/>
                      <a:tailEnd/>
                    </a:ln>
                  </pic:spPr>
                </pic:pic>
              </a:graphicData>
            </a:graphic>
          </wp:inline>
        </w:drawing>
      </w:r>
      <w:r>
        <w:t xml:space="preserve"> </w:t>
      </w:r>
      <w:r>
        <w:rPr>
          <w:b/>
          <w:bCs/>
        </w:rPr>
        <w:t xml:space="preserve">Figure 5 | Ground-validation standards, causal rescue, and Artemis flight decision pipeline.</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(Bifilar Sham Control, carrying matched current through opposing bifilar windings to cancel the magnetic field while identically matching ohmic heating, vibration, and EMI).</w:t>
      </w:r>
      <w:r>
        <w:br/>
      </w:r>
      <w:r>
        <w:rPr>
          <w:b/>
          <w:bCs/>
        </w:rPr>
        <w:t xml:space="preserve">(b) Active Causal Rescue Validation Protocol:</w:t>
      </w:r>
      <w:r>
        <w:t xml:space="preserve"> </w:t>
      </w:r>
      <w:r>
        <w:t xml:space="preserve">Three-step causal proof inside magnetic shielding. Step 1: Hypomagnetic exposure (</w:t>
      </w:r>
      <m:oMath>
        <m:r>
          <m:rPr>
            <m:sty m:val="p"/>
          </m:rPr>
          <m:t>&lt;</m:t>
        </m:r>
        <m:r>
          <m:t>10</m:t>
        </m:r>
        <m:r>
          <m:rPr>
            <m:nor/>
            <m:sty m:val="p"/>
          </m:rPr>
          <m:t> nT</m:t>
        </m:r>
      </m:oMath>
      <w:r>
        <w:t xml:space="preserve">) elicits the germination lag and chlorosis phenotype. Step 2: Triaxial Helmholtz coils re-apply a calibrated Earth-like</w:t>
      </w:r>
      <w:r>
        <w:t xml:space="preserve"> </w:t>
      </w:r>
      <m:oMath>
        <m:r>
          <m:t>45</m:t>
        </m:r>
        <m:r>
          <m:t> </m:t>
        </m:r>
        <m:r>
          <m:t>μ</m:t>
        </m:r>
        <m:r>
          <m:rPr>
            <m:nor/>
            <m:sty m:val="p"/>
          </m:rPr>
          <m:t>T</m:t>
        </m:r>
      </m:oMath>
      <w:r>
        <w:t xml:space="preserve"> </w:t>
      </w:r>
      <w:r>
        <w:t xml:space="preserve">vector directly inside the shield. Step 3: Complete biological phenotype reversal to geomagnetic baseline formally proves magnetic causality, definitively ruling out enclosure, microclimatic, ethylene, or outgassing artifacts.</w:t>
      </w:r>
      <w:r>
        <w:br/>
      </w:r>
      <w:r>
        <w:rPr>
          <w:b/>
          <w:bCs/>
        </w:rPr>
        <w:t xml:space="preserve">(c) Predeclared Flight Decision Framework for Lunar Agriculture:</w:t>
      </w:r>
      <w:r>
        <w:t xml:space="preserve"> </w:t>
      </w:r>
      <w:r>
        <w:t xml:space="preserve">Operational gates translating empirical ground and flight telemetry into mission decisions.</w:t>
      </w:r>
      <w:r>
        <w:t xml:space="preserve"> </w:t>
      </w:r>
      <w:r>
        <w:rPr>
          <w:b/>
          <w:bCs/>
        </w:rPr>
        <w:t xml:space="preserve">Green Gate (Nominal):</w:t>
      </w:r>
      <w:r>
        <w:t xml:space="preserve"> </w:t>
      </w:r>
      <w:r>
        <w:t xml:space="preserve">Germination drop</w:t>
      </w:r>
      <w:r>
        <w:t xml:space="preserve"> </w:t>
      </w:r>
      <m:oMath>
        <m:r>
          <m:rPr>
            <m:sty m:val="p"/>
          </m:rPr>
          <m:t>&lt;</m:t>
        </m:r>
        <m:r>
          <m:t>5</m:t>
        </m:r>
        <m:r>
          <m:rPr>
            <m:sty m:val="p"/>
          </m:rPr>
          <m:t>%</m:t>
        </m:r>
      </m:oMath>
      <w:r>
        <w:t xml:space="preserve">,</w:t>
      </w:r>
      <w:r>
        <w:t xml:space="preserve"> </w:t>
      </w:r>
      <m:oMath>
        <m:r>
          <m:rPr>
            <m:sty m:val="p"/>
          </m:rPr>
          <m:t>Δ</m:t>
        </m:r>
        <m:sSub>
          <m:e>
            <m:r>
              <m:t>t</m:t>
            </m:r>
          </m:e>
          <m:sub>
            <m:r>
              <m:t>50</m:t>
            </m:r>
          </m:sub>
        </m:sSub>
        <m:r>
          <m:rPr>
            <m:sty m:val="p"/>
          </m:rPr>
          <m:t>&lt;</m:t>
        </m:r>
        <m:r>
          <m:t>6</m:t>
        </m:r>
        <m:r>
          <m:rPr>
            <m:nor/>
            <m:sty m:val="p"/>
          </m:rPr>
          <m:t> h</m:t>
        </m:r>
      </m:oMath>
      <w:r>
        <w:t xml:space="preserve">, nominal</w:t>
      </w:r>
      <w:r>
        <w:t xml:space="preserve"> </w:t>
      </w:r>
      <m:oMath>
        <m:sSub>
          <m:e>
            <m:r>
              <m:t>F</m:t>
            </m:r>
          </m:e>
          <m:sub>
            <m:r>
              <m:t>v</m:t>
            </m:r>
          </m:sub>
        </m:sSub>
        <m:r>
          <m:rPr>
            <m:sty m:val="p"/>
          </m:rPr>
          <m:t>/</m:t>
        </m:r>
        <m:sSub>
          <m:e>
            <m:r>
              <m:t>F</m:t>
            </m:r>
          </m:e>
          <m:sub>
            <m:r>
              <m:t>m</m:t>
            </m:r>
          </m:sub>
        </m:sSub>
      </m:oMath>
      <w:r>
        <w:t xml:space="preserve">; retire magnetic risk from critical path, proceed with standard flight ops.</w:t>
      </w:r>
      <w:r>
        <w:t xml:space="preserve"> </w:t>
      </w:r>
      <w:r>
        <w:rPr>
          <w:b/>
          <w:bCs/>
        </w:rPr>
        <w:t xml:space="preserve">Amber Gate (Operational Shift):</w:t>
      </w:r>
      <w:r>
        <w:t xml:space="preserve"> </w:t>
      </w:r>
      <w:r>
        <w:t xml:space="preserve">Germination drop</w:t>
      </w:r>
      <w:r>
        <w:t xml:space="preserve"> </w:t>
      </w:r>
      <m:oMath>
        <m:r>
          <m:t>5</m:t>
        </m:r>
        <m:r>
          <m:rPr>
            <m:nor/>
            <m:sty m:val="p"/>
          </m:rPr>
          <m:t>–</m:t>
        </m:r>
        <m:r>
          <m:t>20</m:t>
        </m:r>
        <m:r>
          <m:rPr>
            <m:sty m:val="p"/>
          </m:rPr>
          <m:t>%</m:t>
        </m:r>
      </m:oMath>
      <w:r>
        <w:t xml:space="preserve">,</w:t>
      </w:r>
      <w:r>
        <w:t xml:space="preserve"> </w:t>
      </w:r>
      <m:oMath>
        <m:r>
          <m:rPr>
            <m:sty m:val="p"/>
          </m:rPr>
          <m:t>Δ</m:t>
        </m:r>
        <m:sSub>
          <m:e>
            <m:r>
              <m:t>t</m:t>
            </m:r>
          </m:e>
          <m:sub>
            <m:r>
              <m:t>50</m:t>
            </m:r>
          </m:sub>
        </m:sSub>
        <m:r>
          <m:rPr>
            <m:sty m:val="p"/>
          </m:rPr>
          <m:t>=</m:t>
        </m:r>
        <m:r>
          <m:t>6</m:t>
        </m:r>
        <m:r>
          <m:rPr>
            <m:nor/>
            <m:sty m:val="p"/>
          </m:rPr>
          <m:t>–</m:t>
        </m:r>
        <m:r>
          <m:t>24</m:t>
        </m:r>
        <m:r>
          <m:rPr>
            <m:nor/>
            <m:sty m:val="p"/>
          </m:rPr>
          <m:t> h</m:t>
        </m:r>
      </m:oMath>
      <w:r>
        <w:t xml:space="preserve">,</w:t>
      </w:r>
      <w:r>
        <w:t xml:space="preserve"> </w:t>
      </w:r>
      <m:oMath>
        <m:r>
          <m:t>10</m:t>
        </m:r>
        <m:r>
          <m:rPr>
            <m:nor/>
            <m:sty m:val="p"/>
          </m:rPr>
          <m:t>–</m:t>
        </m:r>
        <m:r>
          <m:t>25</m:t>
        </m:r>
        <m:r>
          <m:rPr>
            <m:sty m:val="p"/>
          </m:rPr>
          <m:t>%</m:t>
        </m:r>
      </m:oMath>
      <w:r>
        <w:t xml:space="preserve"> </w:t>
      </w:r>
      <w:r>
        <w:t xml:space="preserve">biomass decline; increase seed sowing density by</w:t>
      </w:r>
      <w:r>
        <w:t xml:space="preserve"> </w:t>
      </w:r>
      <m:oMath>
        <m:r>
          <m:t>15</m:t>
        </m:r>
        <m:r>
          <m:rPr>
            <m:nor/>
            <m:sty m:val="p"/>
          </m:rPr>
          <m:t>–</m:t>
        </m:r>
        <m:r>
          <m:t>20</m:t>
        </m:r>
        <m:r>
          <m:rPr>
            <m:sty m:val="p"/>
          </m:rPr>
          <m:t>%</m:t>
        </m:r>
      </m:oMath>
      <w:r>
        <w:t xml:space="preserve">, extend pre-harvest growth duration, and boost blue-light ratio to stimulate HY5 pigment synthesis.</w:t>
      </w:r>
      <w:r>
        <w:t xml:space="preserve"> </w:t>
      </w:r>
      <w:r>
        <w:rPr>
          <w:b/>
          <w:bCs/>
        </w:rPr>
        <w:t xml:space="preserve">Red Gate (Hazard Mitigation):</w:t>
      </w:r>
      <w:r>
        <w:t xml:space="preserve"> </w:t>
      </w:r>
      <w:r>
        <w:t xml:space="preserve">Germination collapse</w:t>
      </w:r>
      <w:r>
        <w:t xml:space="preserve"> </w:t>
      </w:r>
      <m:oMath>
        <m:r>
          <m:rPr>
            <m:sty m:val="p"/>
          </m:rPr>
          <m:t>&gt;</m:t>
        </m:r>
        <m:r>
          <m:t>20</m:t>
        </m:r>
        <m:r>
          <m:rPr>
            <m:sty m:val="p"/>
          </m:rPr>
          <m:t>%</m:t>
        </m:r>
      </m:oMath>
      <w:r>
        <w:t xml:space="preserve">, severe emergence stall (</w:t>
      </w:r>
      <m:oMath>
        <m:r>
          <m:rPr>
            <m:sty m:val="p"/>
          </m:rPr>
          <m:t>Δ</m:t>
        </m:r>
        <m:sSub>
          <m:e>
            <m:r>
              <m:t>t</m:t>
            </m:r>
          </m:e>
          <m:sub>
            <m:r>
              <m:t>50</m:t>
            </m:r>
          </m:sub>
        </m:sSub>
        <m:r>
          <m:rPr>
            <m:sty m:val="p"/>
          </m:rPr>
          <m:t>&gt;</m:t>
        </m:r>
        <m:r>
          <m:t>24</m:t>
        </m:r>
        <m:r>
          <m:rPr>
            <m:nor/>
            <m:sty m:val="p"/>
          </m:rPr>
          <m:t> h</m:t>
        </m:r>
      </m:oMath>
      <w:r>
        <w:t xml:space="preserve">), severe ROS leak; mandate hardware mitigation (low-power active bias Helmholtz coils restoring</w:t>
      </w:r>
      <w:r>
        <w:t xml:space="preserve"> </w:t>
      </w:r>
      <m:oMath>
        <m:r>
          <m:t>40</m:t>
        </m:r>
        <m:r>
          <m:rPr>
            <m:nor/>
            <m:sty m:val="p"/>
          </m:rPr>
          <m:t>–</m:t>
        </m:r>
        <m:r>
          <m:t>50</m:t>
        </m:r>
        <m:r>
          <m:t> </m:t>
        </m:r>
        <m:r>
          <m:t>μ</m:t>
        </m:r>
        <m:r>
          <m:rPr>
            <m:nor/>
            <m:sty m:val="p"/>
          </m:rPr>
          <m:t>T</m:t>
        </m:r>
      </m:oMath>
      <w:r>
        <w:t xml:space="preserve">) or deploy stress-tolerant crop cultivars.</w:t>
      </w:r>
    </w:p>
    <w:bookmarkStart w:id="39" w:name="Xdbe44518c294fba7cd4990e44eaeb751a461984"/>
    <w:p>
      <w:pPr>
        <w:pStyle w:val="Heading3"/>
      </w:pPr>
      <w:r>
        <w:t xml:space="preserve">5.1 Stage 1: In Situ 3-Axis Vector Mapping and Environmental Parity</w:t>
      </w:r>
    </w:p>
    <w:p>
      <w:pPr>
        <w:pStyle w:val="FirstParagraph"/>
      </w:pPr>
      <w:r>
        <w:t xml:space="preserve">Flight payload chambers and ground simulation chambers must be equipped with miniature, calibrated 3-axis fluxgate or anisotropic magnetoresistive (AMR) magnetometers logging vector components (</w:t>
      </w:r>
      <m:oMath>
        <m:sSub>
          <m:e>
            <m:r>
              <m:t>B</m:t>
            </m:r>
          </m:e>
          <m:sub>
            <m:r>
              <m:t>x</m:t>
            </m:r>
          </m:sub>
        </m:sSub>
        <m:r>
          <m:rPr>
            <m:sty m:val="p"/>
          </m:rPr>
          <m:t>,</m:t>
        </m:r>
        <m:sSub>
          <m:e>
            <m:r>
              <m:t>B</m:t>
            </m:r>
          </m:e>
          <m:sub>
            <m:r>
              <m:t>y</m:t>
            </m:r>
          </m:sub>
        </m:sSub>
        <m:r>
          <m:rPr>
            <m:sty m:val="p"/>
          </m:rPr>
          <m:t>,</m:t>
        </m:r>
        <m:sSub>
          <m:e>
            <m:r>
              <m:t>B</m:t>
            </m:r>
          </m:e>
          <m:sub>
            <m:r>
              <m:t>z</m:t>
            </m:r>
          </m:sub>
        </m:sSub>
      </m:oMath>
      <w:r>
        <w:t xml:space="preserve">) and total magnitude (</w:t>
      </w:r>
      <m:oMath>
        <m:r>
          <m:rPr>
            <m:sty m:val="p"/>
          </m:rPr>
          <m:t>|</m:t>
        </m:r>
        <m:r>
          <m:rPr>
            <m:sty m:val="bi"/>
          </m:rPr>
          <m:t>B</m:t>
        </m:r>
        <m:r>
          <m:rPr>
            <m:sty m:val="p"/>
          </m:rPr>
          <m:t>|</m:t>
        </m:r>
      </m:oMath>
      <w:r>
        <w:t xml:space="preserve">) continuously from DC to</w:t>
      </w:r>
      <w:r>
        <w:t xml:space="preserve"> </w:t>
      </w:r>
      <m:oMath>
        <m:r>
          <m:t>10</m:t>
        </m:r>
        <m:r>
          <m:rPr>
            <m:nor/>
            <m:sty m:val="p"/>
          </m:rPr>
          <m:t> kHz</m:t>
        </m:r>
      </m:oMath>
      <w:r>
        <w:t xml:space="preserve"> </w:t>
      </w:r>
      <w:r>
        <w:t xml:space="preserve">at the plant canopy level [12].</w:t>
      </w:r>
    </w:p>
    <w:p>
      <w:pPr>
        <w:pStyle w:val="BodyText"/>
      </w:pPr>
      <w:r>
        <w:t xml:space="preserve">Chamber environmental parameters must be maintained strictly identical across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and ethylene accumulation artifacts [7,41].</w:t>
      </w:r>
    </w:p>
    <w:bookmarkEnd w:id="39"/>
    <w:bookmarkStart w:id="40" w:name="Xbd4ac73e7e5edaffe9815f4bea45fa34b62592c"/>
    <w:p>
      <w:pPr>
        <w:pStyle w:val="Heading3"/>
      </w:pPr>
      <w:r>
        <w:t xml:space="preserve">5.2 Stage 2: Matched-Current Bifilar Sham Controls</w:t>
      </w:r>
    </w:p>
    <w:p>
      <w:pPr>
        <w:pStyle w:val="FirstParagraph"/>
      </w:pPr>
      <w:r>
        <w:t xml:space="preserve">A primary failure mode of coil-based magnetic cancellation systems is the confounding introduction of ohmic Joule heating, mechanical vibration, and electromagnetic ripple. Whenever active coils are employed, researchers must incorporate</w:t>
      </w:r>
      <w:r>
        <w:t xml:space="preserve"> </w:t>
      </w:r>
      <w:r>
        <w:rPr>
          <w:b/>
          <w:bCs/>
        </w:rPr>
        <w:t xml:space="preserve">matched-current bifilar sham coils</w:t>
      </w:r>
      <w:r>
        <w:t xml:space="preserve"> </w:t>
      </w:r>
      <w:r>
        <w:t xml:space="preserve">[12,79] (Figure 5a). In a bifilar sham configuration, paired wires carry equal currents in opposite directions, producing complete magnetic field cancellation while generating identical resistive heat, current loads, and acoustic vibration as the active cancellation coils. Any biological difference observed between the active cancellation chamber and the bifilar sham chamber can then be unambiguously attributed to the magnetic vector itself.</w:t>
      </w:r>
    </w:p>
    <w:bookmarkEnd w:id="40"/>
    <w:bookmarkStart w:id="41" w:name="stage-3-the-causal-rescue-gate"/>
    <w:p>
      <w:pPr>
        <w:pStyle w:val="Heading3"/>
      </w:pPr>
      <w:r>
        <w:t xml:space="preserve">5.3 Stage 3: The Causal Rescue Gate</w:t>
      </w:r>
    </w:p>
    <w:p>
      <w:pPr>
        <w:pStyle w:val="FirstParagraph"/>
      </w:pPr>
      <w:r>
        <w:t xml:space="preserve">To definitively exclude chamber enclosure, volatile organic compound (VOC), or microclimatic artifacts, payloads and ground experiments must execute the</w:t>
      </w:r>
      <w:r>
        <w:t xml:space="preserve"> </w:t>
      </w:r>
      <w:r>
        <w:rPr>
          <w:b/>
          <w:bCs/>
        </w:rPr>
        <w:t xml:space="preserve">Causal Rescue Protocol</w:t>
      </w:r>
      <w:r>
        <w:t xml:space="preserve"> </w:t>
      </w:r>
      <w:r>
        <w:t xml:space="preserve">[12,80] (Figure 5b):</w:t>
      </w:r>
      <w:r>
        <w:t xml:space="preserve"> </w:t>
      </w:r>
      <w:r>
        <w:t xml:space="preserve">1. Plants are cultivated within a magnetically shielded enclosure (</w:t>
      </w:r>
      <m:oMath>
        <m:r>
          <m:t>μ</m:t>
        </m:r>
      </m:oMath>
      <w:r>
        <w:t xml:space="preserve">-metal or active cancellation,</w:t>
      </w:r>
      <w:r>
        <w:t xml:space="preserve"> </w:t>
      </w:r>
      <m:oMath>
        <m:r>
          <m:rPr>
            <m:sty m:val="p"/>
          </m:rPr>
          <m:t>|</m:t>
        </m:r>
        <m:r>
          <m:rPr>
            <m:sty m:val="bi"/>
          </m:rPr>
          <m:t>B</m:t>
        </m:r>
        <m:r>
          <m:rPr>
            <m:sty m:val="p"/>
          </m:rPr>
          <m:t>|</m:t>
        </m:r>
        <m:r>
          <m:rPr>
            <m:sty m:val="p"/>
          </m:rPr>
          <m:t>&lt;</m:t>
        </m:r>
        <m:r>
          <m:t>10</m:t>
        </m:r>
        <m:r>
          <m:rPr>
            <m:nor/>
            <m:sty m:val="p"/>
          </m:rPr>
          <m:t> nT</m:t>
        </m:r>
      </m:oMath>
      <w:r>
        <w:t xml:space="preserve">), reproducing the hypomagnetic phenotype (germination delay, reduced elongation, chlorosis).</w:t>
      </w:r>
      <w:r>
        <w:t xml:space="preserve"> </w:t>
      </w:r>
      <w:r>
        <w:t xml:space="preserve">2. Inside the exact same shielded physical enclosure, an internal triaxial Helmholtz or Merritt coil system is energized to re-apply an Earth-normal geomagnetic vector (</w:t>
      </w:r>
      <m:oMath>
        <m:r>
          <m:t>45</m:t>
        </m:r>
        <m:r>
          <m:rPr>
            <m:nor/>
            <m:sty m:val="p"/>
          </m:rPr>
          <m:t>–</m:t>
        </m:r>
        <m:r>
          <m:t>50</m:t>
        </m:r>
        <m:r>
          <m:t> </m:t>
        </m:r>
        <m:r>
          <m:t>μ</m:t>
        </m:r>
        <m:r>
          <m:rPr>
            <m:nor/>
            <m:sty m:val="p"/>
          </m:rPr>
          <m:t>T</m:t>
        </m:r>
      </m:oMath>
      <w:r>
        <w:t xml:space="preserve">).</w:t>
      </w:r>
      <w:r>
        <w:t xml:space="preserve"> </w:t>
      </w:r>
      <w:r>
        <w:t xml:space="preserve">3. If the developmental, transcriptomic, and photosynthetic phenotypes are completely rescued to Earth-baseline levels, magnetic causality is unequivocally established.</w:t>
      </w:r>
    </w:p>
    <w:bookmarkEnd w:id="41"/>
    <w:bookmarkStart w:id="42" w:name="Xa7b3f56642cd42450278d9f49f06a83f6e92a20"/>
    <w:p>
      <w:pPr>
        <w:pStyle w:val="Heading3"/>
      </w:pPr>
      <w:r>
        <w:t xml:space="preserve">5.4 Stage 4: Predeclared Flight Decision Gates for Artemis Payloads</w:t>
      </w:r>
    </w:p>
    <w:p>
      <w:pPr>
        <w:pStyle w:val="FirstParagraph"/>
      </w:pPr>
      <w:r>
        <w:t xml:space="preserve">Translating empirical ground testing into actionable lunar flight operations requires establishing predeclared decision thresholds (Figure 5c):</w:t>
      </w:r>
      <w:r>
        <w:t xml:space="preserve"> </w:t>
      </w:r>
      <w:r>
        <w:t xml:space="preserve">-</w:t>
      </w:r>
      <w:r>
        <w:t xml:space="preserve"> </w:t>
      </w:r>
      <w:r>
        <w:rPr>
          <w:b/>
          <w:bCs/>
        </w:rPr>
        <w:t xml:space="preserve">Green Gate (Nominal Operations / Retire Risk):</w:t>
      </w:r>
      <w:r>
        <w:t xml:space="preserve"> </w:t>
      </w:r>
      <w:r>
        <w:t xml:space="preserve">If ground testing with mission-specific hardware, regolith simulant, and crop cultivars demonstrates that germination capacity reduction is</w:t>
      </w:r>
      <w:r>
        <w:t xml:space="preserve"> </w:t>
      </w:r>
      <m:oMath>
        <m:r>
          <m:rPr>
            <m:sty m:val="p"/>
          </m:rPr>
          <m:t>&lt;</m:t>
        </m:r>
        <m:r>
          <m:t>5</m:t>
        </m:r>
        <m:r>
          <m:rPr>
            <m:sty m:val="p"/>
          </m:rPr>
          <m:t>%</m:t>
        </m:r>
      </m:oMath>
      <w:r>
        <w:t xml:space="preserve">, emergence lag</w:t>
      </w:r>
      <w:r>
        <w:t xml:space="preserve"> </w:t>
      </w:r>
      <m:oMath>
        <m:r>
          <m:rPr>
            <m:sty m:val="p"/>
          </m:rPr>
          <m:t>Δ</m:t>
        </m:r>
        <m:sSub>
          <m:e>
            <m:r>
              <m:t>t</m:t>
            </m:r>
          </m:e>
          <m:sub>
            <m:r>
              <m:t>50</m:t>
            </m:r>
          </m:sub>
        </m:sSub>
      </m:oMath>
      <w:r>
        <w:t xml:space="preserve"> </w:t>
      </w:r>
      <w:r>
        <w:t xml:space="preserve">is</w:t>
      </w:r>
      <w:r>
        <w:t xml:space="preserve"> </w:t>
      </w:r>
      <m:oMath>
        <m:r>
          <m:rPr>
            <m:sty m:val="p"/>
          </m:rPr>
          <m:t>&lt;</m:t>
        </m:r>
        <m:r>
          <m:t>6</m:t>
        </m:r>
        <m:r>
          <m:rPr>
            <m:nor/>
            <m:sty m:val="p"/>
          </m:rPr>
          <m:t> hours</m:t>
        </m:r>
      </m:oMath>
      <w:r>
        <w:t xml:space="preserve">, and photochemical efficiency (</w:t>
      </w:r>
      <m:oMath>
        <m:sSub>
          <m:e>
            <m:r>
              <m:t>F</m:t>
            </m:r>
          </m:e>
          <m:sub>
            <m:r>
              <m:t>v</m:t>
            </m:r>
          </m:sub>
        </m:sSub>
        <m:r>
          <m:rPr>
            <m:sty m:val="p"/>
          </m:rPr>
          <m:t>/</m:t>
        </m:r>
        <m:sSub>
          <m:e>
            <m:r>
              <m:t>F</m:t>
            </m:r>
          </m:e>
          <m:sub>
            <m:r>
              <m:t>m</m:t>
            </m:r>
          </m:sub>
        </m:sSub>
      </m:oMath>
      <w:r>
        <w:t xml:space="preserve">) remains nominal, the hypomagnetic risk is formally retired. Payload engineers can proceed with standard, low-power autonomous operations.</w:t>
      </w:r>
      <w:r>
        <w:t xml:space="preserve"> </w:t>
      </w:r>
      <w:r>
        <w:t xml:space="preserve">-</w:t>
      </w:r>
      <w:r>
        <w:t xml:space="preserve"> </w:t>
      </w:r>
      <w:r>
        <w:rPr>
          <w:b/>
          <w:bCs/>
        </w:rPr>
        <w:t xml:space="preserve">Amber Gate (Operational Mission Shifts):</w:t>
      </w:r>
      <w:r>
        <w:t xml:space="preserve"> </w:t>
      </w:r>
      <w:r>
        <w:t xml:space="preserve">If testing reveals moderate suppression (germination decline of</w:t>
      </w:r>
      <w:r>
        <w:t xml:space="preserve"> </w:t>
      </w:r>
      <m:oMath>
        <m:r>
          <m:t>5</m:t>
        </m:r>
        <m:r>
          <m:rPr>
            <m:nor/>
            <m:sty m:val="p"/>
          </m:rPr>
          <m:t>–</m:t>
        </m:r>
        <m:r>
          <m:t>20</m:t>
        </m:r>
        <m:r>
          <m:rPr>
            <m:sty m:val="p"/>
          </m:rPr>
          <m:t>%</m:t>
        </m:r>
      </m:oMath>
      <w:r>
        <w:t xml:space="preserve">, emergence delay</w:t>
      </w:r>
      <w:r>
        <w:t xml:space="preserve"> </w:t>
      </w:r>
      <m:oMath>
        <m:r>
          <m:rPr>
            <m:sty m:val="p"/>
          </m:rPr>
          <m:t>Δ</m:t>
        </m:r>
        <m:sSub>
          <m:e>
            <m:r>
              <m:t>t</m:t>
            </m:r>
          </m:e>
          <m:sub>
            <m:r>
              <m:t>50</m:t>
            </m:r>
          </m:sub>
        </m:sSub>
        <m:r>
          <m:rPr>
            <m:sty m:val="p"/>
          </m:rPr>
          <m:t>=</m:t>
        </m:r>
        <m:r>
          <m:t>6</m:t>
        </m:r>
        <m:r>
          <m:rPr>
            <m:nor/>
            <m:sty m:val="p"/>
          </m:rPr>
          <m:t>–</m:t>
        </m:r>
        <m:r>
          <m:t>24</m:t>
        </m:r>
        <m:r>
          <m:rPr>
            <m:nor/>
            <m:sty m:val="p"/>
          </m:rPr>
          <m:t> hours</m:t>
        </m:r>
      </m:oMath>
      <w:r>
        <w:t xml:space="preserve">, and</w:t>
      </w:r>
      <w:r>
        <w:t xml:space="preserve"> </w:t>
      </w:r>
      <m:oMath>
        <m:r>
          <m:t>10</m:t>
        </m:r>
        <m:r>
          <m:rPr>
            <m:nor/>
            <m:sty m:val="p"/>
          </m:rPr>
          <m:t>–</m:t>
        </m:r>
        <m:r>
          <m:t>25</m:t>
        </m:r>
        <m:r>
          <m:rPr>
            <m:sty m:val="p"/>
          </m:rPr>
          <m:t>%</m:t>
        </m:r>
      </m:oMath>
      <w:r>
        <w:t xml:space="preserve"> </w:t>
      </w:r>
      <w:r>
        <w:t xml:space="preserve">loss in early biomass), hardware redesign is unnecessary, but operational procedures must be adjusted:</w:t>
      </w:r>
      <w:r>
        <w:t xml:space="preserve"> </w:t>
      </w:r>
      <w:r>
        <w:t xml:space="preserve">- Increase initial seed sowing density by</w:t>
      </w:r>
      <w:r>
        <w:t xml:space="preserve"> </w:t>
      </w:r>
      <m:oMath>
        <m:r>
          <m:t>15</m:t>
        </m:r>
        <m:r>
          <m:rPr>
            <m:nor/>
            <m:sty m:val="p"/>
          </m:rPr>
          <m:t>–</m:t>
        </m:r>
        <m:r>
          <m:t>20</m:t>
        </m:r>
        <m:r>
          <m:rPr>
            <m:sty m:val="p"/>
          </m:rPr>
          <m:t>%</m:t>
        </m:r>
      </m:oMath>
      <w:r>
        <w:t xml:space="preserve"> </w:t>
      </w:r>
      <w:r>
        <w:t xml:space="preserve">to compensate for reduced emergence capacity.</w:t>
      </w:r>
      <w:r>
        <w:t xml:space="preserve"> </w:t>
      </w:r>
      <w:r>
        <w:t xml:space="preserve">- Extend the growth timeline by 24–48 hours before scheduled crew harvest.</w:t>
      </w:r>
      <w:r>
        <w:t xml:space="preserve"> </w:t>
      </w:r>
      <w:r>
        <w:t xml:space="preserve">- Shift LED spectral ratios by increasing blue-light flux (</w:t>
      </w:r>
      <m:oMath>
        <m:r>
          <m:t>450</m:t>
        </m:r>
        <m:r>
          <m:rPr>
            <m:nor/>
            <m:sty m:val="p"/>
          </m:rPr>
          <m:t> nm</m:t>
        </m:r>
      </m:oMath>
      <w:r>
        <w:t xml:space="preserve">) by</w:t>
      </w:r>
      <w:r>
        <w:t xml:space="preserve"> </w:t>
      </w:r>
      <m:oMath>
        <m:r>
          <m:t>10</m:t>
        </m:r>
        <m:r>
          <m:rPr>
            <m:nor/>
            <m:sty m:val="p"/>
          </m:rPr>
          <m:t>–</m:t>
        </m:r>
        <m:r>
          <m:t>15</m:t>
        </m:r>
        <m:r>
          <m:rPr>
            <m:sty m:val="p"/>
          </m:rPr>
          <m:t>%</m:t>
        </m:r>
      </m:oMath>
      <w:r>
        <w:t xml:space="preserve"> </w:t>
      </w:r>
      <w:r>
        <w:t xml:space="preserve">to boost cryptochrome/phytochrome activation, stabilizing HY5 and accelerating pigment biosynthesis.</w:t>
      </w:r>
      <w:r>
        <w:t xml:space="preserve"> </w:t>
      </w:r>
      <w:r>
        <w:t xml:space="preserve">-</w:t>
      </w:r>
      <w:r>
        <w:t xml:space="preserve"> </w:t>
      </w:r>
      <w:r>
        <w:rPr>
          <w:b/>
          <w:bCs/>
        </w:rPr>
        <w:t xml:space="preserve">Red Gate (Hazard Mitigation Mandate):</w:t>
      </w:r>
      <w:r>
        <w:t xml:space="preserve"> </w:t>
      </w:r>
      <w:r>
        <w:t xml:space="preserve">If testing reveals severe biological impairment (germination capacity collapse</w:t>
      </w:r>
      <w:r>
        <w:t xml:space="preserve"> </w:t>
      </w:r>
      <m:oMath>
        <m:r>
          <m:rPr>
            <m:sty m:val="p"/>
          </m:rPr>
          <m:t>&gt;</m:t>
        </m:r>
        <m:r>
          <m:t>20</m:t>
        </m:r>
        <m:r>
          <m:rPr>
            <m:sty m:val="p"/>
          </m:rPr>
          <m:t>%</m:t>
        </m:r>
      </m:oMath>
      <w:r>
        <w:t xml:space="preserve">, severe emergence failure</w:t>
      </w:r>
      <w:r>
        <w:t xml:space="preserve"> </w:t>
      </w:r>
      <m:oMath>
        <m:r>
          <m:rPr>
            <m:sty m:val="p"/>
          </m:rPr>
          <m:t>Δ</m:t>
        </m:r>
        <m:sSub>
          <m:e>
            <m:r>
              <m:t>t</m:t>
            </m:r>
          </m:e>
          <m:sub>
            <m:r>
              <m:t>50</m:t>
            </m:r>
          </m:sub>
        </m:sSub>
        <m:r>
          <m:rPr>
            <m:sty m:val="p"/>
          </m:rPr>
          <m:t>&gt;</m:t>
        </m:r>
        <m:r>
          <m:t>24</m:t>
        </m:r>
        <m:r>
          <m:rPr>
            <m:nor/>
            <m:sty m:val="p"/>
          </m:rPr>
          <m:t> hours</m:t>
        </m:r>
      </m:oMath>
      <w:r>
        <w:t xml:space="preserve">, uncontrolled ROS accumulation, or</w:t>
      </w:r>
      <w:r>
        <w:t xml:space="preserve"> </w:t>
      </w:r>
      <m:oMath>
        <m:r>
          <m:rPr>
            <m:sty m:val="p"/>
          </m:rPr>
          <m:t>&gt;</m:t>
        </m:r>
        <m:r>
          <m:t>30</m:t>
        </m:r>
        <m:r>
          <m:rPr>
            <m:sty m:val="p"/>
          </m:rPr>
          <m:t>%</m:t>
        </m:r>
      </m:oMath>
      <w:r>
        <w:t xml:space="preserve"> </w:t>
      </w:r>
      <w:r>
        <w:t xml:space="preserve">loss in harvestable yield), active mitigation is mandatory:</w:t>
      </w:r>
      <w:r>
        <w:t xml:space="preserve"> </w:t>
      </w:r>
      <w:r>
        <w:t xml:space="preserve">- Integrate low-power, lightweight active bias Helmholtz coils into the payload growth cassette, restoring a localized</w:t>
      </w:r>
      <w:r>
        <w:t xml:space="preserve"> </w:t>
      </w:r>
      <m:oMath>
        <m:r>
          <m:t>40</m:t>
        </m:r>
        <m:r>
          <m:rPr>
            <m:nor/>
            <m:sty m:val="p"/>
          </m:rPr>
          <m:t>–</m:t>
        </m:r>
        <m:r>
          <m:t>50</m:t>
        </m:r>
        <m:r>
          <m:t> </m:t>
        </m:r>
        <m:r>
          <m:t>μ</m:t>
        </m:r>
        <m:r>
          <m:rPr>
            <m:nor/>
            <m:sty m:val="p"/>
          </m:rPr>
          <m:t>T</m:t>
        </m:r>
      </m:oMath>
      <w:r>
        <w:t xml:space="preserve"> </w:t>
      </w:r>
      <w:r>
        <w:t xml:space="preserve">magnetic vector at an electrical cost of</w:t>
      </w:r>
      <w:r>
        <w:t xml:space="preserve"> </w:t>
      </w:r>
      <m:oMath>
        <m:r>
          <m:rPr>
            <m:sty m:val="p"/>
          </m:rPr>
          <m:t>&lt;</m:t>
        </m:r>
        <m:r>
          <m:t>2</m:t>
        </m:r>
        <m:r>
          <m:rPr>
            <m:nor/>
            <m:sty m:val="p"/>
          </m:rPr>
          <m:t> W</m:t>
        </m:r>
      </m:oMath>
      <w:r>
        <w:t xml:space="preserve">.</w:t>
      </w:r>
      <w:r>
        <w:t xml:space="preserve"> </w:t>
      </w:r>
      <w:r>
        <w:t xml:space="preserve">- Transition flight seed payloads to genetically verified, hypomagnetic-tolerant cultivars or lines overexpressing</w:t>
      </w:r>
      <w:r>
        <w:t xml:space="preserve"> </w:t>
      </w:r>
      <w:r>
        <w:rPr>
          <w:i/>
          <w:iCs/>
        </w:rPr>
        <w:t xml:space="preserve">AOX1D</w:t>
      </w:r>
      <w:r>
        <w:t xml:space="preserve">,</w:t>
      </w:r>
      <w:r>
        <w:t xml:space="preserve"> </w:t>
      </w:r>
      <w:r>
        <w:rPr>
          <w:i/>
          <w:iCs/>
        </w:rPr>
        <w:t xml:space="preserve">CAT3</w:t>
      </w:r>
      <w:r>
        <w:t xml:space="preserve">, or</w:t>
      </w:r>
      <w:r>
        <w:t xml:space="preserve"> </w:t>
      </w:r>
      <w:r>
        <w:rPr>
          <w:i/>
          <w:iCs/>
        </w:rPr>
        <w:t xml:space="preserve">HY5</w:t>
      </w:r>
      <w:r>
        <w:t xml:space="preserve">.</w:t>
      </w:r>
    </w:p>
    <w:p>
      <w:r>
        <w:pict>
          <v:rect style="width:0;height:1.5pt" o:hralign="center" o:hrstd="t" o:hr="t"/>
        </w:pict>
      </w:r>
    </w:p>
    <w:bookmarkEnd w:id="42"/>
    <w:bookmarkEnd w:id="43"/>
    <w:bookmarkStart w:id="44" w:name="Xbea3edd5a7aeb15038300f903f189dad42dcce3"/>
    <w:p>
      <w:pPr>
        <w:pStyle w:val="Heading2"/>
      </w:pPr>
      <w:r>
        <w:t xml:space="preserve">6.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Planned Artemis South Pole landing sites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on Artemis III and subsequent lunar greenhouse deployments, immediate engineering priorities must focus on incorporating calibrated 3-axis magnetic sensors at the plant canopy, implementing matched-current bifilar sham baselines during ground testing, and validating active causal rescue.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44"/>
    <w:bookmarkStart w:id="45"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45"/>
    <w:bookmarkStart w:id="46"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46"/>
    <w:bookmarkStart w:id="47"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47"/>
    <w:bookmarkStart w:id="48"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48"/>
    <w:bookmarkStart w:id="49" w:name="references"/>
    <w:p>
      <w:pPr>
        <w:pStyle w:val="Heading2"/>
      </w:pPr>
      <w:r>
        <w:t xml:space="preserve">References</w:t>
      </w:r>
    </w:p>
    <w:p>
      <w:pPr>
        <w:pStyle w:val="Compact"/>
        <w:numPr>
          <w:ilvl w:val="0"/>
          <w:numId w:val="1002"/>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2"/>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2"/>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2"/>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2"/>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2"/>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2"/>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2"/>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2"/>
        </w:numPr>
      </w:pPr>
      <w:r>
        <w:t xml:space="preserve">Barker, R. et al. Developing a multi-omics atlas for space plant biology using the NASA Open Science Data Repository.</w:t>
      </w:r>
      <w:r>
        <w:t xml:space="preserve"> </w:t>
      </w:r>
      <w:r>
        <w:rPr>
          <w:i/>
          <w:iCs/>
        </w:rPr>
        <w:t xml:space="preserve">npj Microgravity</w:t>
      </w:r>
      <w:r>
        <w:t xml:space="preserve"> </w:t>
      </w:r>
      <w:r>
        <w:rPr>
          <w:b/>
          <w:bCs/>
        </w:rPr>
        <w:t xml:space="preserve">9</w:t>
      </w:r>
      <w:r>
        <w:t xml:space="preserve">, 45 (2023). https://doi.org/10.1038/s41526-023-00295-8</w:t>
      </w:r>
    </w:p>
    <w:p>
      <w:pPr>
        <w:pStyle w:val="Compact"/>
        <w:numPr>
          <w:ilvl w:val="0"/>
          <w:numId w:val="1002"/>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2"/>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2"/>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2"/>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2"/>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2"/>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2"/>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2"/>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2"/>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2"/>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2"/>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2"/>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2"/>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2"/>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2"/>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2"/>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2"/>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2"/>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2"/>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2"/>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2"/>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2"/>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2"/>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2"/>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2"/>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2"/>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2"/>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2"/>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2"/>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2"/>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2"/>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2"/>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2"/>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2"/>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2"/>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2"/>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2"/>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2"/>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2"/>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2"/>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2"/>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2"/>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2"/>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2"/>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2"/>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2"/>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2"/>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2"/>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2"/>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2"/>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2"/>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2"/>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2"/>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2"/>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2"/>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2"/>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2"/>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2"/>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2"/>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2"/>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2"/>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2"/>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2"/>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2"/>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2"/>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2"/>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2"/>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2"/>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2"/>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2"/>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2"/>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2026-10-28T01:15:27Z</dcterms:created>
  <dcterms:modified xsi:type="dcterms:W3CDTF">2026-10-28T01:15:27Z</dcterms:modified>
</cp:coreProperties>
</file>

<file path=docProps/custom.xml><?xml version="1.0" encoding="utf-8"?>
<Properties xmlns="http://schemas.openxmlformats.org/officeDocument/2006/custom-properties" xmlns:vt="http://schemas.openxmlformats.org/officeDocument/2006/docPropsVTypes"/>
</file>