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2.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for Artemis III,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at Artemis candidate landing sites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formulate an empirical flight risk-retirement framework incorporating sample-level 3-axis fluxgate telemetry, matched-current bifilar sham controls, active causal rescue (</w:t>
      </w:r>
      <m:oMath>
        <m:r>
          <m:t>40</m:t>
        </m:r>
        <m:r>
          <m:rPr>
            <m:nor/>
            <m:sty m:val="p"/>
          </m:rPr>
          <m:t>–</m:t>
        </m:r>
        <m:r>
          <m:t>50</m:t>
        </m:r>
        <m:r>
          <m:t> </m:t>
        </m:r>
        <m:r>
          <m:t>μ</m:t>
        </m:r>
        <m:r>
          <m:rPr>
            <m:nor/>
            <m:sty m:val="p"/>
          </m:rPr>
          <m:t>T</m:t>
        </m:r>
      </m:oMath>
      <w:r>
        <w:t xml:space="preserve"> </w:t>
      </w:r>
      <w:r>
        <w:t xml:space="preserve">vector re-application), and predeclared operational flight decision gates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w:t>
      </w:r>
    </w:p>
    <w:p>
      <w:r>
        <w:pict>
          <v:rect style="width:0;height:1.5pt" o:hralign="center" o:hrstd="t" o:hr="t"/>
        </w:pict>
      </w:r>
    </w:p>
    <w:bookmarkEnd w:id="10"/>
    <w:bookmarkStart w:id="14"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p>
      <w:pPr>
        <w:pStyle w:val="FirstParagraph"/>
      </w:pPr>
      <w:r>
        <w:t xml:space="preserve">Bioregenerative Life Support Systems (BLSS) and autonomous plant growth chambers are recognized as non-negotiable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the Artemis III crewed mission to the lunar South Pole [1,6].</w:t>
      </w:r>
    </w:p>
    <w:p>
      <w:pPr>
        <w:pStyle w:val="BodyText"/>
      </w:pPr>
      <w:r>
        <w:t xml:space="preserve">For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In stark contrast,</w:t>
      </w:r>
      <w:r>
        <w:t xml:space="preserve"> </w:t>
      </w:r>
      <w:r>
        <w:rPr>
          <w:b/>
          <w:bCs/>
        </w:rPr>
        <w:t xml:space="preserve">the local magnetic field vector within the biological specimen volume has virtually never been treated as a primary experimental or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22918"/>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22918"/>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Artemis South Polar Exploration Footprint:</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w:t>
      </w:r>
      <w:r>
        <w:br/>
      </w:r>
      <w:r>
        <w:rPr>
          <w:b/>
          <w:bCs/>
        </w:rPr>
        <w:t xml:space="preserve">(c) Landing Site Magnetic Classification:</w:t>
      </w:r>
      <w:r>
        <w:t xml:space="preserve"> </w:t>
      </w:r>
      <w:r>
        <w:t xml:space="preserve">Magnitude comparison across 23 historical and planned exploration sites. All Artemis South Pole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and active control are implemented.</w:t>
      </w:r>
    </w:p>
    <w:p>
      <w:pPr>
        <w:pStyle w:val="BodyText"/>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candidate Artemis exploration sites in the South Polar region (such as Faustini Rim A, Haworth crater, Connecting Ridge, de Gerlache Rim, Malapert Massif, and Peak Near Shackleton) 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w:t>
      </w:r>
    </w:p>
    <w:tbl>
      <w:tblPr>
        <w:tblStyle w:val="Table"/>
        <w:tblW w:type="pct" w:w="5000"/>
        <w:tblLayout w:type="fixed"/>
        <w:tblLook w:firstRow="1" w:lastRow="0" w:firstColumn="0" w:lastColumn="0" w:noHBand="0" w:noVBand="0" w:val="0020"/>
      </w:tblPr>
      <w:tblGrid>
        <w:gridCol w:w="1173"/>
        <w:gridCol w:w="1173"/>
        <w:gridCol w:w="1466"/>
        <w:gridCol w:w="1466"/>
        <w:gridCol w:w="1466"/>
        <w:gridCol w:w="1173"/>
      </w:tblGrid>
      <w:tr>
        <w:trPr>
          <w:tblHeader w:val="on"/>
        </w:trPr>
        <w:tc>
          <w:tcPr/>
          <w:p>
            <w:pPr>
              <w:pStyle w:val="Compact"/>
              <w:jc w:val="left"/>
            </w:pPr>
            <w:r>
              <w:t xml:space="preserve">Mission</w:t>
            </w:r>
          </w:p>
        </w:tc>
        <w:tc>
          <w:tcPr/>
          <w:p>
            <w:pPr>
              <w:pStyle w:val="Compact"/>
              <w:jc w:val="left"/>
            </w:pPr>
            <w:r>
              <w:t xml:space="preserve">Landing Feature / Candidate Site</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r>
      <w:tr>
        <w:tc>
          <w:tcPr/>
          <w:p>
            <w:pPr>
              <w:pStyle w:val="Compact"/>
              <w:jc w:val="left"/>
            </w:pPr>
            <w:r>
              <w:rPr>
                <w:b/>
                <w:bCs/>
              </w:rPr>
              <w:t xml:space="preserve">Artemis</w:t>
            </w:r>
          </w:p>
        </w:tc>
        <w:tc>
          <w:tcPr/>
          <w:p>
            <w:pPr>
              <w:pStyle w:val="Compact"/>
              <w:jc w:val="left"/>
            </w:pPr>
            <w:r>
              <w:t xml:space="preserve">Haworth Crater Rim</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Faustini Rim A</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2</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1</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Gerlache-Kocher Massif</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Malapert Massif</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2</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1</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 Extension</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Amundsen Rim</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Leibnitz Beta Plateau</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Peak Near Shackleton</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r>
    </w:tbl>
    <w:p>
      <w:pPr>
        <w:pStyle w:val="BodyText"/>
      </w:pPr>
      <w:r>
        <w:t xml:space="preserve">Yet, establishing that near-null magnetic fields physically exist on the Moon (Core Concept 1) exposes a major experimental pitfall: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w:t>
      </w:r>
    </w:p>
    <w:p>
      <w:pPr>
        <w:pStyle w:val="BodyText"/>
      </w:pPr>
      <w:r>
        <w:t xml:space="preserve">Without meticulous sample-level magnetic vector logging and magnetic cleanliness protocols, spacecraft avionics can inadvertently bathe the specimens in static or alternating fields that equal or exceed the terrestrial geomagnetic field. Such uncontrolled stray fields inadvertently mask the lunar hypomagnetic environment, compromising the scientific integrity of flight investigations [11,20].</w:t>
      </w:r>
    </w:p>
    <w:p>
      <w:r>
        <w:pict>
          <v:rect style="width:0;height:1.5pt" o:hralign="center" o:hrstd="t" o:hr="t"/>
        </w:pict>
      </w:r>
    </w:p>
    <w:bookmarkEnd w:id="14"/>
    <w:bookmarkStart w:id="21"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Payloads such as LEAF on Artemis III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02537"/>
            <wp:effectExtent b="0" l="0" r="0" t="0"/>
            <wp:docPr descr="Figure 2" title="" id="16" name="Picture"/>
            <a:graphic>
              <a:graphicData uri="http://schemas.openxmlformats.org/drawingml/2006/picture">
                <pic:pic>
                  <pic:nvPicPr>
                    <pic:cNvPr descr="/Users/drb_laptop/Documents/NMF_review/figures/Fig2_first_5_days_germination_pigments.png" id="17" name="Picture"/>
                    <pic:cNvPicPr>
                      <a:picLocks noChangeArrowheads="1" noChangeAspect="1"/>
                    </pic:cNvPicPr>
                  </pic:nvPicPr>
                  <pic:blipFill>
                    <a:blip r:embed="rId15"/>
                    <a:stretch>
                      <a:fillRect/>
                    </a:stretch>
                  </pic:blipFill>
                  <pic:spPr bwMode="auto">
                    <a:xfrm>
                      <a:off x="0" y="0"/>
                      <a:ext cx="5334000" cy="4402537"/>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Concepts 2, 3, and 4 are mapped to their specific developmental phases.</w:t>
      </w:r>
      <w:r>
        <w:br/>
      </w:r>
      <w:r>
        <w:rPr>
          <w:b/>
          <w:bCs/>
        </w:rPr>
        <w:t xml:space="preserve">(b) Seed Germination Capacity and Kinetics:</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Hypomagnetic exposure causes a 20% decline in final germination capacity (Core Concept 2: total viable seedling count #) and a 16-hour emergence lag (</w:t>
      </w:r>
      <m:oMath>
        <m:r>
          <m:rPr>
            <m:sty m:val="p"/>
          </m:rPr>
          <m:t>Δ</m:t>
        </m:r>
        <m:sSub>
          <m:e>
            <m:r>
              <m:t>t</m:t>
            </m:r>
          </m:e>
          <m:sub>
            <m:r>
              <m:t>50</m:t>
            </m:r>
          </m:sub>
        </m:sSub>
      </m:oMath>
      <w:r>
        <w:t xml:space="preserve">, Core Concept 3: germination velocity).</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18" w:name="X8bd9cdd99fdfda0b8d3c60a110b5b3dbaa16298"/>
    <w:p>
      <w:pPr>
        <w:pStyle w:val="Heading3"/>
      </w:pPr>
      <w:r>
        <w:t xml:space="preserve">2.1 Core Concept 2: Null Magnetic Fields Alter Germination Capacity (# of Germinating Seedlings)</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20% loss in germination capacity represents an unacceptable penalty on mission resource efficiency.</w:t>
      </w:r>
    </w:p>
    <w:bookmarkEnd w:id="18"/>
    <w:bookmarkStart w:id="19" w:name="X3028596fe5146ab4ae7350086ef74a7060951e3"/>
    <w:p>
      <w:pPr>
        <w:pStyle w:val="Heading3"/>
      </w:pPr>
      <w:r>
        <w:t xml:space="preserve">2.2 Core Concept 3: Null Magnetic Fields Alter Germination Speed, Impacting Potential Material Yields</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time required for 50% of the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w:t>
      </w:r>
      <w:r>
        <w:t xml:space="preserve"> </w:t>
      </w:r>
      <m:oMath>
        <m:r>
          <m:t>25</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(Figure 2c).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19"/>
    <w:bookmarkStart w:id="20" w:name="X97eefc28b93c669b1cf7a0fec97f5380bc56c63"/>
    <w:p>
      <w:pPr>
        <w:pStyle w:val="Heading3"/>
      </w:pPr>
      <w:r>
        <w:t xml:space="preserve">2.3 Core Concept 4: Null Magnetic Fields Affect Genes Involved in Pigment Formation</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0"/>
    <w:bookmarkEnd w:id="21"/>
    <w:bookmarkStart w:id="28" w:name="X02a9b06c6b4373f75ab42fb7113307e65fb3bd2"/>
    <w:p>
      <w:pPr>
        <w:pStyle w:val="Heading2"/>
      </w:pPr>
      <w:r>
        <w:t xml:space="preserve">3. Quantum Molecular Biology of the 0–5 Day Window: The Quantum Biology Atlas Perspective</w:t>
      </w:r>
    </w:p>
    <w:p>
      <w:pPr>
        <w:pStyle w:val="FirstParagraph"/>
      </w:pPr>
      <w:r>
        <w:t xml:space="preserve">To evaluate whether hypomagnetic phenotypes reflect specific biophysical magnetoreceptors or general downstream metabolic perturbation, mechanistic hypotheses must be stratified against physical laws and empirical evidence. We integrate the formal evidentiary framework developed in the</w:t>
      </w:r>
      <w:r>
        <w:t xml:space="preserve"> </w:t>
      </w:r>
      <w:r>
        <w:rPr>
          <w:b/>
          <w:bCs/>
        </w:rPr>
        <w:t xml:space="preserve">Quantum Biology Atlas</w:t>
      </w:r>
      <w:r>
        <w:t xml:space="preserve"> </w:t>
      </w:r>
      <w:r>
        <w:t xml:space="preserve">[55] (Figure 3).</w:t>
      </w:r>
    </w:p>
    <w:p>
      <w:pPr>
        <w:pStyle w:val="BodyText"/>
      </w:pPr>
      <w:r>
        <w:drawing>
          <wp:inline>
            <wp:extent cx="5334000" cy="4485820"/>
            <wp:effectExtent b="0" l="0" r="0" t="0"/>
            <wp:docPr descr="Figure 3" title="" id="23" name="Picture"/>
            <a:graphic>
              <a:graphicData uri="http://schemas.openxmlformats.org/drawingml/2006/picture">
                <pic:pic>
                  <pic:nvPicPr>
                    <pic:cNvPr descr="/Users/drb_laptop/Documents/NMF_review/figures/Fig3_quantum_biology_0to5day_pathways.png" id="24" name="Picture"/>
                    <pic:cNvPicPr>
                      <a:picLocks noChangeArrowheads="1" noChangeAspect="1"/>
                    </pic:cNvPicPr>
                  </pic:nvPicPr>
                  <pic:blipFill>
                    <a:blip r:embed="rId22"/>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3 | Quantum molecular biology of early seedling establishment (Days 0–5).</w:t>
      </w:r>
      <w:r>
        <w:br/>
      </w:r>
      <w:r>
        <w:rPr>
          <w:b/>
          <w:bCs/>
        </w:rPr>
        <w:t xml:space="preserve">(a) QBM-06 Pathway Map: Seed Germination Before Photosynthesis:</w:t>
      </w:r>
      <w:r>
        <w:t xml:space="preserve"> </w:t>
      </w:r>
      <w:r>
        <w:t xml:space="preserve">Re-authoring of the 0–72 h heterotrophic energy bottleneck from the Quantum Biology Atlas [55]. Four horizontal lanes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the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window [T2], Cytochrome</w:t>
      </w:r>
      <w:r>
        <w:t xml:space="preserve"> </w:t>
      </w:r>
      <m:oMath>
        <m:r>
          <m:t>c</m:t>
        </m:r>
      </m:oMath>
      <w:r>
        <w:t xml:space="preserve"> </w:t>
      </w:r>
      <w:r>
        <w:t xml:space="preserve">release modulating ABI4/ABA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HMF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25" w:name="X3aaa2bfff3eec50bb0b3254979f83987963da5e"/>
    <w:p>
      <w:pPr>
        <w:pStyle w:val="Heading3"/>
      </w:pPr>
      <w:r>
        <w:t xml:space="preserve">3.1 The 0–72 h Heterotrophic Energy Route (QBM-06)</w:t>
      </w:r>
    </w:p>
    <w:p>
      <w:pPr>
        <w:pStyle w:val="FirstParagraph"/>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[T4 Context])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[T3 Plausible]). Acetyl-CoA units are processed via the glyoxylate cycle (isocitrate lyase [</w:t>
      </w:r>
      <w:r>
        <w:rPr>
          <w:i/>
          <w:iCs/>
        </w:rPr>
        <w:t xml:space="preserve">ICL</w:t>
      </w:r>
      <w:r>
        <w:t xml:space="preserve">] and malate synthase [</w:t>
      </w:r>
      <w:r>
        <w:rPr>
          <w:i/>
          <w:iCs/>
        </w:rPr>
        <w:t xml:space="preserve">MLS</w:t>
      </w:r>
      <w:r>
        <w:t xml:space="preserve">], [T4 Context])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[T2 Inferred])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[T3 Plausible]) and Cytochrome</w:t>
      </w:r>
      <w:r>
        <w:t xml:space="preserve"> </w:t>
      </w:r>
      <m:oMath>
        <m:r>
          <m:t>c</m:t>
        </m:r>
      </m:oMath>
      <w:r>
        <w:t xml:space="preserve"> </w:t>
      </w:r>
      <w:r>
        <w:t xml:space="preserve">([T4 Context]) 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[T2 Inferred]),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([T3 Plausible])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5"/>
    <w:bookmarkStart w:id="26"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3b):</w:t>
      </w:r>
      <w:r>
        <w:t xml:space="preserve"> </w:t>
      </w:r>
      <w:r>
        <w:t xml:space="preserve">-</w:t>
      </w:r>
      <w:r>
        <w:t xml:space="preserve"> </w:t>
      </w:r>
      <w:r>
        <w:rPr>
          <w:b/>
          <w:bCs/>
        </w:rPr>
        <w:t xml:space="preserve">Tier 1 (Demonstrated Field Effect, Solid Black Border):</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 Solid Blue Border):</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 Dashed Vermillion Border):</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Scaffold, Hairline Grey Border):</w:t>
      </w:r>
      <w:r>
        <w:t xml:space="preserve"> </w:t>
      </w:r>
      <w:r>
        <w:t xml:space="preserve">Structural proteins and metabolic enzymes that lack direct quantum magnetosensitivity but form the requisite physical scaffold for electron transfer.</w:t>
      </w:r>
    </w:p>
    <w:bookmarkEnd w:id="26"/>
    <w:bookmarkStart w:id="27"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27"/>
    <w:bookmarkEnd w:id="28"/>
    <w:bookmarkStart w:id="35"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31025"/>
            <wp:effectExtent b="0" l="0" r="0" t="0"/>
            <wp:docPr descr="Figure 4" title="" id="30" name="Picture"/>
            <a:graphic>
              <a:graphicData uri="http://schemas.openxmlformats.org/drawingml/2006/picture">
                <pic:pic>
                  <pic:nvPicPr>
                    <pic:cNvPr descr="/Users/drb_laptop/Documents/NMF_review/figures/Fig4_multistressor_co2_o2_ros_nexus.png" id="31" name="Picture"/>
                    <pic:cNvPicPr>
                      <a:picLocks noChangeArrowheads="1" noChangeAspect="1"/>
                    </pic:cNvPicPr>
                  </pic:nvPicPr>
                  <pic:blipFill>
                    <a:blip r:embed="rId29"/>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32"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32"/>
    <w:bookmarkStart w:id="33"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3"/>
    <w:bookmarkStart w:id="34"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4d).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4"/>
    <w:bookmarkEnd w:id="35"/>
    <w:bookmarkStart w:id="43" w:name="X13ca5ee0b8c2d58241351f068321cebef7777a7"/>
    <w:p>
      <w:pPr>
        <w:pStyle w:val="Heading2"/>
      </w:pPr>
      <w:r>
        <w:t xml:space="preserve">5. Methodological Standards, Causal Rescue &amp; Artemis Flight Risk-Retirement Framework</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engineering discipline for Artemis payloads, we formulate a standardized, four-stage flight qualification and causal risk-retirement pipeline (Figure 5).</w:t>
      </w:r>
    </w:p>
    <w:p>
      <w:pPr>
        <w:pStyle w:val="BodyText"/>
      </w:pPr>
      <w:r>
        <w:drawing>
          <wp:inline>
            <wp:extent cx="5334000" cy="4329556"/>
            <wp:effectExtent b="0" l="0" r="0" t="0"/>
            <wp:docPr descr="Figure 5" title="" id="37" name="Picture"/>
            <a:graphic>
              <a:graphicData uri="http://schemas.openxmlformats.org/drawingml/2006/picture">
                <pic:pic>
                  <pic:nvPicPr>
                    <pic:cNvPr descr="/Users/drb_laptop/Documents/NMF_review/figures/Fig5_flight_validation_risk_pipeline.png" id="38" name="Picture"/>
                    <pic:cNvPicPr>
                      <a:picLocks noChangeArrowheads="1" noChangeAspect="1"/>
                    </pic:cNvPicPr>
                  </pic:nvPicPr>
                  <pic:blipFill>
                    <a:blip r:embed="rId36"/>
                    <a:stretch>
                      <a:fillRect/>
                    </a:stretch>
                  </pic:blipFill>
                  <pic:spPr bwMode="auto">
                    <a:xfrm>
                      <a:off x="0" y="0"/>
                      <a:ext cx="5334000" cy="4329556"/>
                    </a:xfrm>
                    <a:prstGeom prst="rect">
                      <a:avLst/>
                    </a:prstGeom>
                    <a:noFill/>
                    <a:ln w="9525">
                      <a:noFill/>
                      <a:headEnd/>
                      <a:tailEnd/>
                    </a:ln>
                  </pic:spPr>
                </pic:pic>
              </a:graphicData>
            </a:graphic>
          </wp:inline>
        </w:drawing>
      </w:r>
      <w:r>
        <w:t xml:space="preserve"> </w:t>
      </w:r>
      <w:r>
        <w:rPr>
          <w:b/>
          <w:bCs/>
        </w:rPr>
        <w:t xml:space="preserve">Figure 5 | Ground-validation standards, causal rescue, and Artemis flight decision pipeline.</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(Bifilar Sham Control, carrying matched current through opposing bifilar windings to cancel the magnetic field while identically matching ohmic heating, vibration, and EMI).</w:t>
      </w:r>
      <w:r>
        <w:br/>
      </w:r>
      <w:r>
        <w:rPr>
          <w:b/>
          <w:bCs/>
        </w:rPr>
        <w:t xml:space="preserve">(b) Active Causal Rescue Validation Protocol:</w:t>
      </w:r>
      <w:r>
        <w:t xml:space="preserve"> </w:t>
      </w:r>
      <w:r>
        <w:t xml:space="preserve">Three-step causal proof inside magnetic shielding. Step 1: Hypomagnetic exposure (</w:t>
      </w:r>
      <m:oMath>
        <m:r>
          <m:rPr>
            <m:sty m:val="p"/>
          </m:rPr>
          <m:t>&lt;</m:t>
        </m:r>
        <m:r>
          <m:t>10</m:t>
        </m:r>
        <m:r>
          <m:rPr>
            <m:nor/>
            <m:sty m:val="p"/>
          </m:rPr>
          <m:t> nT</m:t>
        </m:r>
      </m:oMath>
      <w:r>
        <w:t xml:space="preserve">) elicits the germination lag and chlorosis phenotype.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Predeclared Flight Decision Framework for Lunar Agriculture:</w:t>
      </w:r>
      <w:r>
        <w:t xml:space="preserve"> </w:t>
      </w:r>
      <w:r>
        <w:t xml:space="preserve">Operational gates translating empirical ground and flight telemetry into mission decisions.</w:t>
      </w:r>
      <w:r>
        <w:t xml:space="preserve"> </w:t>
      </w:r>
      <w:r>
        <w:rPr>
          <w:b/>
          <w:bCs/>
        </w:rPr>
        <w:t xml:space="preserve">Green Gate (Nominal):</w:t>
      </w:r>
      <w:r>
        <w:t xml:space="preserve"> </w:t>
      </w:r>
      <w:r>
        <w:t xml:space="preserve">Germination drop</w:t>
      </w:r>
      <w:r>
        <w:t xml:space="preserve"> </w:t>
      </w:r>
      <m:oMath>
        <m:r>
          <m:rPr>
            <m:sty m:val="p"/>
          </m:rPr>
          <m:t>&lt;</m:t>
        </m:r>
        <m:r>
          <m:t>5</m:t>
        </m:r>
        <m:r>
          <m:rPr>
            <m:sty m:val="p"/>
          </m:rPr>
          <m:t>%</m:t>
        </m:r>
      </m:oMath>
      <w:r>
        <w:t xml:space="preserve">,</w:t>
      </w:r>
      <w:r>
        <w:t xml:space="preserve"> </w:t>
      </w:r>
      <m:oMath>
        <m:r>
          <m:rPr>
            <m:sty m:val="p"/>
          </m:rPr>
          <m:t>Δ</m:t>
        </m:r>
        <m:sSub>
          <m:e>
            <m:r>
              <m:t>t</m:t>
            </m:r>
          </m:e>
          <m:sub>
            <m:r>
              <m:t>50</m:t>
            </m:r>
          </m:sub>
        </m:sSub>
        <m:r>
          <m:rPr>
            <m:sty m:val="p"/>
          </m:rPr>
          <m:t>&lt;</m:t>
        </m:r>
        <m:r>
          <m:t>6</m:t>
        </m:r>
        <m:r>
          <m:rPr>
            <m:nor/>
            <m:sty m:val="p"/>
          </m:rPr>
          <m:t> h</m:t>
        </m:r>
      </m:oMath>
      <w:r>
        <w:t xml:space="preserve">, nominal</w:t>
      </w:r>
      <w:r>
        <w:t xml:space="preserve"> </w:t>
      </w:r>
      <m:oMath>
        <m:sSub>
          <m:e>
            <m:r>
              <m:t>F</m:t>
            </m:r>
          </m:e>
          <m:sub>
            <m:r>
              <m:t>v</m:t>
            </m:r>
          </m:sub>
        </m:sSub>
        <m:r>
          <m:rPr>
            <m:sty m:val="p"/>
          </m:rPr>
          <m:t>/</m:t>
        </m:r>
        <m:sSub>
          <m:e>
            <m:r>
              <m:t>F</m:t>
            </m:r>
          </m:e>
          <m:sub>
            <m:r>
              <m:t>m</m:t>
            </m:r>
          </m:sub>
        </m:sSub>
      </m:oMath>
      <w:r>
        <w:t xml:space="preserve">; retire magnetic risk from critical path, proceed with standard flight ops.</w:t>
      </w:r>
      <w:r>
        <w:t xml:space="preserve"> </w:t>
      </w:r>
      <w:r>
        <w:rPr>
          <w:b/>
          <w:bCs/>
        </w:rPr>
        <w:t xml:space="preserve">Amber Gate (Operational Shift):</w:t>
      </w:r>
      <w:r>
        <w:t xml:space="preserve"> </w:t>
      </w:r>
      <w:r>
        <w:t xml:space="preserve">Germination drop</w:t>
      </w:r>
      <w:r>
        <w:t xml:space="preserve"> </w:t>
      </w:r>
      <m:oMath>
        <m:r>
          <m:t>5</m:t>
        </m:r>
        <m:r>
          <m:rPr>
            <m:nor/>
            <m:sty m:val="p"/>
          </m:rPr>
          <m:t>–</m:t>
        </m:r>
        <m:r>
          <m:t>20</m:t>
        </m:r>
        <m:r>
          <m:rPr>
            <m:sty m:val="p"/>
          </m:rPr>
          <m:t>%</m:t>
        </m:r>
      </m:oMath>
      <w:r>
        <w:t xml:space="preserve">,</w:t>
      </w:r>
      <w:r>
        <w:t xml:space="preserve"> </w:t>
      </w:r>
      <m:oMath>
        <m:r>
          <m:rPr>
            <m:sty m:val="p"/>
          </m:rPr>
          <m:t>Δ</m:t>
        </m:r>
        <m:sSub>
          <m:e>
            <m:r>
              <m:t>t</m:t>
            </m:r>
          </m:e>
          <m:sub>
            <m:r>
              <m:t>50</m:t>
            </m:r>
          </m:sub>
        </m:sSub>
        <m:r>
          <m:rPr>
            <m:sty m:val="p"/>
          </m:rPr>
          <m:t>=</m:t>
        </m:r>
        <m:r>
          <m:t>6</m:t>
        </m:r>
        <m:r>
          <m:rPr>
            <m:nor/>
            <m:sty m:val="p"/>
          </m:rPr>
          <m:t>–</m:t>
        </m:r>
        <m:r>
          <m:t>24</m:t>
        </m:r>
        <m:r>
          <m:rPr>
            <m:nor/>
            <m:sty m:val="p"/>
          </m:rPr>
          <m:t> h</m:t>
        </m:r>
      </m:oMath>
      <w:r>
        <w:t xml:space="preserve">,</w:t>
      </w:r>
      <w:r>
        <w:t xml:space="preserve"> </w:t>
      </w:r>
      <m:oMath>
        <m:r>
          <m:t>10</m:t>
        </m:r>
        <m:r>
          <m:rPr>
            <m:nor/>
            <m:sty m:val="p"/>
          </m:rPr>
          <m:t>–</m:t>
        </m:r>
        <m:r>
          <m:t>25</m:t>
        </m:r>
        <m:r>
          <m:rPr>
            <m:sty m:val="p"/>
          </m:rPr>
          <m:t>%</m:t>
        </m:r>
      </m:oMath>
      <w:r>
        <w:t xml:space="preserve"> </w:t>
      </w:r>
      <w:r>
        <w:t xml:space="preserve">biomass decline; increase seed sowing density by</w:t>
      </w:r>
      <w:r>
        <w:t xml:space="preserve"> </w:t>
      </w:r>
      <m:oMath>
        <m:r>
          <m:t>15</m:t>
        </m:r>
        <m:r>
          <m:rPr>
            <m:nor/>
            <m:sty m:val="p"/>
          </m:rPr>
          <m:t>–</m:t>
        </m:r>
        <m:r>
          <m:t>20</m:t>
        </m:r>
        <m:r>
          <m:rPr>
            <m:sty m:val="p"/>
          </m:rPr>
          <m:t>%</m:t>
        </m:r>
      </m:oMath>
      <w:r>
        <w:t xml:space="preserve">, extend pre-harvest growth duration, and boost blue-light ratio to stimulate HY5 pigment synthesis.</w:t>
      </w:r>
      <w:r>
        <w:t xml:space="preserve"> </w:t>
      </w:r>
      <w:r>
        <w:rPr>
          <w:b/>
          <w:bCs/>
        </w:rPr>
        <w:t xml:space="preserve">Red Gate (Hazard Mitigation):</w:t>
      </w:r>
      <w:r>
        <w:t xml:space="preserve"> </w:t>
      </w:r>
      <w:r>
        <w:t xml:space="preserve">Germination collapse</w:t>
      </w:r>
      <w:r>
        <w:t xml:space="preserve"> </w:t>
      </w:r>
      <m:oMath>
        <m:r>
          <m:rPr>
            <m:sty m:val="p"/>
          </m:rPr>
          <m:t>&gt;</m:t>
        </m:r>
        <m:r>
          <m:t>20</m:t>
        </m:r>
        <m:r>
          <m:rPr>
            <m:sty m:val="p"/>
          </m:rPr>
          <m:t>%</m:t>
        </m:r>
      </m:oMath>
      <w:r>
        <w:t xml:space="preserve">, severe emergence stall (</w:t>
      </w:r>
      <m:oMath>
        <m:r>
          <m:rPr>
            <m:sty m:val="p"/>
          </m:rPr>
          <m:t>Δ</m:t>
        </m:r>
        <m:sSub>
          <m:e>
            <m:r>
              <m:t>t</m:t>
            </m:r>
          </m:e>
          <m:sub>
            <m:r>
              <m:t>50</m:t>
            </m:r>
          </m:sub>
        </m:sSub>
        <m:r>
          <m:rPr>
            <m:sty m:val="p"/>
          </m:rPr>
          <m:t>&gt;</m:t>
        </m:r>
        <m:r>
          <m:t>24</m:t>
        </m:r>
        <m:r>
          <m:rPr>
            <m:nor/>
            <m:sty m:val="p"/>
          </m:rPr>
          <m:t> h</m:t>
        </m:r>
      </m:oMath>
      <w:r>
        <w:t xml:space="preserve">), severe ROS leak; mandate hardware mitigation (low-power active bias Helmholtz coils restoring</w:t>
      </w:r>
      <w:r>
        <w:t xml:space="preserve"> </w:t>
      </w:r>
      <m:oMath>
        <m:r>
          <m:t>40</m:t>
        </m:r>
        <m:r>
          <m:rPr>
            <m:nor/>
            <m:sty m:val="p"/>
          </m:rPr>
          <m:t>–</m:t>
        </m:r>
        <m:r>
          <m:t>50</m:t>
        </m:r>
        <m:r>
          <m:t> </m:t>
        </m:r>
        <m:r>
          <m:t>μ</m:t>
        </m:r>
        <m:r>
          <m:rPr>
            <m:nor/>
            <m:sty m:val="p"/>
          </m:rPr>
          <m:t>T</m:t>
        </m:r>
      </m:oMath>
      <w:r>
        <w:t xml:space="preserve">) or deploy stress-tolerant crop cultivars.</w:t>
      </w:r>
    </w:p>
    <w:bookmarkStart w:id="39" w:name="Xdbe44518c294fba7cd4990e44eaeb751a461984"/>
    <w:p>
      <w:pPr>
        <w:pStyle w:val="Heading3"/>
      </w:pPr>
      <w:r>
        <w:t xml:space="preserve">5.1 Stage 1: In Situ 3-Axis Vector Mapping and Environmental Parity</w:t>
      </w:r>
    </w:p>
    <w:p>
      <w:pPr>
        <w:pStyle w:val="FirstParagraph"/>
      </w:pPr>
      <w:r>
        <w:t xml:space="preserve">Flight payload chambers and ground simulation chambers must be equipped with miniature, calibrated 3-axis fluxgate or anisotropic magnetoresistive (AMR) magnetometers logging vector components (</w:t>
      </w:r>
      <m:oMath>
        <m:sSub>
          <m:e>
            <m:r>
              <m:t>B</m:t>
            </m:r>
          </m:e>
          <m:sub>
            <m:r>
              <m:t>x</m:t>
            </m:r>
          </m:sub>
        </m:sSub>
        <m:r>
          <m:rPr>
            <m:sty m:val="p"/>
          </m:rPr>
          <m:t>,</m:t>
        </m:r>
        <m:sSub>
          <m:e>
            <m:r>
              <m:t>B</m:t>
            </m:r>
          </m:e>
          <m:sub>
            <m:r>
              <m:t>y</m:t>
            </m:r>
          </m:sub>
        </m:sSub>
        <m:r>
          <m:rPr>
            <m:sty m:val="p"/>
          </m:rPr>
          <m:t>,</m:t>
        </m:r>
        <m:sSub>
          <m:e>
            <m:r>
              <m:t>B</m:t>
            </m:r>
          </m:e>
          <m:sub>
            <m:r>
              <m:t>z</m:t>
            </m:r>
          </m:sub>
        </m:sSub>
      </m:oMath>
      <w:r>
        <w:t xml:space="preserve">) and total magnitude (</w:t>
      </w:r>
      <m:oMath>
        <m:r>
          <m:rPr>
            <m:sty m:val="p"/>
          </m:rPr>
          <m:t>|</m:t>
        </m:r>
        <m:r>
          <m:rPr>
            <m:sty m:val="bi"/>
          </m:rPr>
          <m:t>B</m:t>
        </m:r>
        <m:r>
          <m:rPr>
            <m:sty m:val="p"/>
          </m:rPr>
          <m:t>|</m:t>
        </m:r>
      </m:oMath>
      <w:r>
        <w:t xml:space="preserve">) continuously from DC to</w:t>
      </w:r>
      <w:r>
        <w:t xml:space="preserve"> </w:t>
      </w:r>
      <m:oMath>
        <m:r>
          <m:t>10</m:t>
        </m:r>
        <m:r>
          <m:rPr>
            <m:nor/>
            <m:sty m:val="p"/>
          </m:rPr>
          <m:t> kHz</m:t>
        </m:r>
      </m:oMath>
      <w:r>
        <w:t xml:space="preserve"> </w:t>
      </w:r>
      <w:r>
        <w:t xml:space="preserve">at the plant canopy level [11].</w:t>
      </w:r>
    </w:p>
    <w:p>
      <w:pPr>
        <w:pStyle w:val="BodyText"/>
      </w:pPr>
      <w:r>
        <w:t xml:space="preserve">Chamber environmental parameters must be maintained strictly identical across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and ethylene accumulation artifacts [7,40].</w:t>
      </w:r>
    </w:p>
    <w:bookmarkEnd w:id="39"/>
    <w:bookmarkStart w:id="40" w:name="Xbd4ac73e7e5edaffe9815f4bea45fa34b62592c"/>
    <w:p>
      <w:pPr>
        <w:pStyle w:val="Heading3"/>
      </w:pPr>
      <w:r>
        <w:t xml:space="preserve">5.2 Stage 2: Matched-Current Bifilar Sham Controls</w:t>
      </w:r>
    </w:p>
    <w:p>
      <w:pPr>
        <w:pStyle w:val="FirstParagraph"/>
      </w:pPr>
      <w:r>
        <w:t xml:space="preserve">A primary failure mode of coil-based magnetic cancellation systems is the confounding introduction of ohmic Joule heating, mechanical vibration, and electromagnetic ripple. Whenever active coils are employed, researchers must incorporate</w:t>
      </w:r>
      <w:r>
        <w:t xml:space="preserve"> </w:t>
      </w:r>
      <w:r>
        <w:rPr>
          <w:b/>
          <w:bCs/>
        </w:rPr>
        <w:t xml:space="preserve">matched-current bifilar sham coils</w:t>
      </w:r>
      <w:r>
        <w:t xml:space="preserve"> </w:t>
      </w:r>
      <w:r>
        <w:t xml:space="preserve">[11,78] (Figure 5a). In a bifilar sham configuration, paired wires carry equal currents in opposite directions, producing complete magnetic field cancellation while generating identical resistive heat, current loads, and acoustic vibration as the active cancellation coils. Any biological difference observed between the active cancellation chamber and the bifilar sham chamber can then be unambiguously attributed to the magnetic vector itself.</w:t>
      </w:r>
    </w:p>
    <w:bookmarkEnd w:id="40"/>
    <w:bookmarkStart w:id="41" w:name="stage-3-the-causal-rescue-gate"/>
    <w:p>
      <w:pPr>
        <w:pStyle w:val="Heading3"/>
      </w:pPr>
      <w:r>
        <w:t xml:space="preserve">5.3 Stage 3: The Causal Rescue Gate</w:t>
      </w:r>
    </w:p>
    <w:p>
      <w:pPr>
        <w:pStyle w:val="FirstParagraph"/>
      </w:pPr>
      <w:r>
        <w:t xml:space="preserve">To definitively exclude chamber enclosure, volatile organic compound (VOC), or microclimatic artifacts, payloads and ground experiments must execute the</w:t>
      </w:r>
      <w:r>
        <w:t xml:space="preserve"> </w:t>
      </w:r>
      <w:r>
        <w:rPr>
          <w:b/>
          <w:bCs/>
        </w:rPr>
        <w:t xml:space="preserve">Causal Rescue Protocol</w:t>
      </w:r>
      <w:r>
        <w:t xml:space="preserve"> </w:t>
      </w:r>
      <w:r>
        <w:t xml:space="preserve">[11,79]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w:t>
      </w:r>
    </w:p>
    <w:bookmarkEnd w:id="41"/>
    <w:bookmarkStart w:id="42" w:name="Xa7b3f56642cd42450278d9f49f06a83f6e92a20"/>
    <w:p>
      <w:pPr>
        <w:pStyle w:val="Heading3"/>
      </w:pPr>
      <w:r>
        <w:t xml:space="preserve">5.4 Stage 4: Predeclared Flight Decision Gates for Artemis Payloads</w:t>
      </w:r>
    </w:p>
    <w:p>
      <w:pPr>
        <w:pStyle w:val="FirstParagraph"/>
      </w:pPr>
      <w:r>
        <w:t xml:space="preserve">Translating empirical ground testing into actionable lunar flight operations requires establishing predeclared decision thresholds (Figure 5c):</w:t>
      </w:r>
      <w:r>
        <w:t xml:space="preserve"> </w:t>
      </w:r>
      <w:r>
        <w:t xml:space="preserve">-</w:t>
      </w:r>
      <w:r>
        <w:t xml:space="preserve"> </w:t>
      </w:r>
      <w:r>
        <w:rPr>
          <w:b/>
          <w:bCs/>
        </w:rPr>
        <w:t xml:space="preserve">Green Gate (Nominal Operations / Retire Risk):</w:t>
      </w:r>
      <w:r>
        <w:t xml:space="preserve"> </w:t>
      </w:r>
      <w:r>
        <w:t xml:space="preserve">If ground testing with mission-specific hardware, regolith simulant, and crop cultivars demonstrates that germination capacity reduction is</w:t>
      </w:r>
      <w:r>
        <w:t xml:space="preserve"> </w:t>
      </w:r>
      <m:oMath>
        <m:r>
          <m:rPr>
            <m:sty m:val="p"/>
          </m:rPr>
          <m:t>&lt;</m:t>
        </m:r>
        <m:r>
          <m:t>5</m:t>
        </m:r>
        <m:r>
          <m:rPr>
            <m:sty m:val="p"/>
          </m:rPr>
          <m:t>%</m:t>
        </m:r>
      </m:oMath>
      <w:r>
        <w:t xml:space="preserve">, emergence lag</w:t>
      </w:r>
      <w:r>
        <w:t xml:space="preserve"> </w:t>
      </w:r>
      <m:oMath>
        <m:r>
          <m:rPr>
            <m:sty m:val="p"/>
          </m:rPr>
          <m:t>Δ</m:t>
        </m:r>
        <m:sSub>
          <m:e>
            <m:r>
              <m:t>t</m:t>
            </m:r>
          </m:e>
          <m:sub>
            <m:r>
              <m:t>50</m:t>
            </m:r>
          </m:sub>
        </m:sSub>
      </m:oMath>
      <w:r>
        <w:t xml:space="preserve"> </w:t>
      </w:r>
      <w:r>
        <w:t xml:space="preserve">is</w:t>
      </w:r>
      <w:r>
        <w:t xml:space="preserve"> </w:t>
      </w:r>
      <m:oMath>
        <m:r>
          <m:rPr>
            <m:sty m:val="p"/>
          </m:rPr>
          <m:t>&lt;</m:t>
        </m:r>
        <m:r>
          <m:t>6</m:t>
        </m:r>
        <m:r>
          <m:rPr>
            <m:nor/>
            <m:sty m:val="p"/>
          </m:rPr>
          <m:t> hours</m:t>
        </m:r>
      </m:oMath>
      <w:r>
        <w:t xml:space="preserve">, and photochemical efficiency (</w:t>
      </w:r>
      <m:oMath>
        <m:sSub>
          <m:e>
            <m:r>
              <m:t>F</m:t>
            </m:r>
          </m:e>
          <m:sub>
            <m:r>
              <m:t>v</m:t>
            </m:r>
          </m:sub>
        </m:sSub>
        <m:r>
          <m:rPr>
            <m:sty m:val="p"/>
          </m:rPr>
          <m:t>/</m:t>
        </m:r>
        <m:sSub>
          <m:e>
            <m:r>
              <m:t>F</m:t>
            </m:r>
          </m:e>
          <m:sub>
            <m:r>
              <m:t>m</m:t>
            </m:r>
          </m:sub>
        </m:sSub>
      </m:oMath>
      <w:r>
        <w:t xml:space="preserve">) remains nominal, the hypomagnetic risk is formally retired. Payload engineers can proceed with standard, low-power autonomous operations.</w:t>
      </w:r>
      <w:r>
        <w:t xml:space="preserve"> </w:t>
      </w:r>
      <w:r>
        <w:t xml:space="preserve">-</w:t>
      </w:r>
      <w:r>
        <w:t xml:space="preserve"> </w:t>
      </w:r>
      <w:r>
        <w:rPr>
          <w:b/>
          <w:bCs/>
        </w:rPr>
        <w:t xml:space="preserve">Amber Gate (Operational Mission Shifts):</w:t>
      </w:r>
      <w:r>
        <w:t xml:space="preserve"> </w:t>
      </w:r>
      <w:r>
        <w:t xml:space="preserve">If testing reveals moderate suppression (germination decline of</w:t>
      </w:r>
      <w:r>
        <w:t xml:space="preserve"> </w:t>
      </w:r>
      <m:oMath>
        <m:r>
          <m:t>5</m:t>
        </m:r>
        <m:r>
          <m:rPr>
            <m:nor/>
            <m:sty m:val="p"/>
          </m:rPr>
          <m:t>–</m:t>
        </m:r>
        <m:r>
          <m:t>20</m:t>
        </m:r>
        <m:r>
          <m:rPr>
            <m:sty m:val="p"/>
          </m:rPr>
          <m:t>%</m:t>
        </m:r>
      </m:oMath>
      <w:r>
        <w:t xml:space="preserve">, emergence delay</w:t>
      </w:r>
      <w:r>
        <w:t xml:space="preserve"> </w:t>
      </w:r>
      <m:oMath>
        <m:r>
          <m:rPr>
            <m:sty m:val="p"/>
          </m:rPr>
          <m:t>Δ</m:t>
        </m:r>
        <m:sSub>
          <m:e>
            <m:r>
              <m:t>t</m:t>
            </m:r>
          </m:e>
          <m:sub>
            <m:r>
              <m:t>50</m:t>
            </m:r>
          </m:sub>
        </m:sSub>
        <m:r>
          <m:rPr>
            <m:sty m:val="p"/>
          </m:rPr>
          <m:t>=</m:t>
        </m:r>
        <m:r>
          <m:t>6</m:t>
        </m:r>
        <m:r>
          <m:rPr>
            <m:nor/>
            <m:sty m:val="p"/>
          </m:rPr>
          <m:t>–</m:t>
        </m:r>
        <m:r>
          <m:t>24</m:t>
        </m:r>
        <m:r>
          <m:rPr>
            <m:nor/>
            <m:sty m:val="p"/>
          </m:rPr>
          <m:t> hours</m:t>
        </m:r>
      </m:oMath>
      <w:r>
        <w:t xml:space="preserve">, and</w:t>
      </w:r>
      <w:r>
        <w:t xml:space="preserve"> </w:t>
      </w:r>
      <m:oMath>
        <m:r>
          <m:t>10</m:t>
        </m:r>
        <m:r>
          <m:rPr>
            <m:nor/>
            <m:sty m:val="p"/>
          </m:rPr>
          <m:t>–</m:t>
        </m:r>
        <m:r>
          <m:t>25</m:t>
        </m:r>
        <m:r>
          <m:rPr>
            <m:sty m:val="p"/>
          </m:rPr>
          <m:t>%</m:t>
        </m:r>
      </m:oMath>
      <w:r>
        <w:t xml:space="preserve"> </w:t>
      </w:r>
      <w:r>
        <w:t xml:space="preserve">loss in early biomass), hardware redesign is unnecessary, but operational procedures must be adjusted:</w:t>
      </w:r>
      <w:r>
        <w:t xml:space="preserve"> </w:t>
      </w:r>
      <w:r>
        <w:t xml:space="preserve">- Increase initial seed sowing density by</w:t>
      </w:r>
      <w:r>
        <w:t xml:space="preserve"> </w:t>
      </w:r>
      <m:oMath>
        <m:r>
          <m:t>15</m:t>
        </m:r>
        <m:r>
          <m:rPr>
            <m:nor/>
            <m:sty m:val="p"/>
          </m:rPr>
          <m:t>–</m:t>
        </m:r>
        <m:r>
          <m:t>20</m:t>
        </m:r>
        <m:r>
          <m:rPr>
            <m:sty m:val="p"/>
          </m:rPr>
          <m:t>%</m:t>
        </m:r>
      </m:oMath>
      <w:r>
        <w:t xml:space="preserve"> </w:t>
      </w:r>
      <w:r>
        <w:t xml:space="preserve">to compensate for reduced emergence capacity.</w:t>
      </w:r>
      <w:r>
        <w:t xml:space="preserve"> </w:t>
      </w:r>
      <w:r>
        <w:t xml:space="preserve">- Extend the growth timeline by 24–48 hours before scheduled crew harvest.</w:t>
      </w:r>
      <w:r>
        <w:t xml:space="preserve"> </w:t>
      </w:r>
      <w:r>
        <w:t xml:space="preserve">- Shift LED spectral ratios by increasing blue-light flux (</w:t>
      </w:r>
      <m:oMath>
        <m:r>
          <m:t>450</m:t>
        </m:r>
        <m:r>
          <m:rPr>
            <m:nor/>
            <m:sty m:val="p"/>
          </m:rPr>
          <m:t> nm</m:t>
        </m:r>
      </m:oMath>
      <w:r>
        <w:t xml:space="preserve">) by</w:t>
      </w:r>
      <w:r>
        <w:t xml:space="preserve"> </w:t>
      </w:r>
      <m:oMath>
        <m:r>
          <m:t>10</m:t>
        </m:r>
        <m:r>
          <m:rPr>
            <m:nor/>
            <m:sty m:val="p"/>
          </m:rPr>
          <m:t>–</m:t>
        </m:r>
        <m:r>
          <m:t>15</m:t>
        </m:r>
        <m:r>
          <m:rPr>
            <m:sty m:val="p"/>
          </m:rPr>
          <m:t>%</m:t>
        </m:r>
      </m:oMath>
      <w:r>
        <w:t xml:space="preserve"> </w:t>
      </w:r>
      <w:r>
        <w:t xml:space="preserve">to boost cryptochrome/phytochrome activation, stabilizing HY5 and accelerating pigment biosynthesis.</w:t>
      </w:r>
      <w:r>
        <w:t xml:space="preserve"> </w:t>
      </w:r>
      <w:r>
        <w:t xml:space="preserve">-</w:t>
      </w:r>
      <w:r>
        <w:t xml:space="preserve"> </w:t>
      </w:r>
      <w:r>
        <w:rPr>
          <w:b/>
          <w:bCs/>
        </w:rPr>
        <w:t xml:space="preserve">Red Gate (Hazard Mitigation Mandate):</w:t>
      </w:r>
      <w:r>
        <w:t xml:space="preserve"> </w:t>
      </w:r>
      <w:r>
        <w:t xml:space="preserve">If testing reveals severe biological impairment (germination capacity collapse</w:t>
      </w:r>
      <w:r>
        <w:t xml:space="preserve"> </w:t>
      </w:r>
      <m:oMath>
        <m:r>
          <m:rPr>
            <m:sty m:val="p"/>
          </m:rPr>
          <m:t>&gt;</m:t>
        </m:r>
        <m:r>
          <m:t>20</m:t>
        </m:r>
        <m:r>
          <m:rPr>
            <m:sty m:val="p"/>
          </m:rPr>
          <m:t>%</m:t>
        </m:r>
      </m:oMath>
      <w:r>
        <w:t xml:space="preserve">, severe emergence failure</w:t>
      </w:r>
      <w:r>
        <w:t xml:space="preserve"> </w:t>
      </w:r>
      <m:oMath>
        <m:r>
          <m:rPr>
            <m:sty m:val="p"/>
          </m:rPr>
          <m:t>Δ</m:t>
        </m:r>
        <m:sSub>
          <m:e>
            <m:r>
              <m:t>t</m:t>
            </m:r>
          </m:e>
          <m:sub>
            <m:r>
              <m:t>50</m:t>
            </m:r>
          </m:sub>
        </m:sSub>
        <m:r>
          <m:rPr>
            <m:sty m:val="p"/>
          </m:rPr>
          <m:t>&gt;</m:t>
        </m:r>
        <m:r>
          <m:t>24</m:t>
        </m:r>
        <m:r>
          <m:rPr>
            <m:nor/>
            <m:sty m:val="p"/>
          </m:rPr>
          <m:t> hours</m:t>
        </m:r>
      </m:oMath>
      <w:r>
        <w:t xml:space="preserve">, uncontrolled ROS accumulation, or</w:t>
      </w:r>
      <w:r>
        <w:t xml:space="preserve"> </w:t>
      </w:r>
      <m:oMath>
        <m:r>
          <m:rPr>
            <m:sty m:val="p"/>
          </m:rPr>
          <m:t>&gt;</m:t>
        </m:r>
        <m:r>
          <m:t>30</m:t>
        </m:r>
        <m:r>
          <m:rPr>
            <m:sty m:val="p"/>
          </m:rPr>
          <m:t>%</m:t>
        </m:r>
      </m:oMath>
      <w:r>
        <w:t xml:space="preserve"> </w:t>
      </w:r>
      <w:r>
        <w:t xml:space="preserve">loss in harvestable yield), active mitigation is mandatory:</w:t>
      </w:r>
      <w:r>
        <w:t xml:space="preserve"> </w:t>
      </w:r>
      <w:r>
        <w:t xml:space="preserve">- Integrate low-power, lightweight active bias Helmholtz coils into the payload growth cassette, restoring a localized</w:t>
      </w:r>
      <w:r>
        <w:t xml:space="preserve"> </w:t>
      </w:r>
      <m:oMath>
        <m:r>
          <m:t>40</m:t>
        </m:r>
        <m:r>
          <m:rPr>
            <m:nor/>
            <m:sty m:val="p"/>
          </m:rPr>
          <m:t>–</m:t>
        </m:r>
        <m:r>
          <m:t>50</m:t>
        </m:r>
        <m:r>
          <m:t> </m:t>
        </m:r>
        <m:r>
          <m:t>μ</m:t>
        </m:r>
        <m:r>
          <m:rPr>
            <m:nor/>
            <m:sty m:val="p"/>
          </m:rPr>
          <m:t>T</m:t>
        </m:r>
      </m:oMath>
      <w:r>
        <w:t xml:space="preserve"> </w:t>
      </w:r>
      <w:r>
        <w:t xml:space="preserve">magnetic vector at an electrical cost of</w:t>
      </w:r>
      <w:r>
        <w:t xml:space="preserve"> </w:t>
      </w:r>
      <m:oMath>
        <m:r>
          <m:rPr>
            <m:sty m:val="p"/>
          </m:rPr>
          <m:t>&lt;</m:t>
        </m:r>
        <m:r>
          <m:t>2</m:t>
        </m:r>
        <m:r>
          <m:rPr>
            <m:nor/>
            <m:sty m:val="p"/>
          </m:rPr>
          <m:t> W</m:t>
        </m:r>
      </m:oMath>
      <w:r>
        <w:t xml:space="preserve">.</w:t>
      </w:r>
      <w:r>
        <w:t xml:space="preserve"> </w:t>
      </w:r>
      <w:r>
        <w:t xml:space="preserve">- Transition flight seed payloads to genetically verified, hypomagnetic-tolerant cultivars or lines overexpressing</w:t>
      </w:r>
      <w:r>
        <w:t xml:space="preserve"> </w:t>
      </w:r>
      <w:r>
        <w:rPr>
          <w:i/>
          <w:iCs/>
        </w:rPr>
        <w:t xml:space="preserve">AOX1D</w:t>
      </w:r>
      <w:r>
        <w:t xml:space="preserve">,</w:t>
      </w:r>
      <w:r>
        <w:t xml:space="preserve"> </w:t>
      </w:r>
      <w:r>
        <w:rPr>
          <w:i/>
          <w:iCs/>
        </w:rPr>
        <w:t xml:space="preserve">CAT3</w:t>
      </w:r>
      <w:r>
        <w:t xml:space="preserve">, or</w:t>
      </w:r>
      <w:r>
        <w:t xml:space="preserve"> </w:t>
      </w:r>
      <w:r>
        <w:rPr>
          <w:i/>
          <w:iCs/>
        </w:rPr>
        <w:t xml:space="preserve">HY5</w:t>
      </w:r>
      <w:r>
        <w:t xml:space="preserve">.</w:t>
      </w:r>
    </w:p>
    <w:p>
      <w:r>
        <w:pict>
          <v:rect style="width:0;height:1.5pt" o:hralign="center" o:hrstd="t" o:hr="t"/>
        </w:pict>
      </w:r>
    </w:p>
    <w:bookmarkEnd w:id="42"/>
    <w:bookmarkEnd w:id="43"/>
    <w:bookmarkStart w:id="44"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Planned Artemis South Pole landing sites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on Artemis III and subsequent lunar greenhouse deployments, immediate engineering priorities must focus on incorporating calibrated 3-axis magnetic sensors at the plant canopy, implementing matched-current bifilar sham baselines during ground testing, and validating active causal rescue.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4"/>
    <w:bookmarkStart w:id="45"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5"/>
    <w:bookmarkStart w:id="46"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6"/>
    <w:bookmarkStart w:id="47"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7"/>
    <w:bookmarkStart w:id="48"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8"/>
    <w:bookmarkStart w:id="49"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2026-10-28T02:58:45Z</dcterms:created>
  <dcterms:modified xsi:type="dcterms:W3CDTF">2026-10-28T02:58:45Z</dcterms:modified>
</cp:coreProperties>
</file>

<file path=docProps/custom.xml><?xml version="1.0" encoding="utf-8"?>
<Properties xmlns="http://schemas.openxmlformats.org/officeDocument/2006/custom-properties" xmlns:vt="http://schemas.openxmlformats.org/officeDocument/2006/docPropsVTypes"/>
</file>