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causal rescue) decouple magnetic effects from chamber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in situ causal rescue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8"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16133"/>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16133"/>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III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Start w:id="17" w:name="Xc7c4e0500112f5697d15b00fb13da50806dd79b"/>
    <w:p>
      <w:pPr>
        <w:pStyle w:val="Heading3"/>
      </w:pPr>
      <w:r>
        <w:t xml:space="preserve">1.3 Synthesis Methodology, Public Datasets, and Computational Toolkit</w:t>
      </w:r>
    </w:p>
    <w:p>
      <w:pPr>
        <w:pStyle w:val="FirstParagraph"/>
      </w:pPr>
      <w:r>
        <w:t xml:space="preserve">To establish rigorous, evidence-based conclusions regarding early plant development in lunar magnetic environments, this review employs a systematic literature synthesis and meta-analytic framework:</w:t>
      </w:r>
      <w:r>
        <w:t xml:space="preserve"> </w:t>
      </w:r>
      <w:r>
        <w:t xml:space="preserve">1.</w:t>
      </w:r>
      <w:r>
        <w:t xml:space="preserve"> </w:t>
      </w:r>
      <w:r>
        <w:rPr>
          <w:b/>
          <w:bCs/>
        </w:rPr>
        <w:t xml:space="preserve">Audited Literature Corpus:</w:t>
      </w:r>
      <w:r>
        <w:t xml:space="preserve"> </w:t>
      </w:r>
      <w:r>
        <w:t xml:space="preserve">We surveyed peer-reviewed publications across PubMed, Europe PMC, Web of Science, and NASA technical repositories covering the period from 1965 to 2026. The search identified</w:t>
      </w:r>
      <w:r>
        <w:t xml:space="preserve"> </w:t>
      </w:r>
      <w:r>
        <w:rPr>
          <w:b/>
          <w:bCs/>
        </w:rPr>
        <w:t xml:space="preserve">80 audited peer-reviewed publications</w:t>
      </w:r>
      <w:r>
        <w:t xml:space="preserve"> </w:t>
      </w:r>
      <w:r>
        <w:t xml:space="preserve">directly addressing plant hypomagnetic responses, planetary magnetism, seed developmental physiology, and quantum biophysics. Full bibliographic metadata, experimental magnetic regimes, model organisms, and quantified phenotypic endpoints for all 80 studies are curated in</w:t>
      </w:r>
      <w:r>
        <w:t xml:space="preserve"> </w:t>
      </w:r>
      <w:r>
        <w:rPr>
          <w:b/>
          <w:bCs/>
        </w:rPr>
        <w:t xml:space="preserve">Supplemental Table S1</w:t>
      </w:r>
      <w:r>
        <w:t xml:space="preserve"> </w:t>
      </w:r>
      <w:r>
        <w:t xml:space="preserve">(</w:t>
      </w:r>
      <w:r>
        <w:rPr>
          <w:rStyle w:val="VerbatimChar"/>
        </w:rPr>
        <w:t xml:space="preserve">tables/Table_S1_literature_corpus.csv</w:t>
      </w:r>
      <w:r>
        <w:t xml:space="preserve">).</w:t>
      </w:r>
      <w:r>
        <w:t xml:space="preserve"> </w:t>
      </w:r>
      <w:r>
        <w:t xml:space="preserve">2.</w:t>
      </w:r>
      <w:r>
        <w:t xml:space="preserve"> </w:t>
      </w:r>
      <w:r>
        <w:rPr>
          <w:b/>
          <w:bCs/>
        </w:rPr>
        <w:t xml:space="preserve">Public Datasets &amp; Planetary Repositories:</w:t>
      </w:r>
      <w:r>
        <w:t xml:space="preserve"> </w:t>
      </w:r>
      <w:r>
        <w:t xml:space="preserve">To bridge terrestrial laboratory analogues with planetary and spaceflight conditions, we analyzed</w:t>
      </w:r>
      <w:r>
        <w:t xml:space="preserve"> </w:t>
      </w:r>
      <w:r>
        <w:rPr>
          <w:b/>
          <w:bCs/>
        </w:rPr>
        <w:t xml:space="preserve">6 primary publicly available databases</w:t>
      </w:r>
      <w:r>
        <w:t xml:space="preserve"> </w:t>
      </w:r>
      <w:r>
        <w:t xml:space="preserve">across 4 major repositories:</w:t>
      </w:r>
      <w:r>
        <w:t xml:space="preserve"> </w:t>
      </w:r>
      <w:r>
        <w:t xml:space="preserve">-</w:t>
      </w:r>
      <w:r>
        <w:t xml:space="preserve"> </w:t>
      </w:r>
      <w:r>
        <w:rPr>
          <w:b/>
          <w:bCs/>
        </w:rPr>
        <w:t xml:space="preserve">NASA Open Science Data Repository (OSDR):</w:t>
      </w:r>
      <w:r>
        <w:t xml:space="preserve"> </w:t>
      </w:r>
      <w:r>
        <w:t xml:space="preserve">Accession</w:t>
      </w:r>
      <w:r>
        <w:t xml:space="preserve"> </w:t>
      </w:r>
      <w:r>
        <w:rPr>
          <w:b/>
          <w:bCs/>
        </w:rPr>
        <w:t xml:space="preserve">OSD-782</w:t>
      </w:r>
      <w:r>
        <w:t xml:space="preserve"> </w:t>
      </w:r>
      <w:r>
        <w:t xml:space="preserve">(seedling multi-omics under exploration atmosphere and simulated space radiation),</w:t>
      </w:r>
      <w:r>
        <w:t xml:space="preserve"> </w:t>
      </w:r>
      <w:r>
        <w:rPr>
          <w:b/>
          <w:bCs/>
        </w:rPr>
        <w:t xml:space="preserve">OSD-8</w:t>
      </w:r>
      <w:r>
        <w:t xml:space="preserve"> </w:t>
      </w:r>
      <w:r>
        <w:t xml:space="preserve">(EMCS spaceflight seedling phototropism and growth kinetics), and</w:t>
      </w:r>
      <w:r>
        <w:t xml:space="preserve"> </w:t>
      </w:r>
      <w:r>
        <w:rPr>
          <w:b/>
          <w:bCs/>
        </w:rPr>
        <w:t xml:space="preserve">OSD-27</w:t>
      </w:r>
      <w:r>
        <w:t xml:space="preserve"> </w:t>
      </w:r>
      <w:r>
        <w:t xml:space="preserve">(BRIC-16 spaceflight dark-germination transcriptomics/proteomics).</w:t>
      </w:r>
      <w:r>
        <w:t xml:space="preserve"> </w:t>
      </w:r>
      <w:r>
        <w:t xml:space="preserve">-</w:t>
      </w:r>
      <w:r>
        <w:t xml:space="preserve"> </w:t>
      </w:r>
      <w:r>
        <w:rPr>
          <w:b/>
          <w:bCs/>
        </w:rPr>
        <w:t xml:space="preserve">NASA Planetary Data System (PDS) &amp; JAXA SELENE:</w:t>
      </w:r>
      <w:r>
        <w:t xml:space="preserve"> </w:t>
      </w:r>
      <w:r>
        <w:t xml:space="preserve">Orbital vector magnetometer datasets from the Lunar Prospector (LP-MAG) and Kaguya missions, yielding 3-axis magnetic field grids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across candidate Artemis exploration zones.</w:t>
      </w:r>
      <w:r>
        <w:t xml:space="preserve"> </w:t>
      </w:r>
      <w:r>
        <w:t xml:space="preserve">-</w:t>
      </w:r>
      <w:r>
        <w:t xml:space="preserve"> </w:t>
      </w:r>
      <w:r>
        <w:rPr>
          <w:b/>
          <w:bCs/>
        </w:rPr>
        <w:t xml:space="preserve">Quantum Biology Atlas (QBM-06):</w:t>
      </w:r>
      <w:r>
        <w:t xml:space="preserve"> </w:t>
      </w:r>
      <w:r>
        <w:t xml:space="preserve">Systems Biology Graphical Notation (SBGN) pathway model detailing the enzymatic and radical-pair steps of heterotrophic seed germination before photosynthesis.</w:t>
      </w:r>
      <w:r>
        <w:t xml:space="preserve"> </w:t>
      </w:r>
      <w:r>
        <w:t xml:space="preserve">-</w:t>
      </w:r>
      <w:r>
        <w:t xml:space="preserve"> </w:t>
      </w:r>
      <w:r>
        <w:rPr>
          <w:b/>
          <w:bCs/>
        </w:rPr>
        <w:t xml:space="preserve">Consortium Astronaut Multi-Omics Data:</w:t>
      </w:r>
      <w:r>
        <w:t xml:space="preserve"> </w:t>
      </w:r>
      <w:r>
        <w:t xml:space="preserve">Transcriptomic, metabolomic, and cell-free DNA spaceflight profiles from Afshinnekoo et al. [67]. Full database accession numbers, assay types, and repository URLs are detailed in</w:t>
      </w:r>
      <w:r>
        <w:t xml:space="preserve"> </w:t>
      </w:r>
      <w:r>
        <w:rPr>
          <w:b/>
          <w:bCs/>
        </w:rPr>
        <w:t xml:space="preserve">Supplemental Table S2</w:t>
      </w:r>
      <w:r>
        <w:t xml:space="preserve"> </w:t>
      </w:r>
      <w:r>
        <w:t xml:space="preserve">(</w:t>
      </w:r>
      <w:r>
        <w:rPr>
          <w:rStyle w:val="VerbatimChar"/>
        </w:rPr>
        <w:t xml:space="preserve">tables/Table_S2_public_datasets.csv</w:t>
      </w:r>
      <w:r>
        <w:t xml:space="preserve">).</w:t>
      </w:r>
      <w:r>
        <w:t xml:space="preserve"> </w:t>
      </w:r>
      <w:r>
        <w:t xml:space="preserve">3.</w:t>
      </w:r>
      <w:r>
        <w:t xml:space="preserve"> </w:t>
      </w:r>
      <w:r>
        <w:rPr>
          <w:b/>
          <w:bCs/>
        </w:rPr>
        <w:t xml:space="preserve">Open-Source Computational Toolkit:</w:t>
      </w:r>
      <w:r>
        <w:t xml:space="preserve"> </w:t>
      </w:r>
      <w:r>
        <w:t xml:space="preserve">To ensure complete transparency and algorithmic reproducibility, all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16">
        <w:r>
          <w:rPr>
            <w:rStyle w:val="VerbatimChar"/>
          </w:rPr>
          <w:t xml:space="preserve">dr-richard-barker/NMF_review</w:t>
        </w:r>
      </w:hyperlink>
      <w:r>
        <w:t xml:space="preserve">. All underlying scripts, empirical CSV datasets, and figures are archived under FAIR (Findable, Accessible, Interoperable, and Reusable) data standards on GitHub and Zenodo.</w:t>
      </w:r>
    </w:p>
    <w:p>
      <w:r>
        <w:pict>
          <v:rect style="width:0;height:1.5pt" o:hralign="center" o:hrstd="t" o:hr="t"/>
        </w:pict>
      </w:r>
    </w:p>
    <w:bookmarkEnd w:id="17"/>
    <w:bookmarkEnd w:id="18"/>
    <w:bookmarkStart w:id="25"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02537"/>
            <wp:effectExtent b="0" l="0" r="0" t="0"/>
            <wp:docPr descr="Figure 2" title="" id="20" name="Picture"/>
            <a:graphic>
              <a:graphicData uri="http://schemas.openxmlformats.org/drawingml/2006/picture">
                <pic:pic>
                  <pic:nvPicPr>
                    <pic:cNvPr descr="/Users/drb_laptop/Documents/NMF_review/figures/Fig2_first_5_days_germination_pigments.png" id="21" name="Picture"/>
                    <pic:cNvPicPr>
                      <a:picLocks noChangeArrowheads="1" noChangeAspect="1"/>
                    </pic:cNvPicPr>
                  </pic:nvPicPr>
                  <pic:blipFill>
                    <a:blip r:embed="rId19"/>
                    <a:stretch>
                      <a:fillRect/>
                    </a:stretch>
                  </pic:blipFill>
                  <pic:spPr bwMode="auto">
                    <a:xfrm>
                      <a:off x="0" y="0"/>
                      <a:ext cx="5334000" cy="4402537"/>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2).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2).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22" w:name="X84ab46a2910601b3aa81b5275358d63c8185990"/>
    <w:p>
      <w:pPr>
        <w:pStyle w:val="Heading3"/>
      </w:pPr>
      <w:r>
        <w:t xml:space="preserve">2.1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22"/>
    <w:bookmarkStart w:id="23" w:name="Xaa74a4bab91ffde988354fc058a08a7e1d240f0"/>
    <w:p>
      <w:pPr>
        <w:pStyle w:val="Heading3"/>
      </w:pPr>
      <w:r>
        <w:t xml:space="preserve">2.2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2c; Table 2).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23"/>
    <w:bookmarkStart w:id="24" w:name="Xe6c39742f366f8b4136845bd2138bb297a98052"/>
    <w:p>
      <w:pPr>
        <w:pStyle w:val="Heading3"/>
      </w:pPr>
      <w:r>
        <w:t xml:space="preserve">2.3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4"/>
    <w:bookmarkEnd w:id="25"/>
    <w:bookmarkStart w:id="29" w:name="X02a9b06c6b4373f75ab42fb7113307e65fb3bd2"/>
    <w:p>
      <w:pPr>
        <w:pStyle w:val="Heading2"/>
      </w:pPr>
      <w:r>
        <w:t xml:space="preserve">3. Quantum Molecular Biology of the 0–5 Day Window: The Quantum Biology Atlas Perspective</w:t>
      </w:r>
    </w:p>
    <w:bookmarkStart w:id="26" w:name="Xe0679b0bbf85623df9adac5f6fafff9a4e5dd86"/>
    <w:p>
      <w:pPr>
        <w:pStyle w:val="Heading3"/>
      </w:pPr>
      <w:r>
        <w:t xml:space="preserve">3.1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3a).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6"/>
    <w:bookmarkStart w:id="27"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3b):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27"/>
    <w:bookmarkStart w:id="28"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28"/>
    <w:bookmarkEnd w:id="29"/>
    <w:bookmarkStart w:id="36"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1" name="Picture"/>
            <a:graphic>
              <a:graphicData uri="http://schemas.openxmlformats.org/drawingml/2006/picture">
                <pic:pic>
                  <pic:nvPicPr>
                    <pic:cNvPr descr="/Users/drb_laptop/Documents/NMF_review/figures/Fig4_multistressor_co2_o2_ros_nexus.png" id="32" name="Picture"/>
                    <pic:cNvPicPr>
                      <a:picLocks noChangeArrowheads="1" noChangeAspect="1"/>
                    </pic:cNvPicPr>
                  </pic:nvPicPr>
                  <pic:blipFill>
                    <a:blip r:embed="rId30"/>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33"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33"/>
    <w:bookmarkStart w:id="34"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4"/>
    <w:bookmarkStart w:id="35"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4d).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5"/>
    <w:bookmarkEnd w:id="36"/>
    <w:bookmarkStart w:id="44" w:name="X010ece94745ab7bbcd058eee9e1efe2b7b58067"/>
    <w:p>
      <w:pPr>
        <w:pStyle w:val="Heading2"/>
      </w:pPr>
      <w:r>
        <w:t xml:space="preserve">5.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four-stage framework separating laboratory ground standards from flight engineering realities (Figure 5).</w:t>
      </w:r>
    </w:p>
    <w:p>
      <w:pPr>
        <w:pStyle w:val="BodyText"/>
      </w:pPr>
      <w:r>
        <w:drawing>
          <wp:inline>
            <wp:extent cx="5334000" cy="4510306"/>
            <wp:effectExtent b="0" l="0" r="0" t="0"/>
            <wp:docPr descr="Figure 5" title="" id="38" name="Picture"/>
            <a:graphic>
              <a:graphicData uri="http://schemas.openxmlformats.org/drawingml/2006/picture">
                <pic:pic>
                  <pic:nvPicPr>
                    <pic:cNvPr descr="/Users/drb_laptop/Documents/NMF_review/figures/Fig5_flight_validation_risk_pipeline.png" id="39" name="Picture"/>
                    <pic:cNvPicPr>
                      <a:picLocks noChangeArrowheads="1" noChangeAspect="1"/>
                    </pic:cNvPicPr>
                  </pic:nvPicPr>
                  <pic:blipFill>
                    <a:blip r:embed="rId37"/>
                    <a:stretch>
                      <a:fillRect/>
                    </a:stretch>
                  </pic:blipFill>
                  <pic:spPr bwMode="auto">
                    <a:xfrm>
                      <a:off x="0" y="0"/>
                      <a:ext cx="5334000" cy="4510306"/>
                    </a:xfrm>
                    <a:prstGeom prst="rect">
                      <a:avLst/>
                    </a:prstGeom>
                    <a:noFill/>
                    <a:ln w="9525">
                      <a:noFill/>
                      <a:headEnd/>
                      <a:tailEnd/>
                    </a:ln>
                  </pic:spPr>
                </pic:pic>
              </a:graphicData>
            </a:graphic>
          </wp:inline>
        </w:drawing>
      </w:r>
      <w:r>
        <w:t xml:space="preserve"> </w:t>
      </w:r>
      <w:r>
        <w:rPr>
          <w:b/>
          <w:bCs/>
        </w:rPr>
        <w:t xml:space="preserve">Figure 5 | Scientific knowledge gap retirement, ground simulation standards, and flight instrumentation trade space.</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In Situ Causal Reversal Protocol (Proof of Concept):</w:t>
      </w:r>
      <w:r>
        <w:t xml:space="preserve"> </w:t>
      </w:r>
      <w:r>
        <w:t xml:space="preserve">Three-step causal proof inside magnetic shielding. Step 1: Hypomagnetic exposure (</w:t>
      </w:r>
      <m:oMath>
        <m:r>
          <m:rPr>
            <m:sty m:val="p"/>
          </m:rPr>
          <m:t>&lt;</m:t>
        </m:r>
        <m:r>
          <m:t>10</m:t>
        </m:r>
        <m:r>
          <m:rPr>
            <m:nor/>
            <m:sty m:val="p"/>
          </m:rPr>
          <m:t> nT</m:t>
        </m:r>
      </m:oMath>
      <w:r>
        <w:t xml:space="preserve">) elicits emergence lag, chlorosis, and mitochondrial ROS leakage.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Flight Payload Trade Space: Science Gaps vs. Engineering Realities:</w:t>
      </w:r>
      <w:r>
        <w:t xml:space="preserve"> </w:t>
      </w:r>
      <w:r>
        <w:t xml:space="preserve">Delineating what flight payloads can realistically accommodate (passive 3-axis fluxgate/AMR canopy vector logging,</w:t>
      </w:r>
      <w:r>
        <w:t xml:space="preserve"> </w:t>
      </w:r>
      <m:oMath>
        <m:r>
          <m:rPr>
            <m:sty m:val="p"/>
          </m:rPr>
          <m:t>&lt;</m:t>
        </m:r>
        <m:r>
          <m:t>1</m:t>
        </m:r>
        <m:r>
          <m:rPr>
            <m:nor/>
            <m:sty m:val="p"/>
          </m:rPr>
          <m:t> W</m:t>
        </m:r>
      </m:oMath>
      <w:r>
        <w:t xml:space="preserve">, grams of mass, continuous DC-to-AC field capture, post-flight correlative science) versus what exceeds typical flight resource envelopes and should remain ground-based (active Helmholtz cancellation/bias coils, heavy copper mass, continuous power consumption, thermal dissipation, and spacecraft EMI certification hurdles).</w:t>
      </w:r>
      <w:r>
        <w:br/>
      </w:r>
      <w:r>
        <w:rPr>
          <w:b/>
          <w:bCs/>
        </w:rPr>
        <w:t xml:space="preserve">(d) Post-Flight Phenotypic Disambiguation Framework:</w:t>
      </w:r>
      <w:r>
        <w:t xml:space="preserve"> </w:t>
      </w:r>
      <w:r>
        <w:t xml:space="preserve">Diagnostic matrix translating empirical ground and flight telemetry to decouple overlapping environmental stressors in lunar agricultural payloads (Table 3),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40" w:name="X5a6cab0ce20cddfc1b83a6c9ec27c525a7de980"/>
    <w:p>
      <w:pPr>
        <w:pStyle w:val="Heading3"/>
      </w:pPr>
      <w:r>
        <w:t xml:space="preserve">5.1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5a).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40"/>
    <w:bookmarkStart w:id="41" w:name="stage-2-in-situ-causal-reversal-protocol"/>
    <w:p>
      <w:pPr>
        <w:pStyle w:val="Heading3"/>
      </w:pPr>
      <w:r>
        <w:t xml:space="preserve">5.2 Stage 2: In Situ Causal Reversal Protocol</w:t>
      </w:r>
    </w:p>
    <w:p>
      <w:pPr>
        <w:pStyle w:val="FirstParagraph"/>
      </w:pPr>
      <w:r>
        <w:t xml:space="preserve">To definitively exclude chamber enclosure, volatile organic compound (VOC), or microclimatic artifacts in terrestrial simulation facilities, research programs should execute the</w:t>
      </w:r>
      <w:r>
        <w:t xml:space="preserve"> </w:t>
      </w:r>
      <w:r>
        <w:rPr>
          <w:b/>
          <w:bCs/>
        </w:rPr>
        <w:t xml:space="preserve">In Situ Causal Rescue Protocol</w:t>
      </w:r>
      <w:r>
        <w:t xml:space="preserve"> </w:t>
      </w:r>
      <w:r>
        <w:t xml:space="preserve">[11,79]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 eliminating non-magnetic enclosure artifacts.</w:t>
      </w:r>
    </w:p>
    <w:bookmarkEnd w:id="41"/>
    <w:bookmarkStart w:id="42" w:name="X9256c05d803a4956fb130d72280f015ff9aee3d"/>
    <w:p>
      <w:pPr>
        <w:pStyle w:val="Heading3"/>
      </w:pPr>
      <w:r>
        <w:t xml:space="preserve">5.3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w:t>
      </w:r>
      <w:r>
        <w:t xml:space="preserve">(Figure 5c).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42"/>
    <w:bookmarkStart w:id="43" w:name="X66ca7d27465b90b43e87ceb0659be82b5dc313d"/>
    <w:p>
      <w:pPr>
        <w:pStyle w:val="Heading3"/>
      </w:pPr>
      <w:r>
        <w:t xml:space="preserve">5.4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5d; Table 3):</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3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43"/>
    <w:bookmarkEnd w:id="44"/>
    <w:bookmarkStart w:id="45"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6"/>
    <w:bookmarkStart w:id="47"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7"/>
    <w:bookmarkStart w:id="48"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8"/>
    <w:bookmarkStart w:id="49"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2"/>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6"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2026-10-29T00:44:46Z</dcterms:created>
  <dcterms:modified xsi:type="dcterms:W3CDTF">2026-10-29T00:44:46Z</dcterms:modified>
</cp:coreProperties>
</file>

<file path=docProps/custom.xml><?xml version="1.0" encoding="utf-8"?>
<Properties xmlns="http://schemas.openxmlformats.org/officeDocument/2006/custom-properties" xmlns:vt="http://schemas.openxmlformats.org/officeDocument/2006/docPropsVTypes"/>
</file>