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hardware self-magnetic mapping decouple magnetic effects from payload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8"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60776"/>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60776"/>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Start w:id="17" w:name="Xc7c4e0500112f5697d15b00fb13da50806dd79b"/>
    <w:p>
      <w:pPr>
        <w:pStyle w:val="Heading3"/>
      </w:pPr>
      <w:r>
        <w:t xml:space="preserve">1.3 Synthesis Methodology, Public Datasets, and Computational Toolkit</w:t>
      </w:r>
    </w:p>
    <w:p>
      <w:pPr>
        <w:pStyle w:val="FirstParagraph"/>
      </w:pPr>
      <w:r>
        <w:t xml:space="preserve">To establish rigorous, evidence-based conclusions regarding early plant development in lunar magnetic environments, this review employs a systematic literature synthesis and meta-analytic framework:</w:t>
      </w:r>
      <w:r>
        <w:t xml:space="preserve"> </w:t>
      </w:r>
      <w:r>
        <w:t xml:space="preserve">1.</w:t>
      </w:r>
      <w:r>
        <w:t xml:space="preserve"> </w:t>
      </w:r>
      <w:r>
        <w:rPr>
          <w:b/>
          <w:bCs/>
        </w:rPr>
        <w:t xml:space="preserve">Audited Literature Corpus:</w:t>
      </w:r>
      <w:r>
        <w:t xml:space="preserve"> </w:t>
      </w:r>
      <w:r>
        <w:t xml:space="preserve">We surveyed peer-reviewed publications across PubMed, Europe PMC, Web of Science, and NASA technical repositories covering the period from 1965 to 2026. The search identified</w:t>
      </w:r>
      <w:r>
        <w:t xml:space="preserve"> </w:t>
      </w:r>
      <w:r>
        <w:rPr>
          <w:b/>
          <w:bCs/>
        </w:rPr>
        <w:t xml:space="preserve">80 audited peer-reviewed publications</w:t>
      </w:r>
      <w:r>
        <w:t xml:space="preserve"> </w:t>
      </w:r>
      <w:r>
        <w:t xml:space="preserve">directly addressing plant hypomagnetic responses, planetary magnetism, seed developmental physiology, and quantum biophysics. Full bibliographic metadata, experimental magnetic regimes, model organisms, and quantified phenotypic endpoints for all 80 studies are curated in</w:t>
      </w:r>
      <w:r>
        <w:t xml:space="preserve"> </w:t>
      </w:r>
      <w:r>
        <w:rPr>
          <w:b/>
          <w:bCs/>
        </w:rPr>
        <w:t xml:space="preserve">Supplemental Table S1</w:t>
      </w:r>
      <w:r>
        <w:t xml:space="preserve"> </w:t>
      </w:r>
      <w:r>
        <w:t xml:space="preserve">(</w:t>
      </w:r>
      <w:r>
        <w:rPr>
          <w:rStyle w:val="VerbatimChar"/>
        </w:rPr>
        <w:t xml:space="preserve">tables/Table_S1_literature_corpus.csv</w:t>
      </w:r>
      <w:r>
        <w:t xml:space="preserve">).</w:t>
      </w:r>
      <w:r>
        <w:t xml:space="preserve"> </w:t>
      </w:r>
      <w:r>
        <w:t xml:space="preserve">2.</w:t>
      </w:r>
      <w:r>
        <w:t xml:space="preserve"> </w:t>
      </w:r>
      <w:r>
        <w:rPr>
          <w:b/>
          <w:bCs/>
        </w:rPr>
        <w:t xml:space="preserve">Public Datasets &amp; Planetary Repositories:</w:t>
      </w:r>
      <w:r>
        <w:t xml:space="preserve"> </w:t>
      </w:r>
      <w:r>
        <w:t xml:space="preserve">To bridge terrestrial laboratory analogues with planetary and spaceflight conditions, we analyzed</w:t>
      </w:r>
      <w:r>
        <w:t xml:space="preserve"> </w:t>
      </w:r>
      <w:r>
        <w:rPr>
          <w:b/>
          <w:bCs/>
        </w:rPr>
        <w:t xml:space="preserve">6 primary publicly available databases</w:t>
      </w:r>
      <w:r>
        <w:t xml:space="preserve"> </w:t>
      </w:r>
      <w:r>
        <w:t xml:space="preserve">across 4 major repositories:</w:t>
      </w:r>
      <w:r>
        <w:t xml:space="preserve"> </w:t>
      </w:r>
      <w:r>
        <w:t xml:space="preserve">-</w:t>
      </w:r>
      <w:r>
        <w:t xml:space="preserve"> </w:t>
      </w:r>
      <w:r>
        <w:rPr>
          <w:b/>
          <w:bCs/>
        </w:rPr>
        <w:t xml:space="preserve">NASA Open Science Data Repository (OSDR):</w:t>
      </w:r>
      <w:r>
        <w:t xml:space="preserve"> </w:t>
      </w:r>
      <w:r>
        <w:t xml:space="preserve">Accession</w:t>
      </w:r>
      <w:r>
        <w:t xml:space="preserve"> </w:t>
      </w:r>
      <w:r>
        <w:rPr>
          <w:b/>
          <w:bCs/>
        </w:rPr>
        <w:t xml:space="preserve">OSD-782</w:t>
      </w:r>
      <w:r>
        <w:t xml:space="preserve"> </w:t>
      </w:r>
      <w:r>
        <w:t xml:space="preserve">(seedling multi-omics under exploration atmosphere and simulated space radiation),</w:t>
      </w:r>
      <w:r>
        <w:t xml:space="preserve"> </w:t>
      </w:r>
      <w:r>
        <w:rPr>
          <w:b/>
          <w:bCs/>
        </w:rPr>
        <w:t xml:space="preserve">OSD-8</w:t>
      </w:r>
      <w:r>
        <w:t xml:space="preserve"> </w:t>
      </w:r>
      <w:r>
        <w:t xml:space="preserve">(EMCS spaceflight seedling phototropism and growth kinetics), and</w:t>
      </w:r>
      <w:r>
        <w:t xml:space="preserve"> </w:t>
      </w:r>
      <w:r>
        <w:rPr>
          <w:b/>
          <w:bCs/>
        </w:rPr>
        <w:t xml:space="preserve">OSD-27</w:t>
      </w:r>
      <w:r>
        <w:t xml:space="preserve"> </w:t>
      </w:r>
      <w:r>
        <w:t xml:space="preserve">(BRIC-16 spaceflight dark-germination transcriptomics/proteomics).</w:t>
      </w:r>
      <w:r>
        <w:t xml:space="preserve"> </w:t>
      </w:r>
      <w:r>
        <w:t xml:space="preserve">-</w:t>
      </w:r>
      <w:r>
        <w:t xml:space="preserve"> </w:t>
      </w:r>
      <w:r>
        <w:rPr>
          <w:b/>
          <w:bCs/>
        </w:rPr>
        <w:t xml:space="preserve">NASA Planetary Data System (PDS) &amp; JAXA SELENE:</w:t>
      </w:r>
      <w:r>
        <w:t xml:space="preserve"> </w:t>
      </w:r>
      <w:r>
        <w:t xml:space="preserve">Orbital vector magnetometer datasets from the Lunar Prospector (LP-MAG) and Kaguya missions, yielding 3-axis magnetic field grids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across candidate Artemis exploration zones.</w:t>
      </w:r>
      <w:r>
        <w:t xml:space="preserve"> </w:t>
      </w:r>
      <w:r>
        <w:t xml:space="preserve">-</w:t>
      </w:r>
      <w:r>
        <w:t xml:space="preserve"> </w:t>
      </w:r>
      <w:r>
        <w:rPr>
          <w:b/>
          <w:bCs/>
        </w:rPr>
        <w:t xml:space="preserve">Quantum Biology Atlas (QBM-06):</w:t>
      </w:r>
      <w:r>
        <w:t xml:space="preserve"> </w:t>
      </w:r>
      <w:r>
        <w:t xml:space="preserve">Systems Biology Graphical Notation (SBGN) pathway model detailing the enzymatic and radical-pair steps of heterotrophic seed germination before photosynthesis.</w:t>
      </w:r>
      <w:r>
        <w:t xml:space="preserve"> </w:t>
      </w:r>
      <w:r>
        <w:t xml:space="preserve">-</w:t>
      </w:r>
      <w:r>
        <w:t xml:space="preserve"> </w:t>
      </w:r>
      <w:r>
        <w:rPr>
          <w:b/>
          <w:bCs/>
        </w:rPr>
        <w:t xml:space="preserve">Consortium Astronaut Multi-Omics Data:</w:t>
      </w:r>
      <w:r>
        <w:t xml:space="preserve"> </w:t>
      </w:r>
      <w:r>
        <w:t xml:space="preserve">Transcriptomic, metabolomic, and cell-free DNA spaceflight profiles from Afshinnekoo et al. [67]. Full database accession numbers, assay types, and repository URLs are detailed in</w:t>
      </w:r>
      <w:r>
        <w:t xml:space="preserve"> </w:t>
      </w:r>
      <w:r>
        <w:rPr>
          <w:b/>
          <w:bCs/>
        </w:rPr>
        <w:t xml:space="preserve">Supplemental Table S2</w:t>
      </w:r>
      <w:r>
        <w:t xml:space="preserve"> </w:t>
      </w:r>
      <w:r>
        <w:t xml:space="preserve">(</w:t>
      </w:r>
      <w:r>
        <w:rPr>
          <w:rStyle w:val="VerbatimChar"/>
        </w:rPr>
        <w:t xml:space="preserve">tables/Table_S2_public_datasets.csv</w:t>
      </w:r>
      <w:r>
        <w:t xml:space="preserve">).</w:t>
      </w:r>
      <w:r>
        <w:t xml:space="preserve"> </w:t>
      </w:r>
      <w:r>
        <w:t xml:space="preserve">3.</w:t>
      </w:r>
      <w:r>
        <w:t xml:space="preserve"> </w:t>
      </w:r>
      <w:r>
        <w:rPr>
          <w:b/>
          <w:bCs/>
        </w:rPr>
        <w:t xml:space="preserve">Open-Source Computational Toolkit:</w:t>
      </w:r>
      <w:r>
        <w:t xml:space="preserve"> </w:t>
      </w:r>
      <w:r>
        <w:t xml:space="preserve">To ensure complete transparency and algorithmic reproducibility, all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16">
        <w:r>
          <w:rPr>
            <w:rStyle w:val="VerbatimChar"/>
          </w:rPr>
          <w:t xml:space="preserve">dr-richard-barker/NMF_review</w:t>
        </w:r>
      </w:hyperlink>
      <w:r>
        <w:t xml:space="preserve">. All underlying scripts, empirical CSV datasets, and figures are archived under FAIR (Findable, Accessible, Interoperable, and Reusable) data standards on GitHub and Zenodo.</w:t>
      </w:r>
    </w:p>
    <w:p>
      <w:r>
        <w:pict>
          <v:rect style="width:0;height:1.5pt" o:hralign="center" o:hrstd="t" o:hr="t"/>
        </w:pict>
      </w:r>
    </w:p>
    <w:bookmarkEnd w:id="17"/>
    <w:bookmarkEnd w:id="18"/>
    <w:bookmarkStart w:id="25"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43106"/>
            <wp:effectExtent b="0" l="0" r="0" t="0"/>
            <wp:docPr descr="Figure 2" title="" id="20" name="Picture"/>
            <a:graphic>
              <a:graphicData uri="http://schemas.openxmlformats.org/drawingml/2006/picture">
                <pic:pic>
                  <pic:nvPicPr>
                    <pic:cNvPr descr="/Users/drb_laptop/Documents/NMF_review/figures/Fig2_first_5_days_germination_pigments.png" id="21" name="Picture"/>
                    <pic:cNvPicPr>
                      <a:picLocks noChangeArrowheads="1" noChangeAspect="1"/>
                    </pic:cNvPicPr>
                  </pic:nvPicPr>
                  <pic:blipFill>
                    <a:blip r:embed="rId19"/>
                    <a:stretch>
                      <a:fillRect/>
                    </a:stretch>
                  </pic:blipFill>
                  <pic:spPr bwMode="auto">
                    <a:xfrm>
                      <a:off x="0" y="0"/>
                      <a:ext cx="5334000" cy="4443106"/>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2).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2).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22" w:name="X84ab46a2910601b3aa81b5275358d63c8185990"/>
    <w:p>
      <w:pPr>
        <w:pStyle w:val="Heading3"/>
      </w:pPr>
      <w:r>
        <w:t xml:space="preserve">2.1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22"/>
    <w:bookmarkStart w:id="23" w:name="Xaa74a4bab91ffde988354fc058a08a7e1d240f0"/>
    <w:p>
      <w:pPr>
        <w:pStyle w:val="Heading3"/>
      </w:pPr>
      <w:r>
        <w:t xml:space="preserve">2.2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2c; Table 2).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23"/>
    <w:bookmarkStart w:id="24" w:name="Xe6c39742f366f8b4136845bd2138bb297a98052"/>
    <w:p>
      <w:pPr>
        <w:pStyle w:val="Heading3"/>
      </w:pPr>
      <w:r>
        <w:t xml:space="preserve">2.3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4"/>
    <w:bookmarkEnd w:id="25"/>
    <w:bookmarkStart w:id="29" w:name="X02a9b06c6b4373f75ab42fb7113307e65fb3bd2"/>
    <w:p>
      <w:pPr>
        <w:pStyle w:val="Heading2"/>
      </w:pPr>
      <w:r>
        <w:t xml:space="preserve">3. Quantum Molecular Biology of the 0–5 Day Window: The Quantum Biology Atlas Perspective</w:t>
      </w:r>
    </w:p>
    <w:bookmarkStart w:id="26" w:name="Xe0679b0bbf85623df9adac5f6fafff9a4e5dd86"/>
    <w:p>
      <w:pPr>
        <w:pStyle w:val="Heading3"/>
      </w:pPr>
      <w:r>
        <w:t xml:space="preserve">3.1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3a).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6"/>
    <w:bookmarkStart w:id="27"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27"/>
    <w:bookmarkStart w:id="28"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8"/>
    <w:bookmarkEnd w:id="29"/>
    <w:bookmarkStart w:id="36"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1" name="Picture"/>
            <a:graphic>
              <a:graphicData uri="http://schemas.openxmlformats.org/drawingml/2006/picture">
                <pic:pic>
                  <pic:nvPicPr>
                    <pic:cNvPr descr="/Users/drb_laptop/Documents/NMF_review/figures/Fig4_multistressor_co2_o2_ros_nexus.png" id="32" name="Picture"/>
                    <pic:cNvPicPr>
                      <a:picLocks noChangeArrowheads="1" noChangeAspect="1"/>
                    </pic:cNvPicPr>
                  </pic:nvPicPr>
                  <pic:blipFill>
                    <a:blip r:embed="rId30"/>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3"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3"/>
    <w:bookmarkStart w:id="34"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4"/>
    <w:bookmarkStart w:id="35"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5"/>
    <w:bookmarkEnd w:id="36"/>
    <w:bookmarkStart w:id="44" w:name="X010ece94745ab7bbcd058eee9e1efe2b7b58067"/>
    <w:p>
      <w:pPr>
        <w:pStyle w:val="Heading2"/>
      </w:pPr>
      <w:r>
        <w:t xml:space="preserve">5.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5).</w:t>
      </w:r>
    </w:p>
    <w:p>
      <w:pPr>
        <w:pStyle w:val="BodyText"/>
      </w:pPr>
      <w:r>
        <w:drawing>
          <wp:inline>
            <wp:extent cx="5334000" cy="4446945"/>
            <wp:effectExtent b="0" l="0" r="0" t="0"/>
            <wp:docPr descr="Figure 5" title="" id="38" name="Picture"/>
            <a:graphic>
              <a:graphicData uri="http://schemas.openxmlformats.org/drawingml/2006/picture">
                <pic:pic>
                  <pic:nvPicPr>
                    <pic:cNvPr descr="/Users/drb_laptop/Documents/NMF_review/figures/Fig5_flight_validation_risk_pipeline.png" id="39" name="Picture"/>
                    <pic:cNvPicPr>
                      <a:picLocks noChangeArrowheads="1" noChangeAspect="1"/>
                    </pic:cNvPicPr>
                  </pic:nvPicPr>
                  <pic:blipFill>
                    <a:blip r:embed="rId37"/>
                    <a:stretch>
                      <a:fillRect/>
                    </a:stretch>
                  </pic:blipFill>
                  <pic:spPr bwMode="auto">
                    <a:xfrm>
                      <a:off x="0" y="0"/>
                      <a:ext cx="5334000" cy="4446945"/>
                    </a:xfrm>
                    <a:prstGeom prst="rect">
                      <a:avLst/>
                    </a:prstGeom>
                    <a:noFill/>
                    <a:ln w="9525">
                      <a:noFill/>
                      <a:headEnd/>
                      <a:tailEnd/>
                    </a:ln>
                  </pic:spPr>
                </pic:pic>
              </a:graphicData>
            </a:graphic>
          </wp:inline>
        </w:drawing>
      </w:r>
      <w:r>
        <w:t xml:space="preserve"> </w:t>
      </w:r>
      <w:r>
        <w:rPr>
          <w:b/>
          <w:bCs/>
        </w:rPr>
        <w:t xml:space="preserve">Figure 5 | Ground simulation standards, hardware self-magnetic assessment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Hardware Self-Magnetic Assessment Protocol (Power-State Mapping):</w:t>
      </w:r>
      <w:r>
        <w:t xml:space="preserve"> </w:t>
      </w:r>
      <w:r>
        <w:t xml:space="preserve">Systematic calibration matrix to decouple hardware self-generated magnetic fields from the ambient lunar near-null field. As payload subsystems modulate across operational power settings (LED PAR lighting</w:t>
      </w:r>
      <w:r>
        <w:t xml:space="preserve"> </w:t>
      </w:r>
      <m:oMath>
        <m:r>
          <m:t>0</m:t>
        </m:r>
        <m:r>
          <m:rPr>
            <m:nor/>
            <m:sty m:val="p"/>
          </m:rPr>
          <m:t>–</m:t>
        </m:r>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inducing</w:t>
      </w:r>
      <w:r>
        <w:t xml:space="preserve"> </w:t>
      </w:r>
      <m:oMath>
        <m:r>
          <m:rPr>
            <m:sty m:val="p"/>
          </m:rPr>
          <m:t>Δ</m:t>
        </m:r>
        <m:r>
          <m:t>B</m:t>
        </m:r>
        <m:r>
          <m:rPr>
            <m:sty m:val="p"/>
          </m:rPr>
          <m:t>≈</m:t>
        </m:r>
        <m:r>
          <m:t>2</m:t>
        </m:r>
        <m:r>
          <m:rPr>
            <m:nor/>
            <m:sty m:val="p"/>
          </m:rPr>
          <m:t>–</m:t>
        </m:r>
        <m:r>
          <m:t>15</m:t>
        </m:r>
        <m:r>
          <m:t> </m:t>
        </m:r>
        <m:r>
          <m:t>μ</m:t>
        </m:r>
        <m:r>
          <m:rPr>
            <m:nor/>
            <m:sty m:val="p"/>
          </m:rPr>
          <m:t>T</m:t>
        </m:r>
      </m:oMath>
      <w:r>
        <w:t xml:space="preserve">; fluidic pump pulses inducing</w:t>
      </w:r>
      <w:r>
        <w:t xml:space="preserve"> </w:t>
      </w:r>
      <m:oMath>
        <m:r>
          <m:rPr>
            <m:sty m:val="p"/>
          </m:rPr>
          <m:t>Δ</m:t>
        </m:r>
        <m:r>
          <m:t>B</m:t>
        </m:r>
        <m:r>
          <m:rPr>
            <m:sty m:val="p"/>
          </m:rPr>
          <m:t>≈</m:t>
        </m:r>
        <m:r>
          <m:t>8</m:t>
        </m:r>
        <m:r>
          <m:rPr>
            <m:nor/>
            <m:sty m:val="p"/>
          </m:rPr>
          <m:t>–</m:t>
        </m:r>
        <m:r>
          <m:t>35</m:t>
        </m:r>
        <m:r>
          <m:t> </m:t>
        </m:r>
        <m:r>
          <m:t>μ</m:t>
        </m:r>
        <m:r>
          <m:rPr>
            <m:nor/>
            <m:sty m:val="p"/>
          </m:rPr>
          <m:t>T</m:t>
        </m:r>
      </m:oMath>
      <w:r>
        <w:t xml:space="preserve">; resistive thermal heaters inducing</w:t>
      </w:r>
      <w:r>
        <w:t xml:space="preserve"> </w:t>
      </w:r>
      <m:oMath>
        <m:r>
          <m:rPr>
            <m:sty m:val="p"/>
          </m:rPr>
          <m:t>Δ</m:t>
        </m:r>
        <m:r>
          <m:t>B</m:t>
        </m:r>
        <m:r>
          <m:rPr>
            <m:sty m:val="p"/>
          </m:rPr>
          <m:t>≈</m:t>
        </m:r>
        <m:r>
          <m:t>12</m:t>
        </m:r>
        <m:r>
          <m:rPr>
            <m:nor/>
            <m:sty m:val="p"/>
          </m:rPr>
          <m:t>–</m:t>
        </m:r>
        <m:r>
          <m:t>48</m:t>
        </m:r>
        <m:r>
          <m:t> </m:t>
        </m:r>
        <m:r>
          <m:t>μ</m:t>
        </m:r>
        <m:r>
          <m:rPr>
            <m:nor/>
            <m:sty m:val="p"/>
          </m:rPr>
          <m:t>T</m:t>
        </m:r>
      </m:oMath>
      <w:r>
        <w:t xml:space="preserve">; and avionics telemetry buses generating</w:t>
      </w:r>
      <w:r>
        <w:t xml:space="preserve"> </w:t>
      </w:r>
      <m:oMath>
        <m:r>
          <m:rPr>
            <m:sty m:val="p"/>
          </m:rPr>
          <m:t>Δ</m:t>
        </m:r>
        <m:r>
          <m:t>B</m:t>
        </m:r>
        <m:r>
          <m:rPr>
            <m:sty m:val="p"/>
          </m:rPr>
          <m:t>≈</m:t>
        </m:r>
        <m:r>
          <m:t>0.5</m:t>
        </m:r>
        <m:r>
          <m:rPr>
            <m:nor/>
            <m:sty m:val="p"/>
          </m:rPr>
          <m:t>–</m:t>
        </m:r>
        <m:r>
          <m:t>4</m:t>
        </m:r>
        <m:r>
          <m:t> </m:t>
        </m:r>
        <m:r>
          <m:t>μ</m:t>
        </m:r>
        <m:r>
          <m:rPr>
            <m:nor/>
            <m:sty m:val="p"/>
          </m:rPr>
          <m:t>T</m:t>
        </m:r>
      </m:oMath>
      <w:r>
        <w:t xml:space="preserve">), induced DC vectors are logged. Using the empirical superposition transfer function</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w:r>
        <w:t xml:space="preserve">, payload self-fields are computationally subtracted to isolate true ambient exposure without requiring active in-flight cancellation coils.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3),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40" w:name="X5a6cab0ce20cddfc1b83a6c9ec27c525a7de980"/>
    <w:p>
      <w:pPr>
        <w:pStyle w:val="Heading3"/>
      </w:pPr>
      <w:r>
        <w:t xml:space="preserve">5.1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5a).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40"/>
    <w:bookmarkStart w:id="41" w:name="X3176de122914450ed1a5a6b1fe8669a2353144e"/>
    <w:p>
      <w:pPr>
        <w:pStyle w:val="Heading3"/>
      </w:pPr>
      <w:r>
        <w:t xml:space="preserve">5.2 Stage 2: Hardware Self-Magnetic Assessment Protocol and Power-State Mapping</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(5 to &gt;50 µT) that vary continuously with subsystem operational power settings (Figure 5b). To decouple these hardware self-fields from the ambient lunar near-null environment without requiring mass-prohibitive magnetic shielding, engineering teams must execute a pre-flight and in-flight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Quiescent Baseline Mapping:</w:t>
      </w:r>
      <w:r>
        <w:t xml:space="preserve"> </w:t>
      </w:r>
      <w:r>
        <w:t xml:space="preserve">With all dynamic actuators deactivated, measure the quiescent baseline vector</w:t>
      </w:r>
      <w:r>
        <w:t xml:space="preserve"> </w:t>
      </w:r>
      <m:oMath>
        <m:sSub>
          <m:e>
            <m:r>
              <m:rPr>
                <m:sty m:val="bi"/>
              </m:rPr>
              <m:t>B</m:t>
            </m:r>
          </m:e>
          <m:sub>
            <m:r>
              <m:rPr>
                <m:sty m:val="p"/>
              </m:rPr>
              <m:t>i</m:t>
            </m:r>
            <m:r>
              <m:rPr>
                <m:sty m:val="p"/>
              </m:rPr>
              <m:t>d</m:t>
            </m:r>
            <m:r>
              <m:rPr>
                <m:sty m:val="p"/>
              </m:rPr>
              <m:t>l</m:t>
            </m:r>
            <m:r>
              <m:rPr>
                <m:sty m:val="p"/>
              </m:rPr>
              <m:t>e</m:t>
            </m:r>
          </m:sub>
        </m:sSub>
      </m:oMath>
      <w:r>
        <w:t xml:space="preserve"> </w:t>
      </w:r>
      <w:r>
        <w:t xml:space="preserve">at the plant canopy using miniature 3-axis magnetometers.</w:t>
      </w:r>
      <w:r>
        <w:t xml:space="preserve"> </w:t>
      </w:r>
      <w:r>
        <w:t xml:space="preserve">2.</w:t>
      </w:r>
      <w:r>
        <w:t xml:space="preserve"> </w:t>
      </w:r>
      <w:r>
        <w:rPr>
          <w:b/>
          <w:bCs/>
        </w:rPr>
        <w:t xml:space="preserve">Subsystem Power-State Sweeps:</w:t>
      </w:r>
      <w:r>
        <w:t xml:space="preserve"> </w:t>
      </w:r>
      <w:r>
        <w:t xml:space="preserve">Stepwise calibrate each subsystem independently across its dynamic range:</w:t>
      </w:r>
      <w:r>
        <w:t xml:space="preserve"> </w:t>
      </w:r>
      <w:r>
        <w:t xml:space="preserve">-</w:t>
      </w:r>
      <w:r>
        <w:t xml:space="preserve"> </w:t>
      </w:r>
      <w:r>
        <w:rPr>
          <w:i/>
          <w:iCs/>
        </w:rPr>
        <w:t xml:space="preserve">LED PAR Array:</w:t>
      </w:r>
      <w:r>
        <w:t xml:space="preserve"> </w:t>
      </w:r>
      <w:r>
        <w:t xml:space="preserve">Sweep irradiance from 0 to</w:t>
      </w:r>
      <w:r>
        <w:t xml:space="preserve"> </w:t>
      </w:r>
      <m:oMath>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w:t>
      </w:r>
      <m:oMath>
        <m:r>
          <m:t>0</m:t>
        </m:r>
        <m:r>
          <m:rPr>
            <m:nor/>
            <m:sty m:val="p"/>
          </m:rPr>
          <m:t>–</m:t>
        </m:r>
        <m:r>
          <m:t>25</m:t>
        </m:r>
        <m:r>
          <m:rPr>
            <m:nor/>
            <m:sty m:val="p"/>
          </m:rPr>
          <m:t> W</m:t>
        </m:r>
      </m:oMath>
      <w:r>
        <w:t xml:space="preserve">,</w:t>
      </w:r>
      <w:r>
        <w:t xml:space="preserve"> </w:t>
      </w:r>
      <m:oMath>
        <m:r>
          <m:t>0.1</m:t>
        </m:r>
        <m:r>
          <m:rPr>
            <m:nor/>
            <m:sty m:val="p"/>
          </m:rPr>
          <m:t>–</m:t>
        </m:r>
        <m:r>
          <m:t>1.8</m:t>
        </m:r>
        <m:r>
          <m:rPr>
            <m:nor/>
            <m:sty m:val="p"/>
          </m:rPr>
          <m:t> A</m:t>
        </m:r>
      </m:oMath>
      <w:r>
        <w:t xml:space="preserve">), recording the induced vector</w:t>
      </w:r>
      <w:r>
        <w:t xml:space="preserve"> </w:t>
      </w:r>
      <m:oMath>
        <m:r>
          <m:rPr>
            <m:sty m:val="p"/>
          </m:rPr>
          <m:t>Δ</m:t>
        </m:r>
        <m:sSub>
          <m:e>
            <m:r>
              <m:rPr>
                <m:sty m:val="bi"/>
              </m:rPr>
              <m:t>B</m:t>
            </m:r>
          </m:e>
          <m:sub>
            <m:r>
              <m:rPr>
                <m:sty m:val="p"/>
              </m:rPr>
              <m:t>L</m:t>
            </m:r>
            <m:r>
              <m:rPr>
                <m:sty m:val="p"/>
              </m:rPr>
              <m:t>E</m:t>
            </m:r>
            <m:r>
              <m:rPr>
                <m:sty m:val="p"/>
              </m:rPr>
              <m:t>D</m:t>
            </m:r>
          </m:sub>
        </m:sSub>
        <m:r>
          <m:rPr>
            <m:sty m:val="p"/>
          </m:rPr>
          <m:t>(</m:t>
        </m:r>
        <m:sSub>
          <m:e>
            <m:r>
              <m:t>P</m:t>
            </m:r>
          </m:e>
          <m:sub>
            <m:r>
              <m:rPr>
                <m:sty m:val="p"/>
              </m:rPr>
              <m:t>l</m:t>
            </m:r>
            <m:r>
              <m:rPr>
                <m:sty m:val="p"/>
              </m:rPr>
              <m:t>i</m:t>
            </m:r>
            <m:r>
              <m:rPr>
                <m:sty m:val="p"/>
              </m:rPr>
              <m:t>g</m:t>
            </m:r>
            <m:r>
              <m:rPr>
                <m:sty m:val="p"/>
              </m:rPr>
              <m:t>h</m:t>
            </m:r>
            <m:r>
              <m:rPr>
                <m:sty m:val="p"/>
              </m:rPr>
              <m:t>t</m:t>
            </m:r>
          </m:sub>
        </m:sSub>
        <m:r>
          <m:rPr>
            <m:sty m:val="p"/>
          </m:rPr>
          <m:t>)</m:t>
        </m:r>
      </m:oMath>
      <w:r>
        <w:t xml:space="preserve">.</w:t>
      </w:r>
      <w:r>
        <w:t xml:space="preserve"> </w:t>
      </w:r>
      <w:r>
        <w:t xml:space="preserve">-</w:t>
      </w:r>
      <w:r>
        <w:t xml:space="preserve"> </w:t>
      </w:r>
      <w:r>
        <w:rPr>
          <w:i/>
          <w:iCs/>
        </w:rPr>
        <w:t xml:space="preserve">Fluidics &amp; Irrigation Pumps:</w:t>
      </w:r>
      <w:r>
        <w:t xml:space="preserve"> </w:t>
      </w:r>
      <w:r>
        <w:t xml:space="preserve">Actuate peristaltic and solenoid pump duty cycles (</w:t>
      </w:r>
      <m:oMath>
        <m:r>
          <m:t>0</m:t>
        </m:r>
        <m:r>
          <m:rPr>
            <m:nor/>
            <m:sty m:val="p"/>
          </m:rPr>
          <m:t>–</m:t>
        </m:r>
        <m:r>
          <m:t>8</m:t>
        </m:r>
        <m:r>
          <m:rPr>
            <m:nor/>
            <m:sty m:val="p"/>
          </m:rPr>
          <m:t> W</m:t>
        </m:r>
      </m:oMath>
      <w:r>
        <w:t xml:space="preserve">,</w:t>
      </w:r>
      <w:r>
        <w:t xml:space="preserve"> </w:t>
      </w:r>
      <m:oMath>
        <m:r>
          <m:t>0.5</m:t>
        </m:r>
        <m:r>
          <m:rPr>
            <m:nor/>
            <m:sty m:val="p"/>
          </m:rPr>
          <m:t>–</m:t>
        </m:r>
        <m:r>
          <m:t>1.5</m:t>
        </m:r>
        <m:r>
          <m:rPr>
            <m:nor/>
            <m:sty m:val="p"/>
          </m:rPr>
          <m:t> A</m:t>
        </m:r>
      </m:oMath>
      <w:r>
        <w:t xml:space="preserve"> </w:t>
      </w:r>
      <w:r>
        <w:t xml:space="preserve">peak), capturing transient inductive spikes</w:t>
      </w:r>
      <w:r>
        <w:t xml:space="preserve"> </w:t>
      </w:r>
      <m:oMath>
        <m:r>
          <m:rPr>
            <m:sty m:val="p"/>
          </m:rPr>
          <m:t>Δ</m:t>
        </m:r>
        <m:sSub>
          <m:e>
            <m:r>
              <m:rPr>
                <m:sty m:val="bi"/>
              </m:rPr>
              <m:t>B</m:t>
            </m:r>
          </m:e>
          <m:sub>
            <m:r>
              <m:rPr>
                <m:sty m:val="p"/>
              </m:rPr>
              <m:t>p</m:t>
            </m:r>
            <m:r>
              <m:rPr>
                <m:sty m:val="p"/>
              </m:rPr>
              <m:t>u</m:t>
            </m:r>
            <m:r>
              <m:rPr>
                <m:sty m:val="p"/>
              </m:rPr>
              <m:t>m</m:t>
            </m:r>
            <m:r>
              <m:rPr>
                <m:sty m:val="p"/>
              </m:rPr>
              <m:t>p</m:t>
            </m:r>
          </m:sub>
        </m:sSub>
        <m:r>
          <m:rPr>
            <m:sty m:val="p"/>
          </m:rPr>
          <m:t>(</m:t>
        </m:r>
        <m:sSub>
          <m:e>
            <m:r>
              <m:t>I</m:t>
            </m:r>
          </m:e>
          <m:sub>
            <m:r>
              <m:rPr>
                <m:sty m:val="p"/>
              </m:rPr>
              <m:t>p</m:t>
            </m:r>
            <m:r>
              <m:rPr>
                <m:sty m:val="p"/>
              </m:rPr>
              <m:t>u</m:t>
            </m:r>
            <m:r>
              <m:rPr>
                <m:sty m:val="p"/>
              </m:rPr>
              <m:t>m</m:t>
            </m:r>
            <m:r>
              <m:rPr>
                <m:sty m:val="p"/>
              </m:rPr>
              <m:t>p</m:t>
            </m:r>
          </m:sub>
        </m:sSub>
        <m:r>
          <m:rPr>
            <m:sty m:val="p"/>
          </m:rPr>
          <m:t>)</m:t>
        </m:r>
      </m:oMath>
      <w:r>
        <w:t xml:space="preserve">.</w:t>
      </w:r>
      <w:r>
        <w:t xml:space="preserve"> </w:t>
      </w:r>
      <w:r>
        <w:t xml:space="preserve">-</w:t>
      </w:r>
      <w:r>
        <w:t xml:space="preserve"> </w:t>
      </w:r>
      <w:r>
        <w:rPr>
          <w:i/>
          <w:iCs/>
        </w:rPr>
        <w:t xml:space="preserve">Thermal Management:</w:t>
      </w:r>
      <w:r>
        <w:t xml:space="preserve"> </w:t>
      </w:r>
      <w:r>
        <w:t xml:space="preserve">Modulate resistive heaters and thermoelectric coolers (</w:t>
      </w:r>
      <m:oMath>
        <m:r>
          <m:t>0</m:t>
        </m:r>
        <m:r>
          <m:rPr>
            <m:nor/>
            <m:sty m:val="p"/>
          </m:rPr>
          <m:t>–</m:t>
        </m:r>
        <m:r>
          <m:t>30</m:t>
        </m:r>
        <m:r>
          <m:rPr>
            <m:nor/>
            <m:sty m:val="p"/>
          </m:rPr>
          <m:t> W</m:t>
        </m:r>
      </m:oMath>
      <w:r>
        <w:t xml:space="preserve">,</w:t>
      </w:r>
      <w:r>
        <w:t xml:space="preserve"> </w:t>
      </w:r>
      <m:oMath>
        <m:r>
          <m:t>1.0</m:t>
        </m:r>
        <m:r>
          <m:rPr>
            <m:nor/>
            <m:sty m:val="p"/>
          </m:rPr>
          <m:t>–</m:t>
        </m:r>
        <m:r>
          <m:t>2.5</m:t>
        </m:r>
        <m:r>
          <m:rPr>
            <m:nor/>
            <m:sty m:val="p"/>
          </m:rPr>
          <m:t> A</m:t>
        </m:r>
      </m:oMath>
      <w:r>
        <w:t xml:space="preserve"> </w:t>
      </w:r>
      <w:r>
        <w:t xml:space="preserve">continuous), mapping the dominant thermal DC field</w:t>
      </w:r>
      <w:r>
        <w:t xml:space="preserve"> </w:t>
      </w:r>
      <m:oMath>
        <m:r>
          <m:rPr>
            <m:sty m:val="p"/>
          </m:rPr>
          <m:t>Δ</m:t>
        </m:r>
        <m:sSub>
          <m:e>
            <m:r>
              <m:rPr>
                <m:sty m:val="bi"/>
              </m:rPr>
              <m:t>B</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sSub>
          <m:e>
            <m:r>
              <m:t>P</m:t>
            </m:r>
          </m:e>
          <m:sub>
            <m:r>
              <m:rPr>
                <m:sty m:val="p"/>
              </m:rPr>
              <m:t>h</m:t>
            </m:r>
            <m:r>
              <m:rPr>
                <m:sty m:val="p"/>
              </m:rPr>
              <m:t>e</m:t>
            </m:r>
            <m:r>
              <m:rPr>
                <m:sty m:val="p"/>
              </m:rPr>
              <m:t>a</m:t>
            </m:r>
            <m:r>
              <m:rPr>
                <m:sty m:val="p"/>
              </m:rPr>
              <m:t>t</m:t>
            </m:r>
          </m:sub>
        </m:sSub>
        <m:r>
          <m:rPr>
            <m:sty m:val="p"/>
          </m:rPr>
          <m:t>)</m:t>
        </m:r>
      </m:oMath>
      <w:r>
        <w:t xml:space="preserve">.</w:t>
      </w:r>
      <w:r>
        <w:t xml:space="preserve"> </w:t>
      </w:r>
      <w:r>
        <w:t xml:space="preserve">-</w:t>
      </w:r>
      <w:r>
        <w:t xml:space="preserve"> </w:t>
      </w:r>
      <w:r>
        <w:rPr>
          <w:i/>
          <w:iCs/>
        </w:rPr>
        <w:t xml:space="preserve">Avionics &amp; Telemetry:</w:t>
      </w:r>
      <w:r>
        <w:t xml:space="preserve"> </w:t>
      </w:r>
      <w:r>
        <w:t xml:space="preserve">Record the flight computer and RF transmission burst signature</w:t>
      </w:r>
      <w:r>
        <w:t xml:space="preserve"> </w:t>
      </w:r>
      <m:oMath>
        <m:r>
          <m:rPr>
            <m:sty m:val="p"/>
          </m:rPr>
          <m:t>Δ</m:t>
        </m:r>
        <m:sSub>
          <m:e>
            <m:r>
              <m:rPr>
                <m:sty m:val="bi"/>
              </m:rPr>
              <m:t>B</m:t>
            </m:r>
          </m:e>
          <m:sub>
            <m:r>
              <m:rPr>
                <m:sty m:val="p"/>
              </m:rPr>
              <m:t>b</m:t>
            </m:r>
            <m:r>
              <m:rPr>
                <m:sty m:val="p"/>
              </m:rPr>
              <m:t>u</m:t>
            </m:r>
            <m:r>
              <m:rPr>
                <m:sty m:val="p"/>
              </m:rPr>
              <m:t>s</m:t>
            </m:r>
          </m:sub>
        </m:sSub>
      </m:oMath>
      <w:r>
        <w:t xml:space="preserve">.</w:t>
      </w:r>
      <w:r>
        <w:t xml:space="preserve"> </w:t>
      </w:r>
      <w:r>
        <w:t xml:space="preserve">3.</w:t>
      </w:r>
      <w:r>
        <w:t xml:space="preserve"> </w:t>
      </w:r>
      <w:r>
        <w:rPr>
          <w:b/>
          <w:bCs/>
        </w:rPr>
        <w:t xml:space="preserve">Computational Superposition Deconvolution:</w:t>
      </w:r>
      <w:r>
        <w:t xml:space="preserve"> </w:t>
      </w:r>
      <w:r>
        <w:t xml:space="preserve">By continuously logging subsystem power telemetry (</w:t>
      </w:r>
      <m:oMath>
        <m:sSub>
          <m:e>
            <m:r>
              <m:t>P</m:t>
            </m:r>
          </m:e>
          <m:sub>
            <m:r>
              <m:t>k</m:t>
            </m:r>
          </m:sub>
        </m:sSub>
        <m:r>
          <m:rPr>
            <m:sty m:val="p"/>
          </m:rPr>
          <m:t>(</m:t>
        </m:r>
        <m:r>
          <m:t>t</m:t>
        </m:r>
        <m:r>
          <m:rPr>
            <m:sty m:val="p"/>
          </m:rPr>
          <m:t>)</m:t>
        </m:r>
      </m:oMath>
      <w:r>
        <w:t xml:space="preserve">) alongside the 3-axis magnetometer canopy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isolated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m:oMathPara>
    </w:p>
    <w:p>
      <w:pPr>
        <w:pStyle w:val="FirstParagraph"/>
      </w:pPr>
      <w:r>
        <w:t xml:space="preserve">This deconvolution protocol establishes a rigorous mathematical transfer function, enabling flight science teams to retire the environmental characterization gap purely through telemetry analysis.</w:t>
      </w:r>
    </w:p>
    <w:bookmarkEnd w:id="41"/>
    <w:bookmarkStart w:id="42" w:name="X9256c05d803a4956fb130d72280f015ff9aee3d"/>
    <w:p>
      <w:pPr>
        <w:pStyle w:val="Heading3"/>
      </w:pPr>
      <w:r>
        <w:t xml:space="preserve">5.3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42"/>
    <w:bookmarkStart w:id="43" w:name="X66ca7d27465b90b43e87ceb0659be82b5dc313d"/>
    <w:p>
      <w:pPr>
        <w:pStyle w:val="Heading3"/>
      </w:pPr>
      <w:r>
        <w:t xml:space="preserve">5.4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5c; Table 3):</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3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43"/>
    <w:bookmarkEnd w:id="44"/>
    <w:bookmarkStart w:id="45"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6"/>
    <w:bookmarkStart w:id="47"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7"/>
    <w:bookmarkStart w:id="48"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8"/>
    <w:bookmarkStart w:id="49"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2"/>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6"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2026-10-29T01:42:33Z</dcterms:created>
  <dcterms:modified xsi:type="dcterms:W3CDTF">2026-10-29T01:42:33Z</dcterms:modified>
</cp:coreProperties>
</file>

<file path=docProps/custom.xml><?xml version="1.0" encoding="utf-8"?>
<Properties xmlns="http://schemas.openxmlformats.org/officeDocument/2006/custom-properties" xmlns:vt="http://schemas.openxmlformats.org/officeDocument/2006/docPropsVTypes"/>
</file>