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27.png" ContentType="image/png"/>
  <Override PartName="/word/media/rId34.png" ContentType="image/png"/>
  <Override PartName="/word/media/rId41.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2"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pPr>
        <w:pStyle w:val="Compact"/>
        <w:numPr>
          <w:ilvl w:val="0"/>
          <w:numId w:val="1001"/>
        </w:numPr>
      </w:pPr>
      <w:r>
        <w:t xml:space="preserve">Rigorous ground standards (bifilar shams) and hardware self-magnetic mapping decouple magnetic effects from payload artifacts.</w:t>
      </w:r>
    </w:p>
    <w:p>
      <w:pPr>
        <w:pStyle w:val="Compact"/>
        <w:numPr>
          <w:ilvl w:val="0"/>
          <w:numId w:val="1001"/>
        </w:numPr>
      </w:pPr>
      <w:r>
        <w:t xml:space="preserve">Sample-level 3-axis canopy magnetometry resolves flight environmental exposure without requiring active in-flight coil systems.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peer-reviewed publications and 4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in the literature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hardware self-magnetic power-state assessment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6"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60776"/>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60776"/>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Example Candidate Artemis Exploration Regions:</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Magnetic Field Classification at Exploration &amp; Historical Sites:</w:t>
      </w:r>
      <w:r>
        <w:t xml:space="preserve"> </w:t>
      </w:r>
      <w:r>
        <w:t xml:space="preserve">Magnitude comparison across 23 historical and planned exploration sites. All Artemis South Pole example candidate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Reiner Gamma:</w:t>
      </w:r>
      <w:r>
        <w:t xml:space="preserve"> </w:t>
      </w:r>
      <m:oMath>
        <m:r>
          <m:t>1</m:t>
        </m:r>
        <m:r>
          <m:rPr>
            <m:nor/>
            <m:sty m:val="p"/>
          </m:rPr>
          <m:t>–</m:t>
        </m:r>
        <m:r>
          <m:t>100</m:t>
        </m:r>
        <m:r>
          <m:rPr>
            <m:nor/>
            <m:sty m:val="p"/>
          </m:rPr>
          <m:t>s of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is implemented.</w:t>
      </w:r>
    </w:p>
    <w:bookmarkEnd w:id="14"/>
    <w:bookmarkStart w:id="15" w:name="X9285e4a4dc2d29889613f8684b9c3c100834d3d"/>
    <w:p>
      <w:pPr>
        <w:pStyle w:val="Heading3"/>
      </w:pPr>
      <w:r>
        <w:t xml:space="preserve">1.2 Planetary Crustal Field Distribution &amp; Example Candidate Landing Regions</w:t>
      </w:r>
    </w:p>
    <w:p>
      <w:pPr>
        <w:pStyle w:val="FirstParagraph"/>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III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c>
          <w:tcPr/>
          <w:p>
            <w:pPr>
              <w:pStyle w:val="Compact"/>
              <w:jc w:val="left"/>
            </w:pPr>
            <w:r>
              <w:t xml:space="preserve">NASA PDS Equatorial Grid; Tsunakawa et al. [18]</w:t>
            </w:r>
          </w:p>
        </w:tc>
      </w:tr>
    </w:tbl>
    <w:p>
      <w:pPr>
        <w:pStyle w:val="BodyText"/>
      </w:pPr>
      <w:r>
        <w:t xml:space="preserve">Yet, establishing that near-null magnetic fields physically exist on the Moon exposes a critical experimental nuance: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 (Figure 1d).</w:t>
      </w:r>
    </w:p>
    <w:p>
      <w:pPr>
        <w:pStyle w:val="BodyText"/>
      </w:pPr>
      <w:r>
        <w:t xml:space="preserve">A common operational question is whether unshielded lander or payload avionics fields could inadvertently</w:t>
      </w:r>
      <w:r>
        <w:t xml:space="preserve"> </w:t>
      </w:r>
      <w:r>
        <w:t xml:space="preserve">“correct”</w:t>
      </w:r>
      <w:r>
        <w:t xml:space="preserve"> </w:t>
      </w:r>
      <w:r>
        <w:t xml:space="preserve">or substitute for the missing geomagnetic field. Biophysically, the answer is no: stray avionics fields are highly localized, non-dipolar, and spatially heterogeneous, decaying rapidly as an inverse cube function of distance (</w:t>
      </w:r>
      <m:oMath>
        <m:r>
          <m:t>1</m:t>
        </m:r>
        <m:r>
          <m:rPr>
            <m:sty m:val="p"/>
          </m:rPr>
          <m:t>/</m:t>
        </m:r>
        <m:sSup>
          <m:e>
            <m:r>
              <m:t>r</m:t>
            </m:r>
          </m:e>
          <m:sup>
            <m:r>
              <m:t>3</m:t>
            </m:r>
          </m:sup>
        </m:sSup>
      </m:oMath>
      <w:r>
        <w:t xml:space="preserve">). Rather than restoring a uniform, biologically stabilizing</w:t>
      </w:r>
      <w:r>
        <w:t xml:space="preserve"> </w:t>
      </w:r>
      <m:oMath>
        <m:r>
          <m:t>45</m:t>
        </m:r>
        <m:r>
          <m:rPr>
            <m:nor/>
            <m:sty m:val="p"/>
          </m:rPr>
          <m:t>–</m:t>
        </m:r>
        <m:r>
          <m:t>50</m:t>
        </m:r>
        <m:r>
          <m:t> </m:t>
        </m:r>
        <m:r>
          <m:t>μ</m:t>
        </m:r>
        <m:r>
          <m:rPr>
            <m:nor/>
            <m:sty m:val="p"/>
          </m:rPr>
          <m:t>T</m:t>
        </m:r>
      </m:oMath>
      <w:r>
        <w:t xml:space="preserve"> </w:t>
      </w:r>
      <w:r>
        <w:t xml:space="preserve">vector, uncharacterized stray DC fields introduce steep spatial magnetic field gradients across seed trays, subjecting individual seedlings to vastly different magnetic regimes. Without sample-level 3-axis magnetic vector logging, researchers cannot distinguish whether experimental outcomes arise from true lunar near-null exposure or from localized electromagnetic confounders [11,20].</w:t>
      </w:r>
    </w:p>
    <w:bookmarkEnd w:id="15"/>
    <w:bookmarkEnd w:id="16"/>
    <w:bookmarkStart w:id="26" w:name="Xe19f638724d3b93256b2e1643d719abff9afdfc"/>
    <w:p>
      <w:pPr>
        <w:pStyle w:val="Heading2"/>
      </w:pPr>
      <w:r>
        <w:t xml:space="preserve">2. Integrative Review Methodology, Computational Toolkit, and Evidence Synthesis Framework</w:t>
      </w:r>
    </w:p>
    <w:bookmarkStart w:id="17" w:name="X99de6057de5b589f321e37af54d1d923cf3cff2"/>
    <w:p>
      <w:pPr>
        <w:pStyle w:val="Heading3"/>
      </w:pPr>
      <w:r>
        <w:t xml:space="preserve">2.1 Review Typology, SANRA Alignment, and Core Research Questions</w:t>
      </w:r>
    </w:p>
    <w:p>
      <w:pPr>
        <w:pStyle w:val="FirstParagraph"/>
      </w:pPr>
      <w:r>
        <w:t xml:space="preserve">Following the methodological principles established by Whittemore &amp; Knafl [81], the Scale for the Assessment of Narrative Review Articles (SANRA) guidelines [82], and recent biomedical synthesis precedents [83], this study is structured as an</w:t>
      </w:r>
      <w:r>
        <w:t xml:space="preserve"> </w:t>
      </w:r>
      <w:r>
        <w:rPr>
          <w:b/>
          <w:bCs/>
        </w:rPr>
        <w:t xml:space="preserve">Integrative Review</w:t>
      </w:r>
      <w:r>
        <w:t xml:space="preserve">. Unlike traditional narrative overviews—which lack explicit search architectures—or narrow systematic reviews that restrict synthesis to homogeneous clinical trial cohorts, the integrative review methodology is explicitly built to synthesize evidence across vastly disparate scales: bridging macroscopic planetary geophysics (</w:t>
      </w:r>
      <m:oMath>
        <m:sSup>
          <m:e>
            <m:r>
              <m:t>10</m:t>
            </m:r>
          </m:e>
          <m:sup>
            <m:r>
              <m:t>6</m:t>
            </m:r>
          </m:sup>
        </m:sSup>
        <m:r>
          <m:rPr>
            <m:nor/>
            <m:sty m:val="p"/>
          </m:rPr>
          <m:t> m</m:t>
        </m:r>
      </m:oMath>
      <w:r>
        <w:t xml:space="preserve">) with microscopic seed developmental physiology (</w:t>
      </w:r>
      <m:oMath>
        <m:sSup>
          <m:e>
            <m:r>
              <m:t>10</m:t>
            </m:r>
          </m:e>
          <m:sup>
            <m:r>
              <m:rPr>
                <m:sty m:val="p"/>
              </m:rPr>
              <m:t>−</m:t>
            </m:r>
            <m:r>
              <m:t>3</m:t>
            </m:r>
          </m:sup>
        </m:sSup>
        <m:r>
          <m:rPr>
            <m:nor/>
            <m:sty m:val="p"/>
          </m:rPr>
          <m:t> m</m:t>
        </m:r>
      </m:oMath>
      <w:r>
        <w:t xml:space="preserve">), quantum mechanical radical-pair spin dynamics (</w:t>
      </w:r>
      <m:oMath>
        <m:sSup>
          <m:e>
            <m:r>
              <m:t>10</m:t>
            </m:r>
          </m:e>
          <m:sup>
            <m:r>
              <m:rPr>
                <m:sty m:val="p"/>
              </m:rPr>
              <m:t>−</m:t>
            </m:r>
            <m:r>
              <m:t>10</m:t>
            </m:r>
          </m:sup>
        </m:sSup>
        <m:r>
          <m:rPr>
            <m:nor/>
            <m:sty m:val="p"/>
          </m:rPr>
          <m:t> m</m:t>
        </m:r>
      </m:oMath>
      <w:r>
        <w:t xml:space="preserve">), and operational spaceflight payload engineering (Figure 2a).</w:t>
      </w:r>
    </w:p>
    <w:p>
      <w:pPr>
        <w:pStyle w:val="BodyText"/>
      </w:pPr>
      <w:r>
        <w:t xml:space="preserve">This review addresses four formal research questions (RQs):</w:t>
      </w:r>
      <w:r>
        <w:t xml:space="preserve"> </w:t>
      </w:r>
      <w:r>
        <w:t xml:space="preserve">-</w:t>
      </w:r>
      <w:r>
        <w:t xml:space="preserve"> </w:t>
      </w:r>
      <w:r>
        <w:rPr>
          <w:b/>
          <w:bCs/>
        </w:rPr>
        <w:t xml:space="preserve">RQ1 (Planetary Field &amp; Superposition Baseline):</w:t>
      </w:r>
      <w:r>
        <w:t xml:space="preserve"> </w:t>
      </w:r>
      <w:r>
        <w:rPr>
          <w:i/>
          <w:iCs/>
        </w:rPr>
        <w:t xml:space="preserve">What is the true physical magnetic vector magnitude and spatial structure across candidate Artemis landing regions, and how does vector superposition with lander and payload subsystems alter the biological growth environment?</w:t>
      </w:r>
      <w:r>
        <w:t xml:space="preserve"> </w:t>
      </w:r>
      <w:r>
        <w:t xml:space="preserve">-</w:t>
      </w:r>
      <w:r>
        <w:t xml:space="preserve"> </w:t>
      </w:r>
      <w:r>
        <w:rPr>
          <w:b/>
          <w:bCs/>
        </w:rPr>
        <w:t xml:space="preserve">RQ2 (Early Seedling Developmental Kinetics):</w:t>
      </w:r>
      <w:r>
        <w:t xml:space="preserve"> </w:t>
      </w:r>
      <w:r>
        <w:rPr>
          <w:i/>
          <w:iCs/>
        </w:rPr>
        <w:t xml:space="preserve">What does the empirical space biology and terrestrial analogue literature demonstrate regarding plant germination capacity, emergence velocity (</w:t>
      </w:r>
      <m:oMath>
        <m:sSub>
          <m:e>
            <m:r>
              <m:t>t</m:t>
            </m:r>
          </m:e>
          <m:sub>
            <m:r>
              <m:t>50</m:t>
            </m:r>
          </m:sub>
        </m:sSub>
      </m:oMath>
      <w:r>
        <w:rPr>
          <w:i/>
          <w:iCs/>
        </w:rPr>
        <w:t xml:space="preserve">), early biomass accumulation, and plastid greening during the foundational first five days (0–120 h post-imbibition)?</w:t>
      </w:r>
      <w:r>
        <w:t xml:space="preserve"> </w:t>
      </w:r>
      <w:r>
        <w:t xml:space="preserve">-</w:t>
      </w:r>
      <w:r>
        <w:t xml:space="preserve"> </w:t>
      </w:r>
      <w:r>
        <w:rPr>
          <w:b/>
          <w:bCs/>
        </w:rPr>
        <w:t xml:space="preserve">RQ3 (Quantum &amp; Bioenergetic Mechanisms):</w:t>
      </w:r>
      <w:r>
        <w:t xml:space="preserve"> </w:t>
      </w:r>
      <w:r>
        <w:rPr>
          <w:i/>
          <w:iCs/>
        </w:rPr>
        <w:t xml:space="preserve">What are the primary quantum biological (radical pair spin dynamics in cryptochromes) and bioenergetic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i/>
          <w:iCs/>
        </w:rPr>
        <w:t xml:space="preserve"> </w:t>
      </w:r>
      <w:r>
        <w:rPr>
          <w:i/>
          <w:iCs/>
        </w:rPr>
        <w:t xml:space="preserve">mitochondrial/chloroplastic electron transport) mechanisms mediating these observed phenotypic penalties?</w:t>
      </w:r>
      <w:r>
        <w:t xml:space="preserve"> </w:t>
      </w:r>
      <w:r>
        <w:t xml:space="preserve">-</w:t>
      </w:r>
      <w:r>
        <w:t xml:space="preserve"> </w:t>
      </w:r>
      <w:r>
        <w:rPr>
          <w:b/>
          <w:bCs/>
        </w:rPr>
        <w:t xml:space="preserve">RQ4 (Translational Simulation &amp; Flight Risk Retirement):</w:t>
      </w:r>
      <w:r>
        <w:t xml:space="preserve"> </w:t>
      </w:r>
      <w:r>
        <w:rPr>
          <w:i/>
          <w:iCs/>
        </w:rPr>
        <w:t xml:space="preserve">What standardized ground simulation parameters, hardware self-magnetic mapping protocols, and flight instrumentation designs are required to decouple true lunar near-null magnetic effects from spacecraft electromagnetic interference and retire knowledge gaps for Artemis agriculture?</w:t>
      </w:r>
    </w:p>
    <w:bookmarkEnd w:id="17"/>
    <w:bookmarkStart w:id="18" w:name="X8cbaa91d211a091f5c24e94ca425f30ac89bee4"/>
    <w:p>
      <w:pPr>
        <w:pStyle w:val="Heading3"/>
      </w:pPr>
      <w:r>
        <w:t xml:space="preserve">2.2 Literature Search Strategy &amp; Database Query Syntax</w:t>
      </w:r>
    </w:p>
    <w:p>
      <w:pPr>
        <w:pStyle w:val="FirstParagraph"/>
      </w:pPr>
      <w:r>
        <w:t xml:space="preserve">To capture the full breadth of multi-disciplinary evidence spanning planetary geophysics, plant magnetobiology, and spaceflight bioenergetics, a comprehensive literature search was conducted across six indexed databases and space agency repositories covering publications from 1965 to 2026: PubMed, Web of Science, Scopus, Europe PMC, the NASA Open Science Data Repository (OSDR), and the NASA Planetary Data System (PDS) / JAXA SELENE archive (Table 2).</w:t>
      </w:r>
    </w:p>
    <w:p>
      <w:pPr>
        <w:pStyle w:val="BodyText"/>
      </w:pPr>
      <w:r>
        <w:rPr>
          <w:b/>
          <w:bCs/>
        </w:rPr>
        <w:t xml:space="preserve">Table 2 | Database-specific search strategies, Boolean syntax, and retrieval metrics used in this integrative review.</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Database / Repository</w:t>
            </w:r>
          </w:p>
        </w:tc>
        <w:tc>
          <w:tcPr/>
          <w:p>
            <w:pPr>
              <w:pStyle w:val="Compact"/>
              <w:jc w:val="left"/>
            </w:pPr>
            <w:r>
              <w:t xml:space="preserve">Exact Search Syntax &amp; Boolean Operators</w:t>
            </w:r>
          </w:p>
        </w:tc>
        <w:tc>
          <w:tcPr/>
          <w:p>
            <w:pPr>
              <w:pStyle w:val="Compact"/>
              <w:jc w:val="center"/>
            </w:pPr>
            <w:r>
              <w:t xml:space="preserve">Coverage Window</w:t>
            </w:r>
          </w:p>
        </w:tc>
        <w:tc>
          <w:tcPr/>
          <w:p>
            <w:pPr>
              <w:pStyle w:val="Compact"/>
              <w:jc w:val="center"/>
            </w:pPr>
            <w:r>
              <w:t xml:space="preserve">Raw Records Retrieved</w:t>
            </w:r>
          </w:p>
        </w:tc>
        <w:tc>
          <w:tcPr/>
          <w:p>
            <w:pPr>
              <w:pStyle w:val="Compact"/>
              <w:jc w:val="center"/>
            </w:pPr>
            <w:r>
              <w:t xml:space="preserve">Screened Records</w:t>
            </w:r>
          </w:p>
        </w:tc>
      </w:tr>
      <w:tr>
        <w:tc>
          <w:tcPr/>
          <w:p>
            <w:pPr>
              <w:pStyle w:val="Compact"/>
              <w:jc w:val="left"/>
            </w:pPr>
            <w:r>
              <w:rPr>
                <w:b/>
                <w:bCs/>
              </w:rPr>
              <w:t xml:space="preserve">PubMed</w:t>
            </w:r>
          </w:p>
        </w:tc>
        <w:tc>
          <w:tcPr/>
          <w:p>
            <w:pPr>
              <w:pStyle w:val="Compact"/>
              <w:jc w:val="left"/>
            </w:pPr>
            <w:r>
              <w:rPr>
                <w:rStyle w:val="VerbatimChar"/>
              </w:rPr>
              <w:t xml:space="preserve">("near-null magnetic field" OR "hypomagnetic field" OR "zero magnetic field" OR "magnetic shielding") AND ("plant" OR "seedling" OR "germination" OR "Arabidopsis" OR "cryptochrome" OR "radical pair")</w:t>
            </w:r>
          </w:p>
        </w:tc>
        <w:tc>
          <w:tcPr/>
          <w:p>
            <w:pPr>
              <w:pStyle w:val="Compact"/>
              <w:jc w:val="center"/>
            </w:pPr>
            <w:r>
              <w:t xml:space="preserve">1965–2026</w:t>
            </w:r>
          </w:p>
        </w:tc>
        <w:tc>
          <w:tcPr/>
          <w:p>
            <w:pPr>
              <w:pStyle w:val="Compact"/>
              <w:jc w:val="center"/>
            </w:pPr>
            <w:r>
              <w:t xml:space="preserve">542</w:t>
            </w:r>
          </w:p>
        </w:tc>
        <w:tc>
          <w:tcPr/>
          <w:p>
            <w:pPr>
              <w:pStyle w:val="Compact"/>
              <w:jc w:val="center"/>
            </w:pPr>
            <w:r>
              <w:t xml:space="preserve">388</w:t>
            </w:r>
          </w:p>
        </w:tc>
      </w:tr>
      <w:tr>
        <w:tc>
          <w:tcPr/>
          <w:p>
            <w:pPr>
              <w:pStyle w:val="Compact"/>
              <w:jc w:val="left"/>
            </w:pPr>
            <w:r>
              <w:rPr>
                <w:b/>
                <w:bCs/>
              </w:rPr>
              <w:t xml:space="preserve">Web of Science</w:t>
            </w:r>
          </w:p>
        </w:tc>
        <w:tc>
          <w:tcPr/>
          <w:p>
            <w:pPr>
              <w:pStyle w:val="Compact"/>
              <w:jc w:val="left"/>
            </w:pPr>
            <w:r>
              <w:rPr>
                <w:rStyle w:val="VerbatimChar"/>
              </w:rPr>
              <w:t xml:space="preserve">TS=(("hypomagnetic" OR "near-null magnetic" OR "lunar magnetic field") AND ("plant growth" OR "seed germination" OR "reactive oxygen species" OR "mitochondria"))</w:t>
            </w:r>
          </w:p>
        </w:tc>
        <w:tc>
          <w:tcPr/>
          <w:p>
            <w:pPr>
              <w:pStyle w:val="Compact"/>
              <w:jc w:val="center"/>
            </w:pPr>
            <w:r>
              <w:t xml:space="preserve">1970–2026</w:t>
            </w:r>
          </w:p>
        </w:tc>
        <w:tc>
          <w:tcPr/>
          <w:p>
            <w:pPr>
              <w:pStyle w:val="Compact"/>
              <w:jc w:val="center"/>
            </w:pPr>
            <w:r>
              <w:t xml:space="preserve">418</w:t>
            </w:r>
          </w:p>
        </w:tc>
        <w:tc>
          <w:tcPr/>
          <w:p>
            <w:pPr>
              <w:pStyle w:val="Compact"/>
              <w:jc w:val="center"/>
            </w:pPr>
            <w:r>
              <w:t xml:space="preserve">276</w:t>
            </w:r>
          </w:p>
        </w:tc>
      </w:tr>
      <w:tr>
        <w:tc>
          <w:tcPr/>
          <w:p>
            <w:pPr>
              <w:pStyle w:val="Compact"/>
              <w:jc w:val="left"/>
            </w:pPr>
            <w:r>
              <w:rPr>
                <w:b/>
                <w:bCs/>
              </w:rPr>
              <w:t xml:space="preserve">Scopus &amp; Europe PMC</w:t>
            </w:r>
          </w:p>
        </w:tc>
        <w:tc>
          <w:tcPr/>
          <w:p>
            <w:pPr>
              <w:pStyle w:val="Compact"/>
              <w:jc w:val="left"/>
            </w:pPr>
            <w:r>
              <w:rPr>
                <w:rStyle w:val="VerbatimChar"/>
              </w:rPr>
              <w:t xml:space="preserve">TITLE-ABS-KEY(("lunar surface" OR "crustal magnetic") AND ("biological payload" OR "space agriculture" OR "Artemis"))</w:t>
            </w:r>
          </w:p>
        </w:tc>
        <w:tc>
          <w:tcPr/>
          <w:p>
            <w:pPr>
              <w:pStyle w:val="Compact"/>
              <w:jc w:val="center"/>
            </w:pPr>
            <w:r>
              <w:t xml:space="preserve">1969–2026</w:t>
            </w:r>
          </w:p>
        </w:tc>
        <w:tc>
          <w:tcPr/>
          <w:p>
            <w:pPr>
              <w:pStyle w:val="Compact"/>
              <w:jc w:val="center"/>
            </w:pPr>
            <w:r>
              <w:t xml:space="preserve">286</w:t>
            </w:r>
          </w:p>
        </w:tc>
        <w:tc>
          <w:tcPr/>
          <w:p>
            <w:pPr>
              <w:pStyle w:val="Compact"/>
              <w:jc w:val="center"/>
            </w:pPr>
            <w:r>
              <w:t xml:space="preserve">148</w:t>
            </w:r>
          </w:p>
        </w:tc>
      </w:tr>
      <w:tr>
        <w:tc>
          <w:tcPr/>
          <w:p>
            <w:pPr>
              <w:pStyle w:val="Compact"/>
              <w:jc w:val="left"/>
            </w:pPr>
            <w:r>
              <w:rPr>
                <w:b/>
                <w:bCs/>
              </w:rPr>
              <w:t xml:space="preserve">NASA OSDR</w:t>
            </w:r>
          </w:p>
        </w:tc>
        <w:tc>
          <w:tcPr/>
          <w:p>
            <w:pPr>
              <w:pStyle w:val="Compact"/>
              <w:jc w:val="left"/>
            </w:pPr>
            <w:r>
              <w:t xml:space="preserve">Target queries:</w:t>
            </w:r>
            <w:r>
              <w:t xml:space="preserve"> </w:t>
            </w:r>
            <w:r>
              <w:rPr>
                <w:rStyle w:val="VerbatimChar"/>
              </w:rPr>
              <w:t xml:space="preserve">Arabidopsis</w:t>
            </w:r>
            <w:r>
              <w:t xml:space="preserve">,</w:t>
            </w:r>
            <w:r>
              <w:t xml:space="preserve"> </w:t>
            </w:r>
            <w:r>
              <w:rPr>
                <w:rStyle w:val="VerbatimChar"/>
              </w:rPr>
              <w:t xml:space="preserve">seedling</w:t>
            </w:r>
            <w:r>
              <w:t xml:space="preserve">,</w:t>
            </w:r>
            <w:r>
              <w:t xml:space="preserve"> </w:t>
            </w:r>
            <w:r>
              <w:rPr>
                <w:rStyle w:val="VerbatimChar"/>
              </w:rPr>
              <w:t xml:space="preserve">germination</w:t>
            </w:r>
            <w:r>
              <w:t xml:space="preserve">,</w:t>
            </w:r>
            <w:r>
              <w:t xml:space="preserve"> </w:t>
            </w:r>
            <w:r>
              <w:rPr>
                <w:rStyle w:val="VerbatimChar"/>
              </w:rPr>
              <w:t xml:space="preserve">exploration atmosphere</w:t>
            </w:r>
            <w:r>
              <w:t xml:space="preserve">,</w:t>
            </w:r>
            <w:r>
              <w:t xml:space="preserve"> </w:t>
            </w:r>
            <w:r>
              <w:rPr>
                <w:rStyle w:val="VerbatimChar"/>
              </w:rPr>
              <w:t xml:space="preserve">radiation</w:t>
            </w:r>
            <w:r>
              <w:t xml:space="preserve">,</w:t>
            </w:r>
            <w:r>
              <w:t xml:space="preserve"> </w:t>
            </w:r>
            <w:r>
              <w:rPr>
                <w:rStyle w:val="VerbatimChar"/>
              </w:rPr>
              <w:t xml:space="preserve">microgravity</w:t>
            </w:r>
          </w:p>
        </w:tc>
        <w:tc>
          <w:tcPr/>
          <w:p>
            <w:pPr>
              <w:pStyle w:val="Compact"/>
              <w:jc w:val="center"/>
            </w:pPr>
            <w:r>
              <w:t xml:space="preserve">2000–2026</w:t>
            </w:r>
          </w:p>
        </w:tc>
        <w:tc>
          <w:tcPr/>
          <w:p>
            <w:pPr>
              <w:pStyle w:val="Compact"/>
              <w:jc w:val="center"/>
            </w:pPr>
            <w:r>
              <w:t xml:space="preserve">182</w:t>
            </w:r>
          </w:p>
        </w:tc>
        <w:tc>
          <w:tcPr/>
          <w:p>
            <w:pPr>
              <w:pStyle w:val="Compact"/>
              <w:jc w:val="center"/>
            </w:pPr>
            <w:r>
              <w:t xml:space="preserve">104</w:t>
            </w:r>
          </w:p>
        </w:tc>
      </w:tr>
      <w:tr>
        <w:tc>
          <w:tcPr/>
          <w:p>
            <w:pPr>
              <w:pStyle w:val="Compact"/>
              <w:jc w:val="left"/>
            </w:pPr>
            <w:r>
              <w:rPr>
                <w:b/>
                <w:bCs/>
              </w:rPr>
              <w:t xml:space="preserve">NASA PDS / SELENE</w:t>
            </w:r>
          </w:p>
        </w:tc>
        <w:tc>
          <w:tcPr/>
          <w:p>
            <w:pPr>
              <w:pStyle w:val="Compact"/>
              <w:jc w:val="left"/>
            </w:pPr>
            <w:r>
              <w:t xml:space="preserve">Orbital vector magnetometer records (</w:t>
            </w:r>
            <w:r>
              <w:rPr>
                <w:rStyle w:val="VerbatimChar"/>
              </w:rPr>
              <w:t xml:space="preserve">LP-MAG</w:t>
            </w:r>
            <w:r>
              <w:t xml:space="preserve">,</w:t>
            </w:r>
            <w:r>
              <w:t xml:space="preserve"> </w:t>
            </w:r>
            <w:r>
              <w:rPr>
                <w:rStyle w:val="VerbatimChar"/>
              </w:rPr>
              <w:t xml:space="preserve">Kaguya LMAG</w:t>
            </w:r>
            <w:r>
              <w:t xml:space="preserve">,</w:t>
            </w:r>
            <w:r>
              <w:t xml:space="preserve"> </w:t>
            </w:r>
            <w:r>
              <w:rPr>
                <w:rStyle w:val="VerbatimChar"/>
              </w:rPr>
              <w:t xml:space="preserve">Apollo 12/14/15/16 surface magnetometers</w:t>
            </w:r>
            <w:r>
              <w:t xml:space="preserve">)</w:t>
            </w:r>
          </w:p>
        </w:tc>
        <w:tc>
          <w:tcPr/>
          <w:p>
            <w:pPr>
              <w:pStyle w:val="Compact"/>
              <w:jc w:val="center"/>
            </w:pPr>
            <w:r>
              <w:t xml:space="preserve">1969–2026</w:t>
            </w:r>
          </w:p>
        </w:tc>
        <w:tc>
          <w:tcPr/>
          <w:p>
            <w:pPr>
              <w:pStyle w:val="Compact"/>
              <w:jc w:val="center"/>
            </w:pPr>
            <w:r>
              <w:t xml:space="preserve">N/A (Orbital Grids)</w:t>
            </w:r>
          </w:p>
        </w:tc>
        <w:tc>
          <w:tcPr/>
          <w:p>
            <w:pPr>
              <w:pStyle w:val="Compact"/>
              <w:jc w:val="center"/>
            </w:pPr>
            <w:r>
              <w:t xml:space="preserve">23 Candidate Sites</w:t>
            </w:r>
          </w:p>
        </w:tc>
      </w:tr>
      <w:tr>
        <w:tc>
          <w:tcPr/>
          <w:p>
            <w:pPr>
              <w:pStyle w:val="Compact"/>
              <w:jc w:val="left"/>
            </w:pPr>
            <w:r>
              <w:rPr>
                <w:b/>
                <w:bCs/>
              </w:rPr>
              <w:t xml:space="preserve">Total Corpus</w:t>
            </w:r>
          </w:p>
        </w:tc>
        <w:tc>
          <w:tcPr/>
          <w:p>
            <w:pPr>
              <w:pStyle w:val="Compact"/>
              <w:jc w:val="left"/>
            </w:pPr>
            <w:r>
              <w:rPr>
                <w:b/>
                <w:bCs/>
              </w:rPr>
              <w:t xml:space="preserve">Cross-database search across 6 major indexed platforms</w:t>
            </w:r>
          </w:p>
        </w:tc>
        <w:tc>
          <w:tcPr/>
          <w:p>
            <w:pPr>
              <w:pStyle w:val="Compact"/>
              <w:jc w:val="center"/>
            </w:pPr>
            <w:r>
              <w:rPr>
                <w:b/>
                <w:bCs/>
              </w:rPr>
              <w:t xml:space="preserve">1965–2026</w:t>
            </w:r>
          </w:p>
        </w:tc>
        <w:tc>
          <w:tcPr/>
          <w:p>
            <w:pPr>
              <w:pStyle w:val="Compact"/>
              <w:jc w:val="center"/>
            </w:pPr>
            <w:r>
              <w:rPr>
                <w:b/>
                <w:bCs/>
              </w:rPr>
              <w:t xml:space="preserve">1,428 records</w:t>
            </w:r>
          </w:p>
        </w:tc>
        <w:tc>
          <w:tcPr/>
          <w:p>
            <w:pPr>
              <w:pStyle w:val="Compact"/>
              <w:jc w:val="center"/>
            </w:pPr>
            <w:r>
              <w:rPr>
                <w:b/>
                <w:bCs/>
              </w:rPr>
              <w:t xml:space="preserve">916 records</w:t>
            </w:r>
          </w:p>
        </w:tc>
      </w:tr>
    </w:tbl>
    <w:bookmarkEnd w:id="18"/>
    <w:bookmarkStart w:id="19" w:name="X47ddae7bac213161b3750e62be7a7131276b6dc"/>
    <w:p>
      <w:pPr>
        <w:pStyle w:val="Heading3"/>
      </w:pPr>
      <w:r>
        <w:t xml:space="preserve">2.3 Study Selection, Eligibility, and Deduplication Flow</w:t>
      </w:r>
    </w:p>
    <w:p>
      <w:pPr>
        <w:pStyle w:val="FirstParagraph"/>
      </w:pPr>
      <w:r>
        <w:t xml:space="preserve">Records identified through database and repository searches (</w:t>
      </w:r>
      <m:oMath>
        <m:r>
          <m:t>n</m:t>
        </m:r>
        <m:r>
          <m:rPr>
            <m:sty m:val="p"/>
          </m:rPr>
          <m:t>=</m:t>
        </m:r>
        <m:r>
          <m:t>1</m:t>
        </m:r>
        <m:r>
          <m:rPr>
            <m:sty m:val="p"/>
          </m:rPr>
          <m:t>,</m:t>
        </m:r>
        <m:r>
          <m:t>428</m:t>
        </m:r>
      </m:oMath>
      <w:r>
        <w:t xml:space="preserve"> </w:t>
      </w:r>
      <w:r>
        <w:t xml:space="preserve">database records plus</w:t>
      </w:r>
      <w:r>
        <w:t xml:space="preserve"> </w:t>
      </w:r>
      <m:oMath>
        <m:r>
          <m:t>n</m:t>
        </m:r>
        <m:r>
          <m:rPr>
            <m:sty m:val="p"/>
          </m:rPr>
          <m:t>=</m:t>
        </m:r>
        <m:r>
          <m:t>6</m:t>
        </m:r>
      </m:oMath>
      <w:r>
        <w:t xml:space="preserve"> </w:t>
      </w:r>
      <w:r>
        <w:t xml:space="preserve">primary multi-omics/orbital datasets) were compiled and deduplicated, yielding 916 unique records for title and abstract screening (Figure 2b).</w:t>
      </w:r>
    </w:p>
    <w:p>
      <w:pPr>
        <w:pStyle w:val="Compact"/>
        <w:numPr>
          <w:ilvl w:val="0"/>
          <w:numId w:val="1002"/>
        </w:numPr>
      </w:pPr>
      <w:r>
        <w:rPr>
          <w:b/>
          <w:bCs/>
        </w:rPr>
        <w:t xml:space="preserve">Inclusion Criteria:</w:t>
      </w:r>
      <w:r>
        <w:t xml:space="preserve"> </w:t>
      </w:r>
      <w:r>
        <w:t xml:space="preserve">Studies were included if they: (a) reported biological responses to measured near-null or hypomagnetic field conditions (</w:t>
      </w:r>
      <m:oMath>
        <m:r>
          <m:rPr>
            <m:sty m:val="p"/>
          </m:rPr>
          <m:t>|</m:t>
        </m:r>
        <m:r>
          <m:rPr>
            <m:sty m:val="bi"/>
          </m:rPr>
          <m:t>B</m:t>
        </m:r>
        <m:r>
          <m:rPr>
            <m:sty m:val="p"/>
          </m:rPr>
          <m:t>|</m:t>
        </m:r>
        <m:r>
          <m:rPr>
            <m:sty m:val="p"/>
          </m:rPr>
          <m:t>&lt;</m:t>
        </m:r>
        <m:r>
          <m:t>5</m:t>
        </m:r>
        <m:r>
          <m:t> </m:t>
        </m:r>
        <m:r>
          <m:t>μ</m:t>
        </m:r>
        <m:r>
          <m:rPr>
            <m:nor/>
            <m:sty m:val="p"/>
          </m:rPr>
          <m:t>T</m:t>
        </m:r>
      </m:oMath>
      <w:r>
        <w:t xml:space="preserve">); (b) focused on early vegetative seedling establishment, germination kinetics, cellular division, pigment accumulation, or organellar bioenergetics (Days 0–5 post-imbibition); (c) provided empirical multi-omics, biophysical, or calibrated orbital vector magnetic datasets; and (d) were published in peer-reviewed scientific journals or authoritative space agency technical repositories.</w:t>
      </w:r>
    </w:p>
    <w:p>
      <w:pPr>
        <w:pStyle w:val="Compact"/>
        <w:numPr>
          <w:ilvl w:val="0"/>
          <w:numId w:val="1002"/>
        </w:numPr>
      </w:pPr>
      <w:r>
        <w:rPr>
          <w:b/>
          <w:bCs/>
        </w:rPr>
        <w:t xml:space="preserve">Exclusion Criteria:</w:t>
      </w:r>
      <w:r>
        <w:t xml:space="preserve"> </w:t>
      </w:r>
      <w:r>
        <w:t xml:space="preserve">Studies were excluded if they: (a) evaluated static high-intensity magnetic fields (</w:t>
      </w:r>
      <m:oMath>
        <m:r>
          <m:rPr>
            <m:sty m:val="p"/>
          </m:rPr>
          <m:t>|</m:t>
        </m:r>
        <m:r>
          <m:rPr>
            <m:sty m:val="bi"/>
          </m:rPr>
          <m:t>B</m:t>
        </m:r>
        <m:r>
          <m:rPr>
            <m:sty m:val="p"/>
          </m:rPr>
          <m:t>|</m:t>
        </m:r>
        <m:r>
          <m:rPr>
            <m:sty m:val="p"/>
          </m:rPr>
          <m:t>&gt;</m:t>
        </m:r>
        <m:r>
          <m:t>1</m:t>
        </m:r>
        <m:r>
          <m:rPr>
            <m:nor/>
            <m:sty m:val="p"/>
          </m:rPr>
          <m:t> mT</m:t>
        </m:r>
      </m:oMath>
      <w:r>
        <w:t xml:space="preserve">, e.g., MRI exposures or magnetic resonance therapy) unrepresentative of space environments; (b) focused exclusively on post-Day 14 whole-life-cycle agronomic endpoints (flowering, silique filling) lacking early developmental kinetics; (c) utilized animal or clinical models lacking shared eukaryotic bioenergetic or radical-pair homology; or (d) lacked magnetic shielding quantification or ambient geomagnetic field controls.</w:t>
      </w:r>
    </w:p>
    <w:p>
      <w:pPr>
        <w:pStyle w:val="FirstParagraph"/>
      </w:pPr>
      <w:r>
        <w:t xml:space="preserve">Following full-text eligibility assessment (</w:t>
      </w:r>
      <m:oMath>
        <m:r>
          <m:t>n</m:t>
        </m:r>
        <m:r>
          <m:rPr>
            <m:sty m:val="p"/>
          </m:rPr>
          <m:t>=</m:t>
        </m:r>
        <m:r>
          <m:t>215</m:t>
        </m:r>
      </m:oMath>
      <w:r>
        <w:t xml:space="preserve"> </w:t>
      </w:r>
      <w:r>
        <w:t xml:space="preserve">articles evaluated), 135 articles were excluded due to missing magnetic field logs, uncontrolled DC current artifacts, or unshielded controls. The final synthesized corpus comprises</w:t>
      </w:r>
      <w:r>
        <w:t xml:space="preserve"> </w:t>
      </w:r>
      <w:r>
        <w:rPr>
          <w:b/>
          <w:bCs/>
        </w:rPr>
        <w:t xml:space="preserve">80 audited peer-reviewed publications</w:t>
      </w:r>
      <w:r>
        <w:t xml:space="preserve"> </w:t>
      </w:r>
      <w:r>
        <w:t xml:space="preserve">(Supplemental Table S1) and</w:t>
      </w:r>
      <w:r>
        <w:t xml:space="preserve"> </w:t>
      </w:r>
      <w:r>
        <w:rPr>
          <w:b/>
          <w:bCs/>
        </w:rPr>
        <w:t xml:space="preserve">6 primary multi-omics and planetary datasets</w:t>
      </w:r>
      <w:r>
        <w:t xml:space="preserve"> </w:t>
      </w:r>
      <w:r>
        <w:t xml:space="preserve">(Supplemental Table S2) integrated across scales (Figure 2b).</w:t>
      </w:r>
    </w:p>
    <w:bookmarkEnd w:id="19"/>
    <w:bookmarkStart w:id="20" w:name="Xf4d9d2a5e1e1b76c4b1ce76bd97f56b3820a4d0"/>
    <w:p>
      <w:pPr>
        <w:pStyle w:val="Heading3"/>
      </w:pPr>
      <w:r>
        <w:t xml:space="preserve">2.4 Multi-Scale Thematic Synthesis Across 5 Core Domains</w:t>
      </w:r>
    </w:p>
    <w:p>
      <w:pPr>
        <w:pStyle w:val="FirstParagraph"/>
      </w:pPr>
      <w:r>
        <w:t xml:space="preserve">Evidence was synthesized thematically across five predefined, interconnected scientific domains:</w:t>
      </w:r>
      <w:r>
        <w:t xml:space="preserve"> </w:t>
      </w:r>
      <w:r>
        <w:t xml:space="preserve">1.</w:t>
      </w:r>
      <w:r>
        <w:t xml:space="preserve"> </w:t>
      </w:r>
      <w:r>
        <w:rPr>
          <w:b/>
          <w:bCs/>
        </w:rPr>
        <w:t xml:space="preserve">Domain 1 (Planetary Environment):</w:t>
      </w:r>
      <w:r>
        <w:t xml:space="preserve"> </w:t>
      </w:r>
      <w:r>
        <w:t xml:space="preserve">Ambient lunar South Pole near-null void (</w:t>
      </w:r>
      <m:oMath>
        <m:r>
          <m:rPr>
            <m:sty m:val="p"/>
          </m:rPr>
          <m:t>&lt;</m:t>
        </m:r>
        <m:r>
          <m:t>0.82</m:t>
        </m:r>
        <m:r>
          <m:rPr>
            <m:nor/>
            <m:sty m:val="p"/>
          </m:rPr>
          <m:t> nT</m:t>
        </m:r>
      </m:oMath>
      <w:r>
        <w:t xml:space="preserve">) and surface vector superposition (</w:t>
      </w:r>
      <m:oMath>
        <m:sSub>
          <m:e>
            <m:r>
              <m:rPr>
                <m:sty m:val="bi"/>
              </m:rPr>
              <m:t>B</m:t>
            </m:r>
          </m:e>
          <m:sub>
            <m:r>
              <m:rPr>
                <m:nor/>
                <m:sty m:val="p"/>
              </m:rPr>
              <m:t>total</m:t>
            </m:r>
          </m:sub>
        </m:sSub>
      </m:oMath>
      <w:r>
        <w:t xml:space="preserve">).</w:t>
      </w:r>
      <w:r>
        <w:t xml:space="preserve"> </w:t>
      </w:r>
      <w:r>
        <w:t xml:space="preserve">2.</w:t>
      </w:r>
      <w:r>
        <w:t xml:space="preserve"> </w:t>
      </w:r>
      <w:r>
        <w:rPr>
          <w:b/>
          <w:bCs/>
        </w:rPr>
        <w:t xml:space="preserve">Domain 2 (Early Seedling Kinetics):</w:t>
      </w:r>
      <w:r>
        <w:t xml:space="preserve"> </w:t>
      </w:r>
      <w:r>
        <w:t xml:space="preserve">First 5 days of growth: germination capacity, emergence velocity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 and Day 5 biomass penalty (</w:t>
      </w:r>
      <m:oMath>
        <m:r>
          <m:rPr>
            <m:sty m:val="p"/>
          </m:rPr>
          <m:t>−</m:t>
        </m:r>
        <m:r>
          <m:t>28.5</m:t>
        </m:r>
        <m:r>
          <m:rPr>
            <m:sty m:val="p"/>
          </m:rPr>
          <m:t>%</m:t>
        </m:r>
      </m:oMath>
      <w:r>
        <w:t xml:space="preserve">).</w:t>
      </w:r>
      <w:r>
        <w:t xml:space="preserve"> </w:t>
      </w:r>
      <w:r>
        <w:t xml:space="preserve">3.</w:t>
      </w:r>
      <w:r>
        <w:t xml:space="preserve"> </w:t>
      </w:r>
      <w:r>
        <w:rPr>
          <w:b/>
          <w:bCs/>
        </w:rPr>
        <w:t xml:space="preserve">Domain 3 (Quantum Molecular Biology):</w:t>
      </w:r>
      <w:r>
        <w:t xml:space="preserve"> </w:t>
      </w:r>
      <w:r>
        <w:t xml:space="preserve">Flavin-tryptophan radical pairs in cryptochromes, spin-chemical kinetics, and mitochondrial electron transport leakage.</w:t>
      </w:r>
      <w:r>
        <w:t xml:space="preserve"> </w:t>
      </w:r>
      <w:r>
        <w:t xml:space="preserve">4.</w:t>
      </w:r>
      <w:r>
        <w:t xml:space="preserve"> </w:t>
      </w:r>
      <w:r>
        <w:rPr>
          <w:b/>
          <w:bCs/>
        </w:rPr>
        <w:t xml:space="preserve">Domain 4 (Spaceflight Multi-Stressor Nexus):</w:t>
      </w:r>
      <w:r>
        <w:t xml:space="preserve"> </w:t>
      </w:r>
      <w:r>
        <w:t xml:space="preserve">Convergence of exploration atmosphere (hypobaric</w:t>
      </w:r>
      <w:r>
        <w:t xml:space="preserve"> </w:t>
      </w:r>
      <m:oMath>
        <m:sSub>
          <m:e>
            <m:r>
              <m:rPr>
                <m:nor/>
                <m:sty m:val="p"/>
              </m:rPr>
              <m:t>CO</m:t>
            </m:r>
          </m:e>
          <m:sub>
            <m:r>
              <m:t>2</m:t>
            </m:r>
          </m:sub>
        </m:sSub>
        <m:r>
          <m:rPr>
            <m:sty m:val="p"/>
          </m:rPr>
          <m:t>/</m:t>
        </m:r>
        <m:sSub>
          <m:e>
            <m:r>
              <m:rPr>
                <m:nor/>
                <m:sty m:val="p"/>
              </m:rPr>
              <m:t>O</m:t>
            </m:r>
          </m:e>
          <m:sub>
            <m:r>
              <m:t>2</m:t>
            </m:r>
          </m:sub>
        </m:sSub>
      </m:oMath>
      <w:r>
        <w:t xml:space="preserve">), ionizing radiation, and near-null fields on</w:t>
      </w:r>
      <w:r>
        <w:t xml:space="preserve"> </w:t>
      </w:r>
      <w:r>
        <w:rPr>
          <w:i/>
          <w:iCs/>
        </w:rPr>
        <w:t xml:space="preserve">AOX1D</w:t>
      </w:r>
      <w:r>
        <w:t xml:space="preserve"> </w:t>
      </w:r>
      <w:r>
        <w:t xml:space="preserve">and</w:t>
      </w:r>
      <w:r>
        <w:t xml:space="preserve"> </w:t>
      </w:r>
      <w:r>
        <w:rPr>
          <w:i/>
          <w:iCs/>
        </w:rPr>
        <w:t xml:space="preserve">CAT3</w:t>
      </w:r>
      <w:r>
        <w:t xml:space="preserve">.</w:t>
      </w:r>
      <w:r>
        <w:t xml:space="preserve"> </w:t>
      </w:r>
      <w:r>
        <w:t xml:space="preserve">5.</w:t>
      </w:r>
      <w:r>
        <w:t xml:space="preserve"> </w:t>
      </w:r>
      <w:r>
        <w:rPr>
          <w:b/>
          <w:bCs/>
        </w:rPr>
        <w:t xml:space="preserve">Domain 5 (Flight Hardware Assessment &amp; Gap Retirement):</w:t>
      </w:r>
      <w:r>
        <w:t xml:space="preserve"> </w:t>
      </w:r>
      <w:r>
        <w:t xml:space="preserve">Three-chamber ground simulation standards, hardware power-state self-magnetic mapping, and post-flight phenotypic disambiguation.</w:t>
      </w:r>
    </w:p>
    <w:bookmarkEnd w:id="20"/>
    <w:bookmarkStart w:id="25" w:name="X37027a43b29429596b7df2cce8738a608baab48"/>
    <w:p>
      <w:pPr>
        <w:pStyle w:val="Heading3"/>
      </w:pPr>
      <w:r>
        <w:t xml:space="preserve">2.5 Open-Source Computational Toolkit &amp; FAIR Data Protocol</w:t>
      </w:r>
    </w:p>
    <w:p>
      <w:pPr>
        <w:pStyle w:val="FirstParagraph"/>
      </w:pPr>
      <w:r>
        <w:t xml:space="preserve">All vector superposition calculations, non-linear germination kinetics parameterizations (</w:t>
      </w:r>
      <m:oMath>
        <m:sSub>
          <m:e>
            <m:r>
              <m:t>t</m:t>
            </m:r>
          </m:e>
          <m:sub>
            <m:r>
              <m:t>50</m:t>
            </m:r>
          </m:sub>
        </m:sSub>
      </m:oMath>
      <w:r>
        <w:t xml:space="preserve"> </w:t>
      </w:r>
      <w:r>
        <w:t xml:space="preserve">Weibull and logistic fittings), and multi-omics gene overlap matrices were developed and executed using the authors’ open-source repository:</w:t>
      </w:r>
      <w:r>
        <w:t xml:space="preserve"> </w:t>
      </w:r>
      <w:hyperlink r:id="rId21">
        <w:r>
          <w:rPr>
            <w:rStyle w:val="VerbatimChar"/>
          </w:rPr>
          <w:t xml:space="preserve">dr-richard-barker/NMF_review</w:t>
        </w:r>
      </w:hyperlink>
      <w:r>
        <w:t xml:space="preserve">. All underlying Python scripts, empirical CSV datasets, and figures are archived under FAIR (Findable, Accessible, Interoperable, and Reusable) data standards on GitHub and Zenodo.</w:t>
      </w:r>
    </w:p>
    <w:p>
      <w:pPr>
        <w:pStyle w:val="BodyText"/>
      </w:pPr>
      <w:r>
        <w:drawing>
          <wp:inline>
            <wp:extent cx="5334000" cy="4135134"/>
            <wp:effectExtent b="0" l="0" r="0" t="0"/>
            <wp:docPr descr="Figure 2" title="" id="23" name="Picture"/>
            <a:graphic>
              <a:graphicData uri="http://schemas.openxmlformats.org/drawingml/2006/picture">
                <pic:pic>
                  <pic:nvPicPr>
                    <pic:cNvPr descr="/Users/drb_laptop/Documents/NMF_review/figures/Fig2_integrative_methods_framework.png" id="24" name="Picture"/>
                    <pic:cNvPicPr>
                      <a:picLocks noChangeArrowheads="1" noChangeAspect="1"/>
                    </pic:cNvPicPr>
                  </pic:nvPicPr>
                  <pic:blipFill>
                    <a:blip r:embed="rId22"/>
                    <a:stretch>
                      <a:fillRect/>
                    </a:stretch>
                  </pic:blipFill>
                  <pic:spPr bwMode="auto">
                    <a:xfrm>
                      <a:off x="0" y="0"/>
                      <a:ext cx="5334000" cy="4135134"/>
                    </a:xfrm>
                    <a:prstGeom prst="rect">
                      <a:avLst/>
                    </a:prstGeom>
                    <a:noFill/>
                    <a:ln w="9525">
                      <a:noFill/>
                      <a:headEnd/>
                      <a:tailEnd/>
                    </a:ln>
                  </pic:spPr>
                </pic:pic>
              </a:graphicData>
            </a:graphic>
          </wp:inline>
        </w:drawing>
      </w:r>
      <w:r>
        <w:t xml:space="preserve"> </w:t>
      </w:r>
      <w:r>
        <w:rPr>
          <w:b/>
          <w:bCs/>
        </w:rPr>
        <w:t xml:space="preserve">Figure 2 | Integrative review conceptual framework and evidence selection flow.</w:t>
      </w:r>
      <w:r>
        <w:br/>
      </w:r>
      <w:r>
        <w:rPr>
          <w:b/>
          <w:bCs/>
        </w:rPr>
        <w:t xml:space="preserve">(a) Conceptual Framework of the Integrative Review:</w:t>
      </w:r>
      <w:r>
        <w:t xml:space="preserve"> </w:t>
      </w:r>
      <w:r>
        <w:t xml:space="preserve">Progression from four formal research questions (RQ1–RQ4) through multi-disciplinary data sources (planetary geophysics, plant space biology, quantum biophysics, astronaut multi-omics), rigorous selection and scoping criteria, and multi-scale thematic synthesis across five core scientific domains (D1–D5).</w:t>
      </w:r>
      <w:r>
        <w:br/>
      </w:r>
      <w:r>
        <w:rPr>
          <w:b/>
          <w:bCs/>
        </w:rPr>
        <w:t xml:space="preserve">(b) Evidence Identification and Selection Flow Diagram (PRISMA/SANRA-compliant):</w:t>
      </w:r>
      <w:r>
        <w:t xml:space="preserve"> </w:t>
      </w:r>
      <w:r>
        <w:t xml:space="preserve">Systematic screening and deduplication from 1,428 database records (PubMed, Web of Science, Scopus/Europe PMC, NASA OSDR) and 6 primary spaceflight/planetary repositories down to the 80 audited peer-reviewed publications (Supplemental Table S1) and 6 public datasets (Supplemental Table S2) synthesized across scales. All calculations and non-linear kinetics fits were executed via the open-source package dr-richard-barker/NMF_review.</w:t>
      </w:r>
    </w:p>
    <w:p>
      <w:r>
        <w:pict>
          <v:rect style="width:0;height:1.5pt" o:hralign="center" o:hrstd="t" o:hr="t"/>
        </w:pict>
      </w:r>
    </w:p>
    <w:bookmarkEnd w:id="25"/>
    <w:bookmarkEnd w:id="26"/>
    <w:bookmarkStart w:id="33" w:name="X91dcc69f4ee66fdadbfb89532eed46c4adf9c01"/>
    <w:p>
      <w:pPr>
        <w:pStyle w:val="Heading2"/>
      </w:pPr>
      <w:r>
        <w:t xml:space="preserve">3.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3a).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43106"/>
            <wp:effectExtent b="0" l="0" r="0" t="0"/>
            <wp:docPr descr="Figure 3" title="" id="28" name="Picture"/>
            <a:graphic>
              <a:graphicData uri="http://schemas.openxmlformats.org/drawingml/2006/picture">
                <pic:pic>
                  <pic:nvPicPr>
                    <pic:cNvPr descr="/Users/drb_laptop/Documents/NMF_review/figures/Fig3_first_5_days_germination_pigments.png" id="29" name="Picture"/>
                    <pic:cNvPicPr>
                      <a:picLocks noChangeArrowheads="1" noChangeAspect="1"/>
                    </pic:cNvPicPr>
                  </pic:nvPicPr>
                  <pic:blipFill>
                    <a:blip r:embed="rId27"/>
                    <a:stretch>
                      <a:fillRect/>
                    </a:stretch>
                  </pic:blipFill>
                  <pic:spPr bwMode="auto">
                    <a:xfrm>
                      <a:off x="0" y="0"/>
                      <a:ext cx="5334000" cy="4443106"/>
                    </a:xfrm>
                    <a:prstGeom prst="rect">
                      <a:avLst/>
                    </a:prstGeom>
                    <a:noFill/>
                    <a:ln w="9525">
                      <a:noFill/>
                      <a:headEnd/>
                      <a:tailEnd/>
                    </a:ln>
                  </pic:spPr>
                </pic:pic>
              </a:graphicData>
            </a:graphic>
          </wp:inline>
        </w:drawing>
      </w:r>
      <w:r>
        <w:t xml:space="preserve"> </w:t>
      </w:r>
      <w:r>
        <w:rPr>
          <w:b/>
          <w:bCs/>
        </w:rPr>
        <w:t xml:space="preserve">Figure 3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developmental penalties in germination capacity, emergence velocity, and pigment biosynthesis are mapped across phases.</w:t>
      </w:r>
      <w:r>
        <w:br/>
      </w:r>
      <w:r>
        <w:rPr>
          <w:b/>
          <w:bCs/>
        </w:rPr>
        <w:t xml:space="preserve">(b) Seed Germination Time-Course &amp; Kinetics (</w:t>
      </w:r>
      <m:oMath>
        <m:sSub>
          <m:e>
            <m:r>
              <m:t>t</m:t>
            </m:r>
          </m:e>
          <m:sub>
            <m:r>
              <m:t>50</m:t>
            </m:r>
          </m:sub>
        </m:sSub>
      </m:oMath>
      <w:r>
        <w:rPr>
          <w:b/>
          <w:bCs/>
        </w:rPr>
        <w:t xml:space="preserve">):</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synthesized from published empirical literature across crop and model species (Xu et al. [35,36], Tang et al. [31], Pooam et al. [50], Agliassa et al. [28]; Table 3). Hypomagnetic exposure causes a 20% decline in final germination capacity (total viable seedling count)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(meta-analysis of Refs [26–31]; Table 3).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30" w:name="X84ab46a2910601b3aa81b5275358d63c8185990"/>
    <w:p>
      <w:pPr>
        <w:pStyle w:val="Heading3"/>
      </w:pPr>
      <w:r>
        <w:t xml:space="preserve">3.1 Germination Capacity and Seed Dormancy Breaking</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3b).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 Here,</w:t>
      </w:r>
      <w:r>
        <w:t xml:space="preserve"> </w:t>
      </w:r>
      <w:r>
        <w:rPr>
          <w:b/>
          <w:bCs/>
        </w:rPr>
        <w:t xml:space="preserve">testa rupture</w:t>
      </w:r>
      <w:r>
        <w:t xml:space="preserve"> </w:t>
      </w:r>
      <w:r>
        <w:t xml:space="preserve">is defined as the initial mechanical splitting and rupture of the outer maternal seed coat (testa), an obligatory physical prerequisite preceding endosperm rupture and subsequent radicle emergence [25].</w:t>
      </w:r>
    </w:p>
    <w:p>
      <w:pPr>
        <w:pStyle w:val="BodyText"/>
      </w:pPr>
      <w:r>
        <w:t xml:space="preserve">Notably, rapid-cycling model crops such as</w:t>
      </w:r>
      <w:r>
        <w:t xml:space="preserve"> </w:t>
      </w:r>
      <w:r>
        <w:rPr>
          <w:i/>
          <w:iCs/>
        </w:rPr>
        <w:t xml:space="preserve">Brassica rapa</w:t>
      </w:r>
      <w:r>
        <w:t xml:space="preserve"> </w:t>
      </w:r>
      <w:r>
        <w:t xml:space="preserve">(Wisconsin Fast Plants) were selectively bred for extremely low seed dormancy [80]; nevertheless, their germination remains fundamentally governed by the ABA:GA signaling balance (as evidenced by gibberellin-deficient mutants exhibiting classic delayed emergence phenotypes). This makes any observed emergence delay under near-null magnetic conditions a particularly sensitive and unambiguous indicator of biophysical stress rather than background genetic dormancy variation.</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10% to 30% reduction in germination capacity represents a substantial penalty on mission resource efficiency.</w:t>
      </w:r>
    </w:p>
    <w:bookmarkEnd w:id="30"/>
    <w:bookmarkStart w:id="31" w:name="Xaa74a4bab91ffde988354fc058a08a7e1d240f0"/>
    <w:p>
      <w:pPr>
        <w:pStyle w:val="Heading3"/>
      </w:pPr>
      <w:r>
        <w:t xml:space="preserve">3.2 Emergence Velocity (</w:t>
      </w:r>
      <m:oMath>
        <m:sSub>
          <m:e>
            <m:r>
              <m:t>t</m:t>
            </m:r>
          </m:e>
          <m:sub>
            <m:r>
              <m:t>50</m:t>
            </m:r>
          </m:sub>
        </m:sSub>
      </m:oMath>
      <w:r>
        <w:t xml:space="preserve">) and Early Biomass Accumulation</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median time required for 50% of the viable seed population to emerge)</w:t>
      </w:r>
      <w:r>
        <w:t xml:space="preserve"> </w:t>
      </w:r>
      <w:r>
        <w:t xml:space="preserve">and the subsequent speed of seedling elongation are substantially depressed under near-null fields (Figure 3b,c).</w:t>
      </w:r>
    </w:p>
    <w:p>
      <w:pPr>
        <w:pStyle w:val="BodyText"/>
      </w:pPr>
      <w:r>
        <w:t xml:space="preserve">Controlled ground experiments compiled across the literature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an empirical</w:t>
      </w:r>
      <w:r>
        <w:t xml:space="preserve"> </w:t>
      </w:r>
      <m:oMath>
        <m:r>
          <m:t>20</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(synthesized from the multi-species trials of Xu et al. [26,35], Tang et al. [31], and Agliassa et al. [28]; Figure 3c; Table 3).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31"/>
    <w:bookmarkStart w:id="32" w:name="Xe6c39742f366f8b4136845bd2138bb297a98052"/>
    <w:p>
      <w:pPr>
        <w:pStyle w:val="Heading3"/>
      </w:pPr>
      <w:r>
        <w:t xml:space="preserve">3.3 Pigment Biosynthetic Networks and Plastid Greening</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3d):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4),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32"/>
    <w:bookmarkEnd w:id="33"/>
    <w:bookmarkStart w:id="40" w:name="X02a9b06c6b4373f75ab42fb7113307e65fb3bd2"/>
    <w:p>
      <w:pPr>
        <w:pStyle w:val="Heading2"/>
      </w:pPr>
      <w:r>
        <w:t xml:space="preserve">4. Quantum Molecular Biology of the 0–5 Day Window: The Quantum Biology Atlas Perspective</w:t>
      </w:r>
    </w:p>
    <w:p>
      <w:pPr>
        <w:pStyle w:val="FirstParagraph"/>
      </w:pPr>
      <w:r>
        <w:drawing>
          <wp:inline>
            <wp:extent cx="5334000" cy="4485820"/>
            <wp:effectExtent b="0" l="0" r="0" t="0"/>
            <wp:docPr descr="Figure 4" title="" id="35" name="Picture"/>
            <a:graphic>
              <a:graphicData uri="http://schemas.openxmlformats.org/drawingml/2006/picture">
                <pic:pic>
                  <pic:nvPicPr>
                    <pic:cNvPr descr="/Users/drb_laptop/Documents/NMF_review/figures/Fig4_quantum_biology_0to5day_pathways.png" id="36" name="Picture"/>
                    <pic:cNvPicPr>
                      <a:picLocks noChangeArrowheads="1" noChangeAspect="1"/>
                    </pic:cNvPicPr>
                  </pic:nvPicPr>
                  <pic:blipFill>
                    <a:blip r:embed="rId34"/>
                    <a:stretch>
                      <a:fillRect/>
                    </a:stretch>
                  </pic:blipFill>
                  <pic:spPr bwMode="auto">
                    <a:xfrm>
                      <a:off x="0" y="0"/>
                      <a:ext cx="5334000" cy="4485820"/>
                    </a:xfrm>
                    <a:prstGeom prst="rect">
                      <a:avLst/>
                    </a:prstGeom>
                    <a:noFill/>
                    <a:ln w="9525">
                      <a:noFill/>
                      <a:headEnd/>
                      <a:tailEnd/>
                    </a:ln>
                  </pic:spPr>
                </pic:pic>
              </a:graphicData>
            </a:graphic>
          </wp:inline>
        </w:drawing>
      </w:r>
      <w:r>
        <w:t xml:space="preserve"> </w:t>
      </w:r>
      <w:r>
        <w:rPr>
          <w:b/>
          <w:bCs/>
        </w:rPr>
        <w:t xml:space="preserve">Figure 4 | Quantum molecular biology of early seedling establishment (Days 0–5).</w:t>
      </w:r>
      <w:r>
        <w:br/>
      </w:r>
      <w:r>
        <w:rPr>
          <w:b/>
          <w:bCs/>
        </w:rPr>
        <w:t xml:space="preserve">(a) QBM-06 Pathway Map: Seed Germination Before Photosynthesis:</w:t>
      </w:r>
      <w:r>
        <w:t xml:space="preserve"> </w:t>
      </w:r>
      <w:r>
        <w:t xml:space="preserve">Systems Biology Graphical Notation (SBGN) pathway map of the 0–72 h heterotrophic energy bottleneck from the Quantum Biology Atlas [55]. Four horizontal compartments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[T2], Cytochrome</w:t>
      </w:r>
      <w:r>
        <w:t xml:space="preserve"> </w:t>
      </w:r>
      <m:oMath>
        <m:r>
          <m:t>c</m:t>
        </m:r>
      </m:oMath>
      <w:r>
        <w:t xml:space="preserve"> </w:t>
      </w:r>
      <w:r>
        <w:t xml:space="preserve">release modulating ABI4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37" w:name="Xe0679b0bbf85623df9adac5f6fafff9a4e5dd86"/>
    <w:p>
      <w:pPr>
        <w:pStyle w:val="Heading3"/>
      </w:pPr>
      <w:r>
        <w:t xml:space="preserve">4.1 Defining Quantum Biology &amp; The 0–72 h Energy Route</w:t>
      </w:r>
    </w:p>
    <w:p>
      <w:pPr>
        <w:pStyle w:val="FirstParagraph"/>
      </w:pPr>
      <w:r>
        <w:rPr>
          <w:b/>
          <w:bCs/>
        </w:rPr>
        <w:t xml:space="preserve">Quantum biology</w:t>
      </w:r>
      <w:r>
        <w:t xml:space="preserve"> </w:t>
      </w:r>
      <w:r>
        <w:t xml:space="preserve">is defined as the investigation of non-trivial quantum mechanical phenomena—including spin-correlated radical pair dynamics, coherent excitation energy transfer, and quantum tunneling—that operate within biological macromolecules on physiological timescales to influence macroscale organismal function [55]. To evaluate whether hypomagnetic phenotypes reflect specific biophysical magnetoreceptors or general downstream metabolic perturbation, mechanistic hypotheses must be stratified against physical laws and empirical evidence.</w:t>
      </w:r>
    </w:p>
    <w:p>
      <w:pPr>
        <w:pStyle w:val="BodyText"/>
      </w:pPr>
      <w:r>
        <w:t xml:space="preserve">Here, we implement the pathway map</w:t>
      </w:r>
      <w:r>
        <w:t xml:space="preserve"> </w:t>
      </w:r>
      <w:r>
        <w:rPr>
          <w:b/>
          <w:bCs/>
        </w:rPr>
        <w:t xml:space="preserve">QBM-06 (Seed Germination Before Photosynthesis)</w:t>
      </w:r>
      <w:r>
        <w:t xml:space="preserve">, adapted from the Systems Biology Graphical Notation (SBGN) standard and the open-source</w:t>
      </w:r>
      <w:r>
        <w:t xml:space="preserve"> </w:t>
      </w:r>
      <w:r>
        <w:rPr>
          <w:b/>
          <w:bCs/>
        </w:rPr>
        <w:t xml:space="preserve">Quantum Biology Atlas</w:t>
      </w:r>
      <w:r>
        <w:t xml:space="preserve"> </w:t>
      </w:r>
      <w:r>
        <w:t xml:space="preserve">[55] (Figure 4a). This model computationally maps the heterotrophic energy cascade, delineating enzymes with validated or candidate spin-chemical mechanisms from surrounding non-quantum metabolic scaffolds.</w:t>
      </w:r>
    </w:p>
    <w:p>
      <w:pPr>
        <w:pStyle w:val="BodyText"/>
      </w:pPr>
      <w:r>
        <w:t xml:space="preserve">During the first 72 hours post-imbibition, the plant embryo possesses no functional chloroplasts. Energy production relies entirely on catabolizing stored lipids (triacylglycerols, TAGs) stored in seed oil bodies (Figure 4a):</w:t>
      </w:r>
      <w:r>
        <w:t xml:space="preserve"> </w:t>
      </w:r>
      <w:r>
        <w:t xml:space="preserve">1.</w:t>
      </w:r>
      <w:r>
        <w:t xml:space="preserve"> </w:t>
      </w:r>
      <w:r>
        <w:rPr>
          <w:b/>
          <w:bCs/>
        </w:rPr>
        <w:t xml:space="preserve">Peroxisomal Reserve Mobilization:</w:t>
      </w:r>
      <w:r>
        <w:t xml:space="preserve"> </w:t>
      </w:r>
      <w:r>
        <w:t xml:space="preserve">SUGAR-DEPENDENT1 (SDP1, acting as a contextual enzymatic scaffold)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representing a plausible spin-chemical signaling route). Acetyl-CoA units are processed via the glyoxylate cycle (isocitrate lyase [</w:t>
      </w:r>
      <w:r>
        <w:rPr>
          <w:i/>
          <w:iCs/>
        </w:rPr>
        <w:t xml:space="preserve">ICL</w:t>
      </w:r>
      <w:r>
        <w:t xml:space="preserve">] and malate synthase [</w:t>
      </w:r>
      <w:r>
        <w:rPr>
          <w:i/>
          <w:iCs/>
        </w:rPr>
        <w:t xml:space="preserve">MLS</w:t>
      </w:r>
      <w:r>
        <w:t xml:space="preserve">])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where field effects are inferred from complex behavior)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and Cytochrome</w:t>
      </w:r>
      <w:r>
        <w:t xml:space="preserve"> </w:t>
      </w:r>
      <m:oMath>
        <m:r>
          <m:t>c</m:t>
        </m:r>
      </m:oMath>
      <w:r>
        <w:t xml:space="preserve"> </w:t>
      </w:r>
      <w:r>
        <w:t xml:space="preserve">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37"/>
    <w:bookmarkStart w:id="38" w:name="X47189a6742d435d1b399e4072d9cb6d7d351068"/>
    <w:p>
      <w:pPr>
        <w:pStyle w:val="Heading3"/>
      </w:pPr>
      <w:r>
        <w:t xml:space="preserve">4.2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4b):</w:t>
      </w:r>
      <w:r>
        <w:t xml:space="preserve"> </w:t>
      </w:r>
      <w:r>
        <w:t xml:space="preserve">-</w:t>
      </w:r>
      <w:r>
        <w:t xml:space="preserve"> </w:t>
      </w:r>
      <w:r>
        <w:rPr>
          <w:b/>
          <w:bCs/>
        </w:rPr>
        <w:t xml:space="preserve">Tier 1 (Demonstrated Biomolecular Field Effect):</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Metabolic Scaffold):</w:t>
      </w:r>
      <w:r>
        <w:t xml:space="preserve"> </w:t>
      </w:r>
      <w:r>
        <w:t xml:space="preserve">Structural proteins and metabolic enzymes that lack direct quantum magnetosensitivity but form the requisite physical scaffold for electron transport and substrate flux.</w:t>
      </w:r>
    </w:p>
    <w:bookmarkEnd w:id="38"/>
    <w:bookmarkStart w:id="39" w:name="X23607cf7f83ac68f3fa7e48facb8451bd879e21"/>
    <w:p>
      <w:pPr>
        <w:pStyle w:val="Heading3"/>
      </w:pPr>
      <w:r>
        <w:t xml:space="preserve">4.3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39"/>
    <w:bookmarkEnd w:id="40"/>
    <w:bookmarkStart w:id="47" w:name="X85037b07a43ba8a6ca07dd5271da38371d3a519"/>
    <w:p>
      <w:pPr>
        <w:pStyle w:val="Heading2"/>
      </w:pPr>
      <w:r>
        <w:t xml:space="preserve">5.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5a).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(Figure 5; Core Concept 5).</w:t>
      </w:r>
    </w:p>
    <w:p>
      <w:pPr>
        <w:pStyle w:val="BodyText"/>
      </w:pPr>
      <w:r>
        <w:drawing>
          <wp:inline>
            <wp:extent cx="5334000" cy="4331025"/>
            <wp:effectExtent b="0" l="0" r="0" t="0"/>
            <wp:docPr descr="Figure 5" title="" id="42" name="Picture"/>
            <a:graphic>
              <a:graphicData uri="http://schemas.openxmlformats.org/drawingml/2006/picture">
                <pic:pic>
                  <pic:nvPicPr>
                    <pic:cNvPr descr="/Users/drb_laptop/Documents/NMF_review/figures/Fig5_multistressor_co2_o2_ros_nexus.png" id="43" name="Picture"/>
                    <pic:cNvPicPr>
                      <a:picLocks noChangeArrowheads="1" noChangeAspect="1"/>
                    </pic:cNvPicPr>
                  </pic:nvPicPr>
                  <pic:blipFill>
                    <a:blip r:embed="rId41"/>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5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44" w:name="exploration-atmosphere-the-gas-balance"/>
    <w:p>
      <w:pPr>
        <w:pStyle w:val="Heading3"/>
      </w:pPr>
      <w:r>
        <w:t xml:space="preserve">5.1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44"/>
    <w:bookmarkStart w:id="45" w:name="Xb39b9264bedb3c8a3f94924d252feb42e93ab4f"/>
    <w:p>
      <w:pPr>
        <w:pStyle w:val="Heading3"/>
      </w:pPr>
      <w:r>
        <w:t xml:space="preserve">5.2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5c).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45"/>
    <w:bookmarkStart w:id="46" w:name="X2a1c2c32e3ea60f58103c74ede25849cd4b1ed2"/>
    <w:p>
      <w:pPr>
        <w:pStyle w:val="Heading3"/>
      </w:pPr>
      <w:r>
        <w:t xml:space="preserve">5.3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5d).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46"/>
    <w:bookmarkEnd w:id="47"/>
    <w:bookmarkStart w:id="55" w:name="X010ece94745ab7bbcd058eee9e1efe2b7b58067"/>
    <w:p>
      <w:pPr>
        <w:pStyle w:val="Heading2"/>
      </w:pPr>
      <w:r>
        <w:t xml:space="preserve">6. Scientific Knowledge Gap Retirement, Ground Simulation Standards, and Flight Instrumentation Trade Space</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scientific discipline for Artemis payloads, we formulate a standardized framework focusing on rigorous ground simulation methods, causal validation, and post-flight phenotypic disambiguation (Figure 6).</w:t>
      </w:r>
    </w:p>
    <w:p>
      <w:pPr>
        <w:pStyle w:val="BodyText"/>
      </w:pPr>
      <w:r>
        <w:drawing>
          <wp:inline>
            <wp:extent cx="5334000" cy="4446945"/>
            <wp:effectExtent b="0" l="0" r="0" t="0"/>
            <wp:docPr descr="Figure 6" title="" id="49" name="Picture"/>
            <a:graphic>
              <a:graphicData uri="http://schemas.openxmlformats.org/drawingml/2006/picture">
                <pic:pic>
                  <pic:nvPicPr>
                    <pic:cNvPr descr="/Users/drb_laptop/Documents/NMF_review/figures/Fig6_flight_validation_risk_pipeline.png" id="50" name="Picture"/>
                    <pic:cNvPicPr>
                      <a:picLocks noChangeArrowheads="1" noChangeAspect="1"/>
                    </pic:cNvPicPr>
                  </pic:nvPicPr>
                  <pic:blipFill>
                    <a:blip r:embed="rId48"/>
                    <a:stretch>
                      <a:fillRect/>
                    </a:stretch>
                  </pic:blipFill>
                  <pic:spPr bwMode="auto">
                    <a:xfrm>
                      <a:off x="0" y="0"/>
                      <a:ext cx="5334000" cy="4446945"/>
                    </a:xfrm>
                    <a:prstGeom prst="rect">
                      <a:avLst/>
                    </a:prstGeom>
                    <a:noFill/>
                    <a:ln w="9525">
                      <a:noFill/>
                      <a:headEnd/>
                      <a:tailEnd/>
                    </a:ln>
                  </pic:spPr>
                </pic:pic>
              </a:graphicData>
            </a:graphic>
          </wp:inline>
        </w:drawing>
      </w:r>
      <w:r>
        <w:t xml:space="preserve"> </w:t>
      </w:r>
      <w:r>
        <w:rPr>
          <w:b/>
          <w:bCs/>
        </w:rPr>
        <w:t xml:space="preserve">Figure 6 | Ground simulation standards, hardware self-magnetic assessment protocol, and post-flight phenotypic disambiguation framework.</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(Matched Bifilar Sham Control, carrying matched current through opposing bifilar windings to cancel the magnetic field while identically matching ohmic heating, vibration, and EMI).</w:t>
      </w:r>
      <w:r>
        <w:br/>
      </w:r>
      <w:r>
        <w:rPr>
          <w:b/>
          <w:bCs/>
        </w:rPr>
        <w:t xml:space="preserve">(b) Hardware Self-Magnetic Assessment Protocol (Power-State Mapping):</w:t>
      </w:r>
      <w:r>
        <w:t xml:space="preserve"> </w:t>
      </w:r>
      <w:r>
        <w:t xml:space="preserve">Systematic calibration matrix to decouple hardware self-generated magnetic fields from the ambient lunar near-null field. As payload subsystems modulate across operational power settings (LED PAR lighting</w:t>
      </w:r>
      <w:r>
        <w:t xml:space="preserve"> </w:t>
      </w:r>
      <m:oMath>
        <m:r>
          <m:t>0</m:t>
        </m:r>
        <m:r>
          <m:rPr>
            <m:nor/>
            <m:sty m:val="p"/>
          </m:rPr>
          <m:t>–</m:t>
        </m:r>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inducing</w:t>
      </w:r>
      <w:r>
        <w:t xml:space="preserve"> </w:t>
      </w:r>
      <m:oMath>
        <m:r>
          <m:rPr>
            <m:sty m:val="p"/>
          </m:rPr>
          <m:t>Δ</m:t>
        </m:r>
        <m:r>
          <m:t>B</m:t>
        </m:r>
        <m:r>
          <m:rPr>
            <m:sty m:val="p"/>
          </m:rPr>
          <m:t>≈</m:t>
        </m:r>
        <m:r>
          <m:t>2</m:t>
        </m:r>
        <m:r>
          <m:rPr>
            <m:nor/>
            <m:sty m:val="p"/>
          </m:rPr>
          <m:t>–</m:t>
        </m:r>
        <m:r>
          <m:t>15</m:t>
        </m:r>
        <m:r>
          <m:t> </m:t>
        </m:r>
        <m:r>
          <m:t>μ</m:t>
        </m:r>
        <m:r>
          <m:rPr>
            <m:nor/>
            <m:sty m:val="p"/>
          </m:rPr>
          <m:t>T</m:t>
        </m:r>
      </m:oMath>
      <w:r>
        <w:t xml:space="preserve">; fluidic pump pulses inducing</w:t>
      </w:r>
      <w:r>
        <w:t xml:space="preserve"> </w:t>
      </w:r>
      <m:oMath>
        <m:r>
          <m:rPr>
            <m:sty m:val="p"/>
          </m:rPr>
          <m:t>Δ</m:t>
        </m:r>
        <m:r>
          <m:t>B</m:t>
        </m:r>
        <m:r>
          <m:rPr>
            <m:sty m:val="p"/>
          </m:rPr>
          <m:t>≈</m:t>
        </m:r>
        <m:r>
          <m:t>8</m:t>
        </m:r>
        <m:r>
          <m:rPr>
            <m:nor/>
            <m:sty m:val="p"/>
          </m:rPr>
          <m:t>–</m:t>
        </m:r>
        <m:r>
          <m:t>35</m:t>
        </m:r>
        <m:r>
          <m:t> </m:t>
        </m:r>
        <m:r>
          <m:t>μ</m:t>
        </m:r>
        <m:r>
          <m:rPr>
            <m:nor/>
            <m:sty m:val="p"/>
          </m:rPr>
          <m:t>T</m:t>
        </m:r>
      </m:oMath>
      <w:r>
        <w:t xml:space="preserve">; resistive thermal heaters inducing</w:t>
      </w:r>
      <w:r>
        <w:t xml:space="preserve"> </w:t>
      </w:r>
      <m:oMath>
        <m:r>
          <m:rPr>
            <m:sty m:val="p"/>
          </m:rPr>
          <m:t>Δ</m:t>
        </m:r>
        <m:r>
          <m:t>B</m:t>
        </m:r>
        <m:r>
          <m:rPr>
            <m:sty m:val="p"/>
          </m:rPr>
          <m:t>≈</m:t>
        </m:r>
        <m:r>
          <m:t>12</m:t>
        </m:r>
        <m:r>
          <m:rPr>
            <m:nor/>
            <m:sty m:val="p"/>
          </m:rPr>
          <m:t>–</m:t>
        </m:r>
        <m:r>
          <m:t>48</m:t>
        </m:r>
        <m:r>
          <m:t> </m:t>
        </m:r>
        <m:r>
          <m:t>μ</m:t>
        </m:r>
        <m:r>
          <m:rPr>
            <m:nor/>
            <m:sty m:val="p"/>
          </m:rPr>
          <m:t>T</m:t>
        </m:r>
      </m:oMath>
      <w:r>
        <w:t xml:space="preserve">; and avionics telemetry buses generating</w:t>
      </w:r>
      <w:r>
        <w:t xml:space="preserve"> </w:t>
      </w:r>
      <m:oMath>
        <m:r>
          <m:rPr>
            <m:sty m:val="p"/>
          </m:rPr>
          <m:t>Δ</m:t>
        </m:r>
        <m:r>
          <m:t>B</m:t>
        </m:r>
        <m:r>
          <m:rPr>
            <m:sty m:val="p"/>
          </m:rPr>
          <m:t>≈</m:t>
        </m:r>
        <m:r>
          <m:t>0.5</m:t>
        </m:r>
        <m:r>
          <m:rPr>
            <m:nor/>
            <m:sty m:val="p"/>
          </m:rPr>
          <m:t>–</m:t>
        </m:r>
        <m:r>
          <m:t>4</m:t>
        </m:r>
        <m:r>
          <m:t> </m:t>
        </m:r>
        <m:r>
          <m:t>μ</m:t>
        </m:r>
        <m:r>
          <m:rPr>
            <m:nor/>
            <m:sty m:val="p"/>
          </m:rPr>
          <m:t>T</m:t>
        </m:r>
      </m:oMath>
      <w:r>
        <w:t xml:space="preserve">), induced DC vectors are logged. Using the empirical superposition transfer function</w:t>
      </w:r>
      <w:r>
        <w:t xml:space="preserve"> </w:t>
      </w: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w:r>
        <w:t xml:space="preserve">, payload self-fields are computationally subtracted to isolate true ambient exposure without requiring active in-flight cancellation coils.</w:t>
      </w:r>
      <w:r>
        <w:br/>
      </w:r>
      <w:r>
        <w:rPr>
          <w:b/>
          <w:bCs/>
        </w:rPr>
        <w:t xml:space="preserve">(c) Post-Flight Phenotypic Risk Disambiguation Framework:</w:t>
      </w:r>
      <w:r>
        <w:t xml:space="preserve"> </w:t>
      </w:r>
      <w:r>
        <w:t xml:space="preserve">Comprehensive comparative matrix translating empirical ground and flight telemetry to decouple overlapping environmental stressors in lunar agricultural payloads (Table 4), distinguishing Hypomagnetic Field lesions (emergence lag, cryptochrome-HY5 chlorosis, AOX1D induction without DNA breaks) from Lunar Partial Gravity (</w:t>
      </w:r>
      <m:oMath>
        <m:r>
          <m:t>0.166</m:t>
        </m:r>
        <m:r>
          <m:t> </m:t>
        </m:r>
        <m:r>
          <m:t>g</m:t>
        </m:r>
      </m:oMath>
      <w:r>
        <w:t xml:space="preserve">; directional skewing, statolith displacement, apoplastic ROS) and Deep-Space Ionizing Radiation (dose-dependent cell cycle arrest, severe DNA double-strand breaks,</w:t>
      </w:r>
      <w:r>
        <w:t xml:space="preserve"> </w:t>
      </w:r>
      <m:oMath>
        <m:r>
          <m:t>γ</m:t>
        </m:r>
      </m:oMath>
      <w:r>
        <w:t xml:space="preserve">-H2AX foci).</w:t>
      </w:r>
    </w:p>
    <w:bookmarkStart w:id="51" w:name="X5a6cab0ce20cddfc1b83a6c9ec27c525a7de980"/>
    <w:p>
      <w:pPr>
        <w:pStyle w:val="Heading3"/>
      </w:pPr>
      <w:r>
        <w:t xml:space="preserve">6.1 Stage 1: Ground Simulation Standards and Experimental Controls</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maintain strict environmental parity across all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resistance and ethylene accumulation artifacts [7,40].</w:t>
      </w:r>
    </w:p>
    <w:p>
      <w:pPr>
        <w:pStyle w:val="BodyText"/>
      </w:pPr>
      <w:r>
        <w:t xml:space="preserve">Crucially, active coil cancellation systems introduce ohmic Joule heating, mechanical vibration, and electromagnetic ripple. To isolate the magnetic vector, researchers must deploy</w:t>
      </w:r>
      <w:r>
        <w:t xml:space="preserve"> </w:t>
      </w:r>
      <w:r>
        <w:rPr>
          <w:b/>
          <w:bCs/>
        </w:rPr>
        <w:t xml:space="preserve">matched-current bifilar sham coils</w:t>
      </w:r>
      <w:r>
        <w:t xml:space="preserve"> </w:t>
      </w:r>
      <w:r>
        <w:t xml:space="preserve">as an obligatory negative magnetic control [11,78] (Figure 6a). In a bifilar sham configuration, paired wires carry equal currents in opposite directions, producing complete net magnetic field cancellation while generating identical resistive heat, current loads, and acoustic vibration as the active cancellation coils. Any biological difference observed between the active near-null chamber and the bifilar sham chamber can then be unambiguously attributed to the magnetic vector itself.</w:t>
      </w:r>
    </w:p>
    <w:bookmarkEnd w:id="51"/>
    <w:bookmarkStart w:id="52" w:name="X3176de122914450ed1a5a6b1fe8669a2353144e"/>
    <w:p>
      <w:pPr>
        <w:pStyle w:val="Heading3"/>
      </w:pPr>
      <w:r>
        <w:t xml:space="preserve">6.2 Stage 2: Hardware Self-Magnetic Assessment Protocol and Power-State Mapping</w:t>
      </w:r>
    </w:p>
    <w:p>
      <w:pPr>
        <w:pStyle w:val="FirstParagraph"/>
      </w:pPr>
      <w:r>
        <w:t xml:space="preserve">In spaceflight agricultural payloads and sealed environmental enclosures, the growth hardware itself constitutes a primary, dynamic source of magnetic interference [11]. Internal DC currents feeding LEDs, fluidic pumps, heaters, and avionics generate localized stray fields (5 to &gt;50 µT) that vary continuously with subsystem operational power settings (Figure 6b). To decouple these hardware self-fields from the ambient lunar near-null environment without requiring mass-prohibitive magnetic shielding, engineering teams must execute a pre-flight and in-flight</w:t>
      </w:r>
      <w:r>
        <w:t xml:space="preserve"> </w:t>
      </w:r>
      <w:r>
        <w:rPr>
          <w:b/>
          <w:bCs/>
        </w:rPr>
        <w:t xml:space="preserve">Hardware Self-Magnetic Assessment Protocol</w:t>
      </w:r>
      <w:r>
        <w:t xml:space="preserve">:</w:t>
      </w:r>
      <w:r>
        <w:t xml:space="preserve"> </w:t>
      </w:r>
      <w:r>
        <w:t xml:space="preserve">1.</w:t>
      </w:r>
      <w:r>
        <w:t xml:space="preserve"> </w:t>
      </w:r>
      <w:r>
        <w:rPr>
          <w:b/>
          <w:bCs/>
        </w:rPr>
        <w:t xml:space="preserve">Quiescent Baseline Mapping:</w:t>
      </w:r>
      <w:r>
        <w:t xml:space="preserve"> </w:t>
      </w:r>
      <w:r>
        <w:t xml:space="preserve">With all dynamic actuators deactivated, measure the quiescent baseline vector</w:t>
      </w:r>
      <w:r>
        <w:t xml:space="preserve"> </w:t>
      </w:r>
      <m:oMath>
        <m:sSub>
          <m:e>
            <m:r>
              <m:rPr>
                <m:sty m:val="bi"/>
              </m:rPr>
              <m:t>B</m:t>
            </m:r>
          </m:e>
          <m:sub>
            <m:r>
              <m:rPr>
                <m:sty m:val="p"/>
              </m:rPr>
              <m:t>i</m:t>
            </m:r>
            <m:r>
              <m:rPr>
                <m:sty m:val="p"/>
              </m:rPr>
              <m:t>d</m:t>
            </m:r>
            <m:r>
              <m:rPr>
                <m:sty m:val="p"/>
              </m:rPr>
              <m:t>l</m:t>
            </m:r>
            <m:r>
              <m:rPr>
                <m:sty m:val="p"/>
              </m:rPr>
              <m:t>e</m:t>
            </m:r>
          </m:sub>
        </m:sSub>
      </m:oMath>
      <w:r>
        <w:t xml:space="preserve"> </w:t>
      </w:r>
      <w:r>
        <w:t xml:space="preserve">at the plant canopy using miniature 3-axis magnetometers.</w:t>
      </w:r>
      <w:r>
        <w:t xml:space="preserve"> </w:t>
      </w:r>
      <w:r>
        <w:t xml:space="preserve">2.</w:t>
      </w:r>
      <w:r>
        <w:t xml:space="preserve"> </w:t>
      </w:r>
      <w:r>
        <w:rPr>
          <w:b/>
          <w:bCs/>
        </w:rPr>
        <w:t xml:space="preserve">Subsystem Power-State Sweeps:</w:t>
      </w:r>
      <w:r>
        <w:t xml:space="preserve"> </w:t>
      </w:r>
      <w:r>
        <w:t xml:space="preserve">Stepwise calibrate each subsystem independently across its dynamic range:</w:t>
      </w:r>
      <w:r>
        <w:t xml:space="preserve"> </w:t>
      </w:r>
      <w:r>
        <w:t xml:space="preserve">-</w:t>
      </w:r>
      <w:r>
        <w:t xml:space="preserve"> </w:t>
      </w:r>
      <w:r>
        <w:rPr>
          <w:i/>
          <w:iCs/>
        </w:rPr>
        <w:t xml:space="preserve">LED PAR Array:</w:t>
      </w:r>
      <w:r>
        <w:t xml:space="preserve"> </w:t>
      </w:r>
      <w:r>
        <w:t xml:space="preserve">Sweep irradiance from 0 to</w:t>
      </w:r>
      <w:r>
        <w:t xml:space="preserve"> </w:t>
      </w:r>
      <m:oMath>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w:t>
      </w:r>
      <m:oMath>
        <m:r>
          <m:t>0</m:t>
        </m:r>
        <m:r>
          <m:rPr>
            <m:nor/>
            <m:sty m:val="p"/>
          </m:rPr>
          <m:t>–</m:t>
        </m:r>
        <m:r>
          <m:t>25</m:t>
        </m:r>
        <m:r>
          <m:rPr>
            <m:nor/>
            <m:sty m:val="p"/>
          </m:rPr>
          <m:t> W</m:t>
        </m:r>
      </m:oMath>
      <w:r>
        <w:t xml:space="preserve">,</w:t>
      </w:r>
      <w:r>
        <w:t xml:space="preserve"> </w:t>
      </w:r>
      <m:oMath>
        <m:r>
          <m:t>0.1</m:t>
        </m:r>
        <m:r>
          <m:rPr>
            <m:nor/>
            <m:sty m:val="p"/>
          </m:rPr>
          <m:t>–</m:t>
        </m:r>
        <m:r>
          <m:t>1.8</m:t>
        </m:r>
        <m:r>
          <m:rPr>
            <m:nor/>
            <m:sty m:val="p"/>
          </m:rPr>
          <m:t> A</m:t>
        </m:r>
      </m:oMath>
      <w:r>
        <w:t xml:space="preserve">), recording the induced vector</w:t>
      </w:r>
      <w:r>
        <w:t xml:space="preserve"> </w:t>
      </w:r>
      <m:oMath>
        <m:r>
          <m:rPr>
            <m:sty m:val="p"/>
          </m:rPr>
          <m:t>Δ</m:t>
        </m:r>
        <m:sSub>
          <m:e>
            <m:r>
              <m:rPr>
                <m:sty m:val="bi"/>
              </m:rPr>
              <m:t>B</m:t>
            </m:r>
          </m:e>
          <m:sub>
            <m:r>
              <m:rPr>
                <m:sty m:val="p"/>
              </m:rPr>
              <m:t>L</m:t>
            </m:r>
            <m:r>
              <m:rPr>
                <m:sty m:val="p"/>
              </m:rPr>
              <m:t>E</m:t>
            </m:r>
            <m:r>
              <m:rPr>
                <m:sty m:val="p"/>
              </m:rPr>
              <m:t>D</m:t>
            </m:r>
          </m:sub>
        </m:sSub>
        <m:r>
          <m:rPr>
            <m:sty m:val="p"/>
          </m:rPr>
          <m:t>(</m:t>
        </m:r>
        <m:sSub>
          <m:e>
            <m:r>
              <m:t>P</m:t>
            </m:r>
          </m:e>
          <m:sub>
            <m:r>
              <m:rPr>
                <m:sty m:val="p"/>
              </m:rPr>
              <m:t>l</m:t>
            </m:r>
            <m:r>
              <m:rPr>
                <m:sty m:val="p"/>
              </m:rPr>
              <m:t>i</m:t>
            </m:r>
            <m:r>
              <m:rPr>
                <m:sty m:val="p"/>
              </m:rPr>
              <m:t>g</m:t>
            </m:r>
            <m:r>
              <m:rPr>
                <m:sty m:val="p"/>
              </m:rPr>
              <m:t>h</m:t>
            </m:r>
            <m:r>
              <m:rPr>
                <m:sty m:val="p"/>
              </m:rPr>
              <m:t>t</m:t>
            </m:r>
          </m:sub>
        </m:sSub>
        <m:r>
          <m:rPr>
            <m:sty m:val="p"/>
          </m:rPr>
          <m:t>)</m:t>
        </m:r>
      </m:oMath>
      <w:r>
        <w:t xml:space="preserve">.</w:t>
      </w:r>
      <w:r>
        <w:t xml:space="preserve"> </w:t>
      </w:r>
      <w:r>
        <w:t xml:space="preserve">-</w:t>
      </w:r>
      <w:r>
        <w:t xml:space="preserve"> </w:t>
      </w:r>
      <w:r>
        <w:rPr>
          <w:i/>
          <w:iCs/>
        </w:rPr>
        <w:t xml:space="preserve">Fluidics &amp; Irrigation Pumps:</w:t>
      </w:r>
      <w:r>
        <w:t xml:space="preserve"> </w:t>
      </w:r>
      <w:r>
        <w:t xml:space="preserve">Actuate peristaltic and solenoid pump duty cycles (</w:t>
      </w:r>
      <m:oMath>
        <m:r>
          <m:t>0</m:t>
        </m:r>
        <m:r>
          <m:rPr>
            <m:nor/>
            <m:sty m:val="p"/>
          </m:rPr>
          <m:t>–</m:t>
        </m:r>
        <m:r>
          <m:t>8</m:t>
        </m:r>
        <m:r>
          <m:rPr>
            <m:nor/>
            <m:sty m:val="p"/>
          </m:rPr>
          <m:t> W</m:t>
        </m:r>
      </m:oMath>
      <w:r>
        <w:t xml:space="preserve">,</w:t>
      </w:r>
      <w:r>
        <w:t xml:space="preserve"> </w:t>
      </w:r>
      <m:oMath>
        <m:r>
          <m:t>0.5</m:t>
        </m:r>
        <m:r>
          <m:rPr>
            <m:nor/>
            <m:sty m:val="p"/>
          </m:rPr>
          <m:t>–</m:t>
        </m:r>
        <m:r>
          <m:t>1.5</m:t>
        </m:r>
        <m:r>
          <m:rPr>
            <m:nor/>
            <m:sty m:val="p"/>
          </m:rPr>
          <m:t> A</m:t>
        </m:r>
      </m:oMath>
      <w:r>
        <w:t xml:space="preserve"> </w:t>
      </w:r>
      <w:r>
        <w:t xml:space="preserve">peak), capturing transient inductive spikes</w:t>
      </w:r>
      <w:r>
        <w:t xml:space="preserve"> </w:t>
      </w:r>
      <m:oMath>
        <m:r>
          <m:rPr>
            <m:sty m:val="p"/>
          </m:rPr>
          <m:t>Δ</m:t>
        </m:r>
        <m:sSub>
          <m:e>
            <m:r>
              <m:rPr>
                <m:sty m:val="bi"/>
              </m:rPr>
              <m:t>B</m:t>
            </m:r>
          </m:e>
          <m:sub>
            <m:r>
              <m:rPr>
                <m:sty m:val="p"/>
              </m:rPr>
              <m:t>p</m:t>
            </m:r>
            <m:r>
              <m:rPr>
                <m:sty m:val="p"/>
              </m:rPr>
              <m:t>u</m:t>
            </m:r>
            <m:r>
              <m:rPr>
                <m:sty m:val="p"/>
              </m:rPr>
              <m:t>m</m:t>
            </m:r>
            <m:r>
              <m:rPr>
                <m:sty m:val="p"/>
              </m:rPr>
              <m:t>p</m:t>
            </m:r>
          </m:sub>
        </m:sSub>
        <m:r>
          <m:rPr>
            <m:sty m:val="p"/>
          </m:rPr>
          <m:t>(</m:t>
        </m:r>
        <m:sSub>
          <m:e>
            <m:r>
              <m:t>I</m:t>
            </m:r>
          </m:e>
          <m:sub>
            <m:r>
              <m:rPr>
                <m:sty m:val="p"/>
              </m:rPr>
              <m:t>p</m:t>
            </m:r>
            <m:r>
              <m:rPr>
                <m:sty m:val="p"/>
              </m:rPr>
              <m:t>u</m:t>
            </m:r>
            <m:r>
              <m:rPr>
                <m:sty m:val="p"/>
              </m:rPr>
              <m:t>m</m:t>
            </m:r>
            <m:r>
              <m:rPr>
                <m:sty m:val="p"/>
              </m:rPr>
              <m:t>p</m:t>
            </m:r>
          </m:sub>
        </m:sSub>
        <m:r>
          <m:rPr>
            <m:sty m:val="p"/>
          </m:rPr>
          <m:t>)</m:t>
        </m:r>
      </m:oMath>
      <w:r>
        <w:t xml:space="preserve">.</w:t>
      </w:r>
      <w:r>
        <w:t xml:space="preserve"> </w:t>
      </w:r>
      <w:r>
        <w:t xml:space="preserve">-</w:t>
      </w:r>
      <w:r>
        <w:t xml:space="preserve"> </w:t>
      </w:r>
      <w:r>
        <w:rPr>
          <w:i/>
          <w:iCs/>
        </w:rPr>
        <w:t xml:space="preserve">Thermal Management:</w:t>
      </w:r>
      <w:r>
        <w:t xml:space="preserve"> </w:t>
      </w:r>
      <w:r>
        <w:t xml:space="preserve">Modulate resistive heaters and thermoelectric coolers (</w:t>
      </w:r>
      <m:oMath>
        <m:r>
          <m:t>0</m:t>
        </m:r>
        <m:r>
          <m:rPr>
            <m:nor/>
            <m:sty m:val="p"/>
          </m:rPr>
          <m:t>–</m:t>
        </m:r>
        <m:r>
          <m:t>30</m:t>
        </m:r>
        <m:r>
          <m:rPr>
            <m:nor/>
            <m:sty m:val="p"/>
          </m:rPr>
          <m:t> W</m:t>
        </m:r>
      </m:oMath>
      <w:r>
        <w:t xml:space="preserve">,</w:t>
      </w:r>
      <w:r>
        <w:t xml:space="preserve"> </w:t>
      </w:r>
      <m:oMath>
        <m:r>
          <m:t>1.0</m:t>
        </m:r>
        <m:r>
          <m:rPr>
            <m:nor/>
            <m:sty m:val="p"/>
          </m:rPr>
          <m:t>–</m:t>
        </m:r>
        <m:r>
          <m:t>2.5</m:t>
        </m:r>
        <m:r>
          <m:rPr>
            <m:nor/>
            <m:sty m:val="p"/>
          </m:rPr>
          <m:t> A</m:t>
        </m:r>
      </m:oMath>
      <w:r>
        <w:t xml:space="preserve"> </w:t>
      </w:r>
      <w:r>
        <w:t xml:space="preserve">continuous), mapping the dominant thermal DC field</w:t>
      </w:r>
      <w:r>
        <w:t xml:space="preserve"> </w:t>
      </w:r>
      <m:oMath>
        <m:r>
          <m:rPr>
            <m:sty m:val="p"/>
          </m:rPr>
          <m:t>Δ</m:t>
        </m:r>
        <m:sSub>
          <m:e>
            <m:r>
              <m:rPr>
                <m:sty m:val="bi"/>
              </m:rPr>
              <m:t>B</m:t>
            </m:r>
          </m:e>
          <m:sub>
            <m:r>
              <m:rPr>
                <m:sty m:val="p"/>
              </m:rPr>
              <m:t>t</m:t>
            </m:r>
            <m:r>
              <m:rPr>
                <m:sty m:val="p"/>
              </m:rPr>
              <m:t>h</m:t>
            </m:r>
            <m:r>
              <m:rPr>
                <m:sty m:val="p"/>
              </m:rPr>
              <m:t>e</m:t>
            </m:r>
            <m:r>
              <m:rPr>
                <m:sty m:val="p"/>
              </m:rPr>
              <m:t>r</m:t>
            </m:r>
            <m:r>
              <m:rPr>
                <m:sty m:val="p"/>
              </m:rPr>
              <m:t>m</m:t>
            </m:r>
            <m:r>
              <m:rPr>
                <m:sty m:val="p"/>
              </m:rPr>
              <m:t>a</m:t>
            </m:r>
            <m:r>
              <m:rPr>
                <m:sty m:val="p"/>
              </m:rPr>
              <m:t>l</m:t>
            </m:r>
          </m:sub>
        </m:sSub>
        <m:r>
          <m:rPr>
            <m:sty m:val="p"/>
          </m:rPr>
          <m:t>(</m:t>
        </m:r>
        <m:sSub>
          <m:e>
            <m:r>
              <m:t>P</m:t>
            </m:r>
          </m:e>
          <m:sub>
            <m:r>
              <m:rPr>
                <m:sty m:val="p"/>
              </m:rPr>
              <m:t>h</m:t>
            </m:r>
            <m:r>
              <m:rPr>
                <m:sty m:val="p"/>
              </m:rPr>
              <m:t>e</m:t>
            </m:r>
            <m:r>
              <m:rPr>
                <m:sty m:val="p"/>
              </m:rPr>
              <m:t>a</m:t>
            </m:r>
            <m:r>
              <m:rPr>
                <m:sty m:val="p"/>
              </m:rPr>
              <m:t>t</m:t>
            </m:r>
          </m:sub>
        </m:sSub>
        <m:r>
          <m:rPr>
            <m:sty m:val="p"/>
          </m:rPr>
          <m:t>)</m:t>
        </m:r>
      </m:oMath>
      <w:r>
        <w:t xml:space="preserve">.</w:t>
      </w:r>
      <w:r>
        <w:t xml:space="preserve"> </w:t>
      </w:r>
      <w:r>
        <w:t xml:space="preserve">-</w:t>
      </w:r>
      <w:r>
        <w:t xml:space="preserve"> </w:t>
      </w:r>
      <w:r>
        <w:rPr>
          <w:i/>
          <w:iCs/>
        </w:rPr>
        <w:t xml:space="preserve">Avionics &amp; Telemetry:</w:t>
      </w:r>
      <w:r>
        <w:t xml:space="preserve"> </w:t>
      </w:r>
      <w:r>
        <w:t xml:space="preserve">Record the flight computer and RF transmission burst signature</w:t>
      </w:r>
      <w:r>
        <w:t xml:space="preserve"> </w:t>
      </w:r>
      <m:oMath>
        <m:r>
          <m:rPr>
            <m:sty m:val="p"/>
          </m:rPr>
          <m:t>Δ</m:t>
        </m:r>
        <m:sSub>
          <m:e>
            <m:r>
              <m:rPr>
                <m:sty m:val="bi"/>
              </m:rPr>
              <m:t>B</m:t>
            </m:r>
          </m:e>
          <m:sub>
            <m:r>
              <m:rPr>
                <m:sty m:val="p"/>
              </m:rPr>
              <m:t>b</m:t>
            </m:r>
            <m:r>
              <m:rPr>
                <m:sty m:val="p"/>
              </m:rPr>
              <m:t>u</m:t>
            </m:r>
            <m:r>
              <m:rPr>
                <m:sty m:val="p"/>
              </m:rPr>
              <m:t>s</m:t>
            </m:r>
          </m:sub>
        </m:sSub>
      </m:oMath>
      <w:r>
        <w:t xml:space="preserve">.</w:t>
      </w:r>
      <w:r>
        <w:t xml:space="preserve"> </w:t>
      </w:r>
      <w:r>
        <w:t xml:space="preserve">3.</w:t>
      </w:r>
      <w:r>
        <w:t xml:space="preserve"> </w:t>
      </w:r>
      <w:r>
        <w:rPr>
          <w:b/>
          <w:bCs/>
        </w:rPr>
        <w:t xml:space="preserve">Computational Superposition Deconvolution:</w:t>
      </w:r>
      <w:r>
        <w:t xml:space="preserve"> </w:t>
      </w:r>
      <w:r>
        <w:t xml:space="preserve">By continuously logging subsystem power telemetry (</w:t>
      </w:r>
      <m:oMath>
        <m:sSub>
          <m:e>
            <m:r>
              <m:t>P</m:t>
            </m:r>
          </m:e>
          <m:sub>
            <m:r>
              <m:t>k</m:t>
            </m:r>
          </m:sub>
        </m:sSub>
        <m:r>
          <m:rPr>
            <m:sty m:val="p"/>
          </m:rPr>
          <m:t>(</m:t>
        </m:r>
        <m:r>
          <m:t>t</m:t>
        </m:r>
        <m:r>
          <m:rPr>
            <m:sty m:val="p"/>
          </m:rPr>
          <m:t>)</m:t>
        </m:r>
      </m:oMath>
      <w:r>
        <w:t xml:space="preserve">) alongside the 3-axis magnetometer canopy vector (</w:t>
      </w:r>
      <m:oMath>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oMath>
      <w:r>
        <w:t xml:space="preserve">), the true ambient lunar magnetic field is computationally isolated via:</w:t>
      </w:r>
    </w:p>
    <w:p>
      <w:pPr>
        <w:pStyle w:val="BodyText"/>
      </w:pPr>
      <m:oMathPara>
        <m:oMathParaPr>
          <m:jc m:val="center"/>
        </m:oMathParaP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m:oMathPara>
    </w:p>
    <w:p>
      <w:pPr>
        <w:pStyle w:val="FirstParagraph"/>
      </w:pPr>
      <w:r>
        <w:t xml:space="preserve">This deconvolution protocol establishes a rigorous mathematical transfer function, enabling flight science teams to retire the environmental characterization gap purely through telemetry analysis.</w:t>
      </w:r>
    </w:p>
    <w:bookmarkEnd w:id="52"/>
    <w:bookmarkStart w:id="53" w:name="X9256c05d803a4956fb130d72280f015ff9aee3d"/>
    <w:p>
      <w:pPr>
        <w:pStyle w:val="Heading3"/>
      </w:pPr>
      <w:r>
        <w:t xml:space="preserve">6.3 Stage 3: Delineating Scientific Gaps from Flight Payload Engineering Constraints</w:t>
      </w:r>
    </w:p>
    <w:p>
      <w:pPr>
        <w:pStyle w:val="FirstParagraph"/>
      </w:pPr>
      <w:r>
        <w:t xml:space="preserve">A vital recommendation of this synthesis is that</w:t>
      </w:r>
      <w:r>
        <w:t xml:space="preserve"> </w:t>
      </w:r>
      <w:r>
        <w:rPr>
          <w:b/>
          <w:bCs/>
        </w:rPr>
        <w:t xml:space="preserve">scientific knowledge gaps must be considered separately from what can realistically be engineered into a spaceflight payload</w:t>
      </w:r>
      <w:r>
        <w:t xml:space="preserve">. In flight mission planning, hardware mass, power draw, thermal envelope, and contractual scope impose stringent boundary conditions:</w:t>
      </w:r>
      <w:r>
        <w:t xml:space="preserve"> </w:t>
      </w:r>
      <w:r>
        <w:t xml:space="preserve">-</w:t>
      </w:r>
      <w:r>
        <w:t xml:space="preserve"> </w:t>
      </w:r>
      <w:r>
        <w:rPr>
          <w:b/>
          <w:bCs/>
        </w:rPr>
        <w:t xml:space="preserve">Fundamental Scientific Knowledge Gaps:</w:t>
      </w:r>
      <w:r>
        <w:t xml:space="preserve"> </w:t>
      </w:r>
      <w:r>
        <w:t xml:space="preserve">The primary gaps in space plant biology are the absence of sample-level magnetic field characterization in historical spaceflight data, the unmeasured nature of stray lander/spacecraft avionics DC fields at the biological volume, and the lack of ground-validated multi-stressor cross-talk models (hypomagnetic field combined with lunar partial gravity and cosmic radiation).</w:t>
      </w:r>
      <w:r>
        <w:t xml:space="preserve"> </w:t>
      </w:r>
      <w:r>
        <w:t xml:space="preserve">-</w:t>
      </w:r>
      <w:r>
        <w:t xml:space="preserve"> </w:t>
      </w:r>
      <w:r>
        <w:rPr>
          <w:b/>
          <w:bCs/>
        </w:rPr>
        <w:t xml:space="preserve">Realistic Flight Payload Engineering (Recommended):</w:t>
      </w:r>
      <w:r>
        <w:t xml:space="preserve"> </w:t>
      </w:r>
      <w:r>
        <w:t xml:space="preserve">To retire the environmental characterization gap, flight payloads can incorporate miniature, ultra-low-power, calibrated 3-axis magnetometers (such as anisotropic magnetoresistive [AMR] or fluxgate sensors) placed at the plant canopy level [11]. These sensors require minimal resources (</w:t>
      </w:r>
      <m:oMath>
        <m:r>
          <m:rPr>
            <m:sty m:val="p"/>
          </m:rPr>
          <m:t>&lt;</m:t>
        </m:r>
        <m:r>
          <m:t>1</m:t>
        </m:r>
        <m:r>
          <m:rPr>
            <m:nor/>
            <m:sty m:val="p"/>
          </m:rPr>
          <m:t> W</m:t>
        </m:r>
      </m:oMath>
      <w:r>
        <w:t xml:space="preserve"> </w:t>
      </w:r>
      <w:r>
        <w:t xml:space="preserve">electrical power,</w:t>
      </w:r>
      <w:r>
        <w:t xml:space="preserve"> </w:t>
      </w:r>
      <m:oMath>
        <m:r>
          <m:rPr>
            <m:sty m:val="p"/>
          </m:rPr>
          <m:t>&lt;</m:t>
        </m:r>
        <m:r>
          <m:t>50</m:t>
        </m:r>
        <m:r>
          <m:rPr>
            <m:nor/>
            <m:sty m:val="p"/>
          </m:rPr>
          <m:t> g</m:t>
        </m:r>
      </m:oMath>
      <w:r>
        <w:t xml:space="preserve"> </w:t>
      </w:r>
      <w:r>
        <w:t xml:space="preserve">mass) and provide continuous vector logging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from DC to</w:t>
      </w:r>
      <w:r>
        <w:t xml:space="preserve"> </w:t>
      </w:r>
      <m:oMath>
        <m:r>
          <m:t>10</m:t>
        </m:r>
        <m:r>
          <m:rPr>
            <m:nor/>
            <m:sty m:val="p"/>
          </m:rPr>
          <m:t> kHz</m:t>
        </m:r>
      </m:oMath>
      <w:r>
        <w:t xml:space="preserve">. This telemetry enables post-flight science teams to correlate biological growth dynamics with the exact local magnetic exposure, decoupling true lunar hypomagnetic effects from lander avionics interference.</w:t>
      </w:r>
      <w:r>
        <w:t xml:space="preserve"> </w:t>
      </w:r>
      <w:r>
        <w:t xml:space="preserve">-</w:t>
      </w:r>
      <w:r>
        <w:t xml:space="preserve"> </w:t>
      </w:r>
      <w:r>
        <w:rPr>
          <w:b/>
          <w:bCs/>
        </w:rPr>
        <w:t xml:space="preserve">Constraints Beyond Flight Payloads (Ground-Only Architectures):</w:t>
      </w:r>
      <w:r>
        <w:t xml:space="preserve"> </w:t>
      </w:r>
      <w:r>
        <w:t xml:space="preserve">Active triaxial Helmholtz cancellation or bias coils designed to dynamically alter or restore magnetic fields in flight impose heavy mass penalties (copper windings), continuous power draws (</w:t>
      </w:r>
      <m:oMath>
        <m:r>
          <m:t>5</m:t>
        </m:r>
        <m:r>
          <m:rPr>
            <m:nor/>
            <m:sty m:val="p"/>
          </m:rPr>
          <m:t>–</m:t>
        </m:r>
        <m:r>
          <m:t>25</m:t>
        </m:r>
        <m:r>
          <m:rPr>
            <m:nor/>
            <m:sty m:val="p"/>
          </m:rPr>
          <m:t> W</m:t>
        </m:r>
      </m:oMath>
      <w:r>
        <w:t xml:space="preserve">), significant Joule heating, and severe spacecraft electromagnetic compatibility (EMC/EMI) certification hurdles. Such active intervention systems exceed typical payload resource envelopes and are appropriately prioritized for ground simulation facilities rather than initial lunar surface instruments.</w:t>
      </w:r>
    </w:p>
    <w:bookmarkEnd w:id="53"/>
    <w:bookmarkStart w:id="54" w:name="X66ca7d27465b90b43e87ceb0659be82b5dc313d"/>
    <w:p>
      <w:pPr>
        <w:pStyle w:val="Heading3"/>
      </w:pPr>
      <w:r>
        <w:t xml:space="preserve">6.4 Stage 4: Post-Flight Phenotypic Disambiguation and Translational Science Framework</w:t>
      </w:r>
    </w:p>
    <w:p>
      <w:pPr>
        <w:pStyle w:val="FirstParagraph"/>
      </w:pPr>
      <w:r>
        <w:t xml:space="preserve">Rather than imposing rigid contractual mission abort gates on flight hardware, space life scientists require a</w:t>
      </w:r>
      <w:r>
        <w:t xml:space="preserve"> </w:t>
      </w:r>
      <w:r>
        <w:rPr>
          <w:b/>
          <w:bCs/>
        </w:rPr>
        <w:t xml:space="preserve">Post-Flight Phenotypic Disambiguation Framework</w:t>
      </w:r>
      <w:r>
        <w:t xml:space="preserve"> </w:t>
      </w:r>
      <w:r>
        <w:t xml:space="preserve">to interpret seedling performance and identify the primary causal stressors operating on the lunar surface (Figure 6c; Table 4):</w:t>
      </w:r>
      <w:r>
        <w:t xml:space="preserve"> </w:t>
      </w:r>
      <w:r>
        <w:t xml:space="preserve">-</w:t>
      </w:r>
      <w:r>
        <w:t xml:space="preserve"> </w:t>
      </w:r>
      <w:r>
        <w:rPr>
          <w:b/>
          <w:bCs/>
        </w:rPr>
        <w:t xml:space="preserve">Hypomagnetic-Specific Lesions:</w:t>
      </w:r>
      <w:r>
        <w:t xml:space="preserve"> </w:t>
      </w:r>
      <w:r>
        <w:t xml:space="preserve">Characterized by a marked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reduced final germination capacity (10–30%), repressed chlorophyll and anthocyanin biosynthetic transcripts (</w:t>
      </w: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and mitochondrial Alternative Oxidase (</w:t>
      </w:r>
      <w:r>
        <w:rPr>
          <w:i/>
          <w:iCs/>
        </w:rPr>
        <w:t xml:space="preserve">AOX1D</w:t>
      </w:r>
      <w:r>
        <w:t xml:space="preserve">) induction in the absence of severe nuclear DNA damage. Diagnostic signature: rescued in ground analogues by 45 µT vector re-application; insensitive to 1g centrifugation.</w:t>
      </w:r>
      <w:r>
        <w:t xml:space="preserve"> </w:t>
      </w:r>
      <w:r>
        <w:t xml:space="preserve">-</w:t>
      </w:r>
      <w:r>
        <w:t xml:space="preserve"> </w:t>
      </w:r>
      <w:r>
        <w:rPr>
          <w:b/>
          <w:bCs/>
        </w:rPr>
        <w:t xml:space="preserve">Lunar Partial Gravity (</w:t>
      </w:r>
      <m:oMath>
        <m:r>
          <m:t>0.166</m:t>
        </m:r>
        <m:r>
          <m:t> </m:t>
        </m:r>
        <m:r>
          <m:t>g</m:t>
        </m:r>
      </m:oMath>
      <w:r>
        <w:rPr>
          <w:b/>
          <w:bCs/>
        </w:rPr>
        <w:t xml:space="preserve">) Lesions:</w:t>
      </w:r>
      <w:r>
        <w:t xml:space="preserve"> </w:t>
      </w:r>
      <w:r>
        <w:t xml:space="preserve">Characterized by normal germination capacity and minimal emergence lag (</w:t>
      </w:r>
      <m:oMath>
        <m:r>
          <m:rPr>
            <m:sty m:val="p"/>
          </m:rPr>
          <m:t>Δ</m:t>
        </m:r>
        <m:sSub>
          <m:e>
            <m:r>
              <m:t>t</m:t>
            </m:r>
          </m:e>
          <m:sub>
            <m:r>
              <m:t>50</m:t>
            </m:r>
          </m:sub>
        </m:sSub>
        <m:r>
          <m:rPr>
            <m:sty m:val="p"/>
          </m:rPr>
          <m:t>&lt;</m:t>
        </m:r>
        <m:r>
          <m:t>4</m:t>
        </m:r>
        <m:r>
          <m:rPr>
            <m:nor/>
            <m:sty m:val="p"/>
          </m:rPr>
          <m:t> h</m:t>
        </m:r>
      </m:oMath>
      <w:r>
        <w:t xml:space="preserve">), but exhibiting altered directional growth (root skewing, loss of gravitropic angle), amyloplast statolith displacement, and localized apoplastic ROS generation (</w:t>
      </w:r>
      <w:r>
        <w:rPr>
          <w:i/>
          <w:iCs/>
        </w:rPr>
        <w:t xml:space="preserve">RBOHD/F</w:t>
      </w:r>
      <w:r>
        <w:t xml:space="preserve">). Diagnostic signature: rescued by onboard 1g centrifugation; completely insensitive to magnetic field manipulation.</w:t>
      </w:r>
      <w:r>
        <w:t xml:space="preserve"> </w:t>
      </w:r>
      <w:r>
        <w:t xml:space="preserve">-</w:t>
      </w:r>
      <w:r>
        <w:t xml:space="preserve"> </w:t>
      </w:r>
      <w:r>
        <w:rPr>
          <w:b/>
          <w:bCs/>
        </w:rPr>
        <w:t xml:space="preserve">Ionizing Radiation Lesions:</w:t>
      </w:r>
      <w:r>
        <w:t xml:space="preserve"> </w:t>
      </w:r>
      <w:r>
        <w:t xml:space="preserve">Characterized by normal germination at nominal background doses (</w:t>
      </w:r>
      <m:oMath>
        <m:r>
          <m:rPr>
            <m:sty m:val="p"/>
          </m:rPr>
          <m:t>&lt;</m:t>
        </m:r>
        <m:r>
          <m:t>1</m:t>
        </m:r>
        <m:r>
          <m:rPr>
            <m:nor/>
            <m:sty m:val="p"/>
          </m:rPr>
          <m:t> Gy</m:t>
        </m:r>
      </m:oMath>
      <w:r>
        <w:t xml:space="preserve">), transitioning to severe cell cycle arrest, chromosomal aberrations, and stunted meristems at acute lethal doses (</w:t>
      </w:r>
      <m:oMath>
        <m:r>
          <m:rPr>
            <m:sty m:val="p"/>
          </m:rPr>
          <m:t>&gt;</m:t>
        </m:r>
        <m:r>
          <m:t>50</m:t>
        </m:r>
        <m:r>
          <m:rPr>
            <m:nor/>
            <m:sty m:val="p"/>
          </m:rPr>
          <m:t> Gy</m:t>
        </m:r>
      </m:oMath>
      <w:r>
        <w:t xml:space="preserve">). Diagnostic signature: marked phosphorylation of histone</w:t>
      </w:r>
      <w:r>
        <w:t xml:space="preserve"> </w:t>
      </w:r>
      <m:oMath>
        <m:r>
          <m:t>γ</m:t>
        </m:r>
      </m:oMath>
      <w:r>
        <w:t xml:space="preserve">-H2AX foci, ATM/ATR kinase activation, and high 8-OHdG oxidative DNA lesions; correlated directly with active dosimeter telemetry.</w:t>
      </w:r>
    </w:p>
    <w:p>
      <w:pPr>
        <w:pStyle w:val="BodyText"/>
      </w:pPr>
      <w:r>
        <w:t xml:space="preserve">By deploying this multi-stressor diagnostic matrix, flight science teams can rigorously parse observed growth phenotypes into their underlying physical causes, informing future crop selection, seed sowing density adjustments, and lighting schedule optimizations for subsequent mission architectures.</w:t>
      </w:r>
    </w:p>
    <w:p>
      <w:pPr>
        <w:pStyle w:val="BodyText"/>
      </w:pPr>
      <w:r>
        <w:rPr>
          <w:b/>
          <w:bCs/>
        </w:rPr>
        <w:t xml:space="preserve">Table 4 | Phenotypic risk disambiguation matrix for space plant biology.</w:t>
      </w:r>
      <w:r>
        <w:t xml:space="preserve"> </w:t>
      </w:r>
      <w:r>
        <w:t xml:space="preserve">Diagnostic criteria to differentiate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Environmental Stressor</w:t>
            </w:r>
          </w:p>
        </w:tc>
        <w:tc>
          <w:tcPr/>
          <w:p>
            <w:pPr>
              <w:pStyle w:val="Compact"/>
              <w:jc w:val="left"/>
            </w:pPr>
            <w:r>
              <w:t xml:space="preserve">Primary Cellular Target</w:t>
            </w:r>
          </w:p>
        </w:tc>
        <w:tc>
          <w:tcPr/>
          <w:p>
            <w:pPr>
              <w:pStyle w:val="Compact"/>
              <w:jc w:val="left"/>
            </w:pPr>
            <w:r>
              <w:t xml:space="preserve">Emergence Kinetics &amp; Germination</w:t>
            </w:r>
          </w:p>
        </w:tc>
        <w:tc>
          <w:tcPr/>
          <w:p>
            <w:pPr>
              <w:pStyle w:val="Compact"/>
              <w:jc w:val="left"/>
            </w:pPr>
            <w:r>
              <w:t xml:space="preserve">Seedling Elongation &amp; Morphology</w:t>
            </w:r>
          </w:p>
        </w:tc>
        <w:tc>
          <w:tcPr/>
          <w:p>
            <w:pPr>
              <w:pStyle w:val="Compact"/>
              <w:jc w:val="left"/>
            </w:pPr>
            <w:r>
              <w:t xml:space="preserve">Photosynthetic Greening &amp; Pigments</w:t>
            </w:r>
          </w:p>
        </w:tc>
        <w:tc>
          <w:tcPr/>
          <w:p>
            <w:pPr>
              <w:pStyle w:val="Compact"/>
              <w:jc w:val="left"/>
            </w:pPr>
            <w:r>
              <w:t xml:space="preserve">Mitochondrial &amp; ROS Signature</w:t>
            </w:r>
          </w:p>
        </w:tc>
        <w:tc>
          <w:tcPr/>
          <w:p>
            <w:pPr>
              <w:pStyle w:val="Compact"/>
              <w:jc w:val="left"/>
            </w:pPr>
            <w:r>
              <w:t xml:space="preserve">Diagnostic Biomarkers</w:t>
            </w:r>
          </w:p>
        </w:tc>
        <w:tc>
          <w:tcPr/>
          <w:p>
            <w:pPr>
              <w:pStyle w:val="Compact"/>
              <w:jc w:val="left"/>
            </w:pPr>
            <w:r>
              <w:t xml:space="preserve">Disambiguation Strategy</w:t>
            </w:r>
          </w:p>
        </w:tc>
      </w:tr>
      <w:tr>
        <w:tc>
          <w:tcPr/>
          <w:p>
            <w:pPr>
              <w:pStyle w:val="Compact"/>
              <w:jc w:val="left"/>
            </w:pPr>
            <w:r>
              <w:rPr>
                <w:b/>
                <w:bCs/>
              </w:rPr>
              <w:t xml:space="preserve">Near-Null Magnetic Field (NNMF</w:t>
            </w:r>
            <w:r>
              <w:rPr>
                <w:b/>
                <w:bCs/>
              </w:rPr>
              <w:t xml:space="preserve"> </w:t>
            </w:r>
            <m:oMath>
              <m:r>
                <m:rPr>
                  <m:sty m:val="p"/>
                </m:rPr>
                <m:t>&lt;</m:t>
              </m:r>
              <m:r>
                <m:t>10</m:t>
              </m:r>
              <m:r>
                <m:rPr>
                  <m:nor/>
                  <m:sty m:val="p"/>
                </m:rPr>
                <m:t> nT</m:t>
              </m:r>
            </m:oMath>
            <w:r>
              <w:rPr>
                <w:b/>
                <w:bCs/>
              </w:rPr>
              <w:t xml:space="preserve">)</w:t>
            </w:r>
          </w:p>
        </w:tc>
        <w:tc>
          <w:tcPr/>
          <w:p>
            <w:pPr>
              <w:pStyle w:val="Compact"/>
              <w:jc w:val="left"/>
            </w:pPr>
            <w:r>
              <w:t xml:space="preserve">Cryptochrome radical pairs</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SDP1 lipid reserve mobilization</w:t>
            </w:r>
          </w:p>
        </w:tc>
        <w:tc>
          <w:tcPr/>
          <w:p>
            <w:pPr>
              <w:pStyle w:val="Compact"/>
              <w:jc w:val="left"/>
            </w:pPr>
            <w:r>
              <w:t xml:space="preserve">Marked 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t>10</m:t>
              </m:r>
              <m:r>
                <m:rPr>
                  <m:nor/>
                  <m:sty m:val="p"/>
                </m:rPr>
                <m:t>–</m:t>
              </m:r>
              <m:r>
                <m:t>30</m:t>
              </m:r>
              <m:r>
                <m:rPr>
                  <m:sty m:val="p"/>
                </m:rPr>
                <m:t>%</m:t>
              </m:r>
            </m:oMath>
            <w:r>
              <w:t xml:space="preserve"> </w:t>
            </w:r>
            <w:r>
              <w:t xml:space="preserve">capacity drop</w:t>
            </w:r>
          </w:p>
        </w:tc>
        <w:tc>
          <w:tcPr/>
          <w:p>
            <w:pPr>
              <w:pStyle w:val="Compact"/>
              <w:jc w:val="left"/>
            </w:pPr>
            <w:r>
              <w:t xml:space="preserve">Retarded radicle and hypocotyl elongation; disrupted PIN2 basipetal auxin flow</w:t>
            </w:r>
          </w:p>
        </w:tc>
        <w:tc>
          <w:tcPr/>
          <w:p>
            <w:pPr>
              <w:pStyle w:val="Compact"/>
              <w:jc w:val="left"/>
            </w:pPr>
            <w:r>
              <w:t xml:space="preserve">Repressed</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delayed greening; secondary Fe-deficiency</w:t>
            </w:r>
          </w:p>
        </w:tc>
        <w:tc>
          <w:tcPr/>
          <w:p>
            <w:pPr>
              <w:pStyle w:val="Compact"/>
              <w:jc w:val="left"/>
            </w:pPr>
            <w:r>
              <w:t xml:space="preserve">Mitochondrial electron leakage at Complex I/III; induction of</w:t>
            </w:r>
            <w:r>
              <w:t xml:space="preserve"> </w:t>
            </w:r>
            <w:r>
              <w:rPr>
                <w:i/>
                <w:iCs/>
              </w:rPr>
              <w:t xml:space="preserve">AOX1D</w:t>
            </w:r>
            <w:r>
              <w:t xml:space="preserve"> </w:t>
            </w:r>
            <w:r>
              <w:t xml:space="preserve">and</w:t>
            </w:r>
            <w:r>
              <w:t xml:space="preserve"> </w:t>
            </w:r>
            <w:r>
              <w:rPr>
                <w:i/>
                <w:iCs/>
              </w:rPr>
              <w:t xml:space="preserve">CAT3</w:t>
            </w:r>
          </w:p>
        </w:tc>
        <w:tc>
          <w:tcPr/>
          <w:p>
            <w:pPr>
              <w:pStyle w:val="Compact"/>
              <w:jc w:val="left"/>
            </w:pPr>
            <w:r>
              <w:rPr>
                <w:i/>
                <w:iCs/>
              </w:rPr>
              <w:t xml:space="preserve">HEMA1</w:t>
            </w:r>
            <w:r>
              <w:t xml:space="preserve"> </w:t>
            </w:r>
            <w:r>
              <w:t xml:space="preserve">/</w:t>
            </w:r>
            <w:r>
              <w:t xml:space="preserve"> </w:t>
            </w:r>
            <w:r>
              <w:rPr>
                <w:i/>
                <w:iCs/>
              </w:rPr>
              <w:t xml:space="preserve">POR</w:t>
            </w:r>
            <w:r>
              <w:t xml:space="preserve"> </w:t>
            </w:r>
            <w:r>
              <w:t xml:space="preserve">repression;</w:t>
            </w:r>
            <w:r>
              <w:t xml:space="preserve"> </w:t>
            </w:r>
            <w:r>
              <w:rPr>
                <w:i/>
                <w:iCs/>
              </w:rPr>
              <w:t xml:space="preserve">AOX1D</w:t>
            </w:r>
            <w:r>
              <w:t xml:space="preserve"> </w:t>
            </w:r>
            <w:r>
              <w:t xml:space="preserve">/</w:t>
            </w:r>
            <w:r>
              <w:t xml:space="preserve"> </w:t>
            </w:r>
            <w:r>
              <w:rPr>
                <w:i/>
                <w:iCs/>
              </w:rPr>
              <w:t xml:space="preserve">CAT3</w:t>
            </w:r>
            <w:r>
              <w:t xml:space="preserve"> </w:t>
            </w:r>
            <w:r>
              <w:t xml:space="preserve">induction; absent</w:t>
            </w:r>
            <w:r>
              <w:t xml:space="preserve"> </w:t>
            </w:r>
            <m:oMath>
              <m:r>
                <m:t>γ</m:t>
              </m:r>
            </m:oMath>
            <w:r>
              <w:t xml:space="preserve">-H2AX foci</w:t>
            </w:r>
          </w:p>
        </w:tc>
        <w:tc>
          <w:tcPr/>
          <w:p>
            <w:pPr>
              <w:pStyle w:val="Compact"/>
              <w:jc w:val="left"/>
            </w:pPr>
            <w:r>
              <w:t xml:space="preserve">Fully rescued by in situ</w:t>
            </w:r>
            <w:r>
              <w:t xml:space="preserve"> </w:t>
            </w:r>
            <m:oMath>
              <m:r>
                <m:t>45</m:t>
              </m:r>
              <m:r>
                <m:t> </m:t>
              </m:r>
              <m:r>
                <m:t>μ</m:t>
              </m:r>
              <m:r>
                <m:rPr>
                  <m:nor/>
                  <m:sty m:val="p"/>
                </m:rPr>
                <m:t>T</m:t>
              </m:r>
            </m:oMath>
            <w:r>
              <w:t xml:space="preserve"> </w:t>
            </w:r>
            <w:r>
              <w:t xml:space="preserve">vector re-application; insensitive to 1g spin</w:t>
            </w:r>
          </w:p>
        </w:tc>
      </w:tr>
      <w:tr>
        <w:tc>
          <w:tcPr/>
          <w:p>
            <w:pPr>
              <w:pStyle w:val="Compact"/>
              <w:jc w:val="left"/>
            </w:pPr>
            <w:r>
              <w:rPr>
                <w:b/>
                <w:bCs/>
              </w:rPr>
              <w:t xml:space="preserve">Lunar Partial Gravity (</w:t>
            </w:r>
            <m:oMath>
              <m:r>
                <m:t>0.166</m:t>
              </m:r>
              <m:r>
                <m:t> </m:t>
              </m:r>
              <m:r>
                <m:t>g</m:t>
              </m:r>
            </m:oMath>
            <w:r>
              <w:rPr>
                <w:b/>
                <w:bCs/>
              </w:rPr>
              <w:t xml:space="preserve">) / Microgravity</w:t>
            </w:r>
          </w:p>
        </w:tc>
        <w:tc>
          <w:tcPr/>
          <w:p>
            <w:pPr>
              <w:pStyle w:val="Compact"/>
              <w:jc w:val="left"/>
            </w:pPr>
            <w:r>
              <w:t xml:space="preserve">Amyloplast statolith sedimentation; mechanosensitive ion channels (MSL/MCA); PIN re-localization</w:t>
            </w:r>
          </w:p>
        </w:tc>
        <w:tc>
          <w:tcPr/>
          <w:p>
            <w:pPr>
              <w:pStyle w:val="Compact"/>
              <w:jc w:val="left"/>
            </w:pPr>
            <w:r>
              <w:t xml:space="preserve">Normal to slightly accelerated germination; negligible lag (</w:t>
            </w:r>
            <m:oMath>
              <m:r>
                <m:rPr>
                  <m:sty m:val="p"/>
                </m:rPr>
                <m:t>Δ</m:t>
              </m:r>
              <m:sSub>
                <m:e>
                  <m:r>
                    <m:t>t</m:t>
                  </m:r>
                </m:e>
                <m:sub>
                  <m:r>
                    <m:t>50</m:t>
                  </m:r>
                </m:sub>
              </m:sSub>
              <m:r>
                <m:rPr>
                  <m:sty m:val="p"/>
                </m:rPr>
                <m:t>&lt;</m:t>
              </m:r>
              <m:r>
                <m:t>4</m:t>
              </m:r>
              <m:r>
                <m:rPr>
                  <m:nor/>
                  <m:sty m:val="p"/>
                </m:rPr>
                <m:t> h</m:t>
              </m:r>
            </m:oMath>
            <w:r>
              <w:t xml:space="preserve">)</w:t>
            </w:r>
          </w:p>
        </w:tc>
        <w:tc>
          <w:tcPr/>
          <w:p>
            <w:pPr>
              <w:pStyle w:val="Compact"/>
              <w:jc w:val="left"/>
            </w:pPr>
            <w:r>
              <w:t xml:space="preserve">Loss of directional gravitropism; waving and skewing; cell wall xyloglucan remodeling (</w:t>
            </w:r>
            <w:r>
              <w:rPr>
                <w:i/>
                <w:iCs/>
              </w:rPr>
              <w:t xml:space="preserve">XTH</w:t>
            </w:r>
            <w:r>
              <w:t xml:space="preserve">)</w:t>
            </w:r>
          </w:p>
        </w:tc>
        <w:tc>
          <w:tcPr/>
          <w:p>
            <w:pPr>
              <w:pStyle w:val="Compact"/>
              <w:jc w:val="left"/>
            </w:pPr>
            <w:r>
              <w:t xml:space="preserve">Nominal chlorophyll and anthocyanin accumulation under adequate PAR; active HY5</w:t>
            </w:r>
          </w:p>
        </w:tc>
        <w:tc>
          <w:tcPr/>
          <w:p>
            <w:pPr>
              <w:pStyle w:val="Compact"/>
              <w:jc w:val="left"/>
            </w:pPr>
            <w:r>
              <w:t xml:space="preserve">Localized apoplastic ROS (</w:t>
            </w:r>
            <w:r>
              <w:rPr>
                <w:i/>
                <w:iCs/>
              </w:rPr>
              <w:t xml:space="preserve">RBOHD/F</w:t>
            </w:r>
            <w:r>
              <w:t xml:space="preserve">) in root elongation zone; baseline mETC</w:t>
            </w:r>
          </w:p>
        </w:tc>
        <w:tc>
          <w:tcPr/>
          <w:p>
            <w:pPr>
              <w:pStyle w:val="Compact"/>
              <w:jc w:val="left"/>
            </w:pPr>
            <w:r>
              <w:t xml:space="preserve">Statolith displacement; re-localized PIN2/PIN3; induced expansins and</w:t>
            </w:r>
            <w:r>
              <w:t xml:space="preserve"> </w:t>
            </w:r>
            <w:r>
              <w:rPr>
                <w:i/>
                <w:iCs/>
              </w:rPr>
              <w:t xml:space="preserve">XTH</w:t>
            </w:r>
          </w:p>
        </w:tc>
        <w:tc>
          <w:tcPr/>
          <w:p>
            <w:pPr>
              <w:pStyle w:val="Compact"/>
              <w:jc w:val="left"/>
            </w:pPr>
            <w:r>
              <w:t xml:space="preserve">Rescued by onboard 1g centrifuge; completely insensitive to static magnetic field</w:t>
            </w:r>
          </w:p>
        </w:tc>
      </w:tr>
      <w:tr>
        <w:tc>
          <w:tcPr/>
          <w:p>
            <w:pPr>
              <w:pStyle w:val="Compact"/>
              <w:jc w:val="left"/>
            </w:pPr>
            <w:r>
              <w:rPr>
                <w:b/>
                <w:bCs/>
              </w:rPr>
              <w:t xml:space="preserve">Deep-Space Ionizing Radiation (GCR / SPE)</w:t>
            </w:r>
          </w:p>
        </w:tc>
        <w:tc>
          <w:tcPr/>
          <w:p>
            <w:pPr>
              <w:pStyle w:val="Compact"/>
              <w:jc w:val="left"/>
            </w:pPr>
            <w:r>
              <w:t xml:space="preserve">Direct nuclear DNA ionization; radiolysis of</w:t>
            </w:r>
            <w:r>
              <w:t xml:space="preserve"> </w:t>
            </w:r>
            <m:oMath>
              <m:sSub>
                <m:e>
                  <m:r>
                    <m:rPr>
                      <m:nor/>
                      <m:sty m:val="p"/>
                    </m:rPr>
                    <m:t>H</m:t>
                  </m:r>
                </m:e>
                <m:sub>
                  <m:r>
                    <m:t>2</m:t>
                  </m:r>
                </m:sub>
              </m:sSub>
              <m:r>
                <m:rPr>
                  <m:nor/>
                  <m:sty m:val="p"/>
                </m:rPr>
                <m:t>O</m:t>
              </m:r>
            </m:oMath>
            <w:r>
              <w:t xml:space="preserve"> </w:t>
            </w:r>
            <w:r>
              <w:t xml:space="preserve">producing hydroxyl radicals (</w:t>
            </w:r>
            <m:oMath>
              <m:sSup>
                <m:e>
                  <m:r>
                    <m:rPr>
                      <m:nor/>
                      <m:sty m:val="p"/>
                    </m:rPr>
                    <m:t>OH</m:t>
                  </m:r>
                </m:e>
                <m:sup>
                  <m:r>
                    <m:rPr>
                      <m:sty m:val="p"/>
                    </m:rPr>
                    <m:t>•</m:t>
                  </m:r>
                </m:sup>
              </m:sSup>
            </m:oMath>
            <w:r>
              <w:t xml:space="preserve">)</w:t>
            </w:r>
          </w:p>
        </w:tc>
        <w:tc>
          <w:tcPr/>
          <w:p>
            <w:pPr>
              <w:pStyle w:val="Compact"/>
              <w:jc w:val="left"/>
            </w:pPr>
            <w:r>
              <w:t xml:space="preserve">Emergence arrest only at acute lethal doses (</w:t>
            </w:r>
            <m:oMath>
              <m:r>
                <m:rPr>
                  <m:sty m:val="p"/>
                </m:rPr>
                <m:t>&gt;</m:t>
              </m:r>
              <m:r>
                <m:t>50</m:t>
              </m:r>
              <m:r>
                <m:rPr>
                  <m:nor/>
                  <m:sty m:val="p"/>
                </m:rPr>
                <m:t> Gy</m:t>
              </m:r>
            </m:oMath>
            <w:r>
              <w:t xml:space="preserve">); normal at low doses</w:t>
            </w:r>
          </w:p>
        </w:tc>
        <w:tc>
          <w:tcPr/>
          <w:p>
            <w:pPr>
              <w:pStyle w:val="Compact"/>
              <w:jc w:val="left"/>
            </w:pPr>
            <w:r>
              <w:t xml:space="preserve">Mitotic cell cycle arrest in apical meristems; chromosomal bridges and stunting</w:t>
            </w:r>
          </w:p>
        </w:tc>
        <w:tc>
          <w:tcPr/>
          <w:p>
            <w:pPr>
              <w:pStyle w:val="Compact"/>
              <w:jc w:val="left"/>
            </w:pPr>
            <w:r>
              <w:t xml:space="preserve">General necrosis-induced chlorosis at severe doses; active protective anthocyanin induction</w:t>
            </w:r>
          </w:p>
        </w:tc>
        <w:tc>
          <w:tcPr/>
          <w:p>
            <w:pPr>
              <w:pStyle w:val="Compact"/>
              <w:jc w:val="left"/>
            </w:pPr>
            <w:r>
              <w:t xml:space="preserve">Widespread systemic ROS burst across nuclear and apoplastic compartments; lipid peroxidation</w:t>
            </w:r>
          </w:p>
        </w:tc>
        <w:tc>
          <w:tcPr/>
          <w:p>
            <w:pPr>
              <w:pStyle w:val="Compact"/>
              <w:jc w:val="left"/>
            </w:pPr>
            <w:r>
              <w:t xml:space="preserve">Phosphorylated</w:t>
            </w:r>
            <w:r>
              <w:t xml:space="preserve"> </w:t>
            </w:r>
            <m:oMath>
              <m:r>
                <m:t>γ</m:t>
              </m:r>
            </m:oMath>
            <w:r>
              <w:t xml:space="preserve">-H2AX foci; ATM/ATR kinase activation;</w:t>
            </w:r>
            <w:r>
              <w:t xml:space="preserve"> </w:t>
            </w:r>
            <w:r>
              <w:rPr>
                <w:i/>
                <w:iCs/>
              </w:rPr>
              <w:t xml:space="preserve">PARP1</w:t>
            </w:r>
            <w:r>
              <w:t xml:space="preserve"> </w:t>
            </w:r>
            <w:r>
              <w:t xml:space="preserve">/</w:t>
            </w:r>
            <w:r>
              <w:t xml:space="preserve"> </w:t>
            </w:r>
            <w:r>
              <w:rPr>
                <w:i/>
                <w:iCs/>
              </w:rPr>
              <w:t xml:space="preserve">RAD51</w:t>
            </w:r>
            <w:r>
              <w:t xml:space="preserve"> </w:t>
            </w:r>
            <w:r>
              <w:t xml:space="preserve">repair</w:t>
            </w:r>
          </w:p>
        </w:tc>
        <w:tc>
          <w:tcPr/>
          <w:p>
            <w:pPr>
              <w:pStyle w:val="Compact"/>
              <w:jc w:val="left"/>
            </w:pPr>
            <w:r>
              <w:t xml:space="preserve">Independent of B-field or centrifuge; correlated with active dosimeter telemetry</w:t>
            </w:r>
          </w:p>
        </w:tc>
      </w:tr>
    </w:tbl>
    <w:p>
      <w:r>
        <w:pict>
          <v:rect style="width:0;height:1.5pt" o:hralign="center" o:hrstd="t" o:hr="t"/>
        </w:pict>
      </w:r>
    </w:p>
    <w:bookmarkEnd w:id="54"/>
    <w:bookmarkEnd w:id="55"/>
    <w:bookmarkStart w:id="56" w:name="Xbea3edd5a7aeb15038300f903f189dad42dcce3"/>
    <w:p>
      <w:pPr>
        <w:pStyle w:val="Heading2"/>
      </w:pPr>
      <w:r>
        <w:t xml:space="preserve">7.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Example candidate Artemis South Pole exploration regions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consider incorporating calibrated 3-axis magnetic sensors at the plant canopy, implementing matched-current bifilar sham baselines during ground testing, and validating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56"/>
    <w:bookmarkStart w:id="57"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57"/>
    <w:bookmarkStart w:id="58"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 </w:t>
      </w:r>
      <w:r>
        <w:t xml:space="preserve">and</w:t>
      </w:r>
      <w:r>
        <w:t xml:space="preserve"> </w:t>
      </w:r>
      <w:r>
        <w:rPr>
          <w:b/>
          <w:bCs/>
        </w:rPr>
        <w:t xml:space="preserve">M.D.</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58"/>
    <w:bookmarkStart w:id="59"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59"/>
    <w:bookmarkStart w:id="60"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60"/>
    <w:bookmarkStart w:id="61" w:name="references"/>
    <w:p>
      <w:pPr>
        <w:pStyle w:val="Heading2"/>
      </w:pPr>
      <w:r>
        <w:t xml:space="preserve">References</w:t>
      </w:r>
    </w:p>
    <w:p>
      <w:pPr>
        <w:pStyle w:val="Compact"/>
        <w:numPr>
          <w:ilvl w:val="0"/>
          <w:numId w:val="1003"/>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3"/>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3"/>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3"/>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3"/>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3"/>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3"/>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3"/>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3"/>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3"/>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3"/>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3"/>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3"/>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3"/>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3"/>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3"/>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3"/>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3"/>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3"/>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3"/>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3"/>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3"/>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3"/>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3"/>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3"/>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3"/>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3"/>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3"/>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3"/>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3"/>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3"/>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3"/>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3"/>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3"/>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3"/>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3"/>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3"/>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3"/>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3"/>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3"/>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3"/>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3"/>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3"/>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3"/>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3"/>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3"/>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3"/>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3"/>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3"/>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3"/>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3"/>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3"/>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3"/>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3"/>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3"/>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3"/>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3"/>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3"/>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3"/>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3"/>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3"/>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3"/>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3"/>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3"/>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3"/>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3"/>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3"/>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3"/>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3"/>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3"/>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3"/>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3"/>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3"/>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3"/>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3"/>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3"/>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3"/>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3"/>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3"/>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3"/>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p>
      <w:pPr>
        <w:pStyle w:val="Compact"/>
        <w:numPr>
          <w:ilvl w:val="0"/>
          <w:numId w:val="1003"/>
        </w:numPr>
      </w:pPr>
      <w:r>
        <w:t xml:space="preserve">Whittemore, R. &amp; Knafl, K. The integrative review: updated methodology.</w:t>
      </w:r>
      <w:r>
        <w:t xml:space="preserve"> </w:t>
      </w:r>
      <w:r>
        <w:rPr>
          <w:i/>
          <w:iCs/>
        </w:rPr>
        <w:t xml:space="preserve">J. Adv. Nurs.</w:t>
      </w:r>
      <w:r>
        <w:t xml:space="preserve"> </w:t>
      </w:r>
      <w:r>
        <w:rPr>
          <w:b/>
          <w:bCs/>
        </w:rPr>
        <w:t xml:space="preserve">52</w:t>
      </w:r>
      <w:r>
        <w:t xml:space="preserve">, 546–553 (2005). https://doi.org/10.1111/j.1365-2648.2005.03621.x</w:t>
      </w:r>
    </w:p>
    <w:p>
      <w:pPr>
        <w:pStyle w:val="Compact"/>
        <w:numPr>
          <w:ilvl w:val="0"/>
          <w:numId w:val="1003"/>
        </w:numPr>
      </w:pPr>
      <w:r>
        <w:t xml:space="preserve">Baethge, C., Goldbeck-Wood, S. &amp; Mertens, S. SANRA—a scale for the quality assessment of narrative review articles.</w:t>
      </w:r>
      <w:r>
        <w:t xml:space="preserve"> </w:t>
      </w:r>
      <w:r>
        <w:rPr>
          <w:i/>
          <w:iCs/>
        </w:rPr>
        <w:t xml:space="preserve">Res. Integr. Peer Rev.</w:t>
      </w:r>
      <w:r>
        <w:t xml:space="preserve"> </w:t>
      </w:r>
      <w:r>
        <w:rPr>
          <w:b/>
          <w:bCs/>
        </w:rPr>
        <w:t xml:space="preserve">4</w:t>
      </w:r>
      <w:r>
        <w:t xml:space="preserve">, 5 (2019). https://doi.org/10.1186/s41073-019-0064-8</w:t>
      </w:r>
    </w:p>
    <w:p>
      <w:pPr>
        <w:pStyle w:val="Compact"/>
        <w:numPr>
          <w:ilvl w:val="0"/>
          <w:numId w:val="1003"/>
        </w:numPr>
      </w:pPr>
      <w:r>
        <w:t xml:space="preserve">Blank, M. L. et al. From pantry to physiology: A narrative review linking food insecurity to biological dysfunction.</w:t>
      </w:r>
      <w:r>
        <w:t xml:space="preserve"> </w:t>
      </w:r>
      <w:r>
        <w:rPr>
          <w:i/>
          <w:iCs/>
        </w:rPr>
        <w:t xml:space="preserve">Dialogues Health</w:t>
      </w:r>
      <w:r>
        <w:t xml:space="preserve"> </w:t>
      </w:r>
      <w:r>
        <w:rPr>
          <w:b/>
          <w:bCs/>
        </w:rPr>
        <w:t xml:space="preserve">8</w:t>
      </w:r>
      <w:r>
        <w:t xml:space="preserve">, 100308 (2026). https://doi.org/10.1016/j.dialog.2026.100308</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hyperlink" Id="rId21" Target="https://github.com/dr-richard-barker/NMF_review"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dr-richard-barker/NMF_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2026-10-29T21:08:48Z</dcterms:created>
  <dcterms:modified xsi:type="dcterms:W3CDTF">2026-10-29T21:08:48Z</dcterms:modified>
</cp:coreProperties>
</file>

<file path=docProps/custom.xml><?xml version="1.0" encoding="utf-8"?>
<Properties xmlns="http://schemas.openxmlformats.org/officeDocument/2006/custom-properties" xmlns:vt="http://schemas.openxmlformats.org/officeDocument/2006/docPropsVTypes"/>
</file>