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27.png" ContentType="image/png"/>
  <Override PartName="/word/media/rId34.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exploration sites reside in an extreme near-null magnetic field (</w:t>
      </w:r>
      <m:oMath>
        <m:r>
          <m:t>0.40</m:t>
        </m:r>
        <m:r>
          <m:rPr>
            <m:nor/>
            <m:sty m:val="p"/>
          </m:rPr>
          <m:t>–</m:t>
        </m:r>
        <m:r>
          <m:t>0.82</m:t>
        </m:r>
        <m:r>
          <m:rPr>
            <m:nor/>
            <m:sty m:val="p"/>
          </m:rPr>
          <m:t> nT</m:t>
        </m:r>
      </m:oMath>
      <w:r>
        <w:t xml:space="preserve"> </w:t>
      </w:r>
      <w:r>
        <w:t xml:space="preserve">crustal proxy at 30 km altitude).</w:t>
      </w:r>
    </w:p>
    <w:p>
      <w:pPr>
        <w:pStyle w:val="Compact"/>
        <w:numPr>
          <w:ilvl w:val="0"/>
          <w:numId w:val="1001"/>
        </w:numPr>
      </w:pPr>
      <w:r>
        <w:t xml:space="preserve">Four a priori magnetic regimes define biological exposure: Deep Near-Null (</w:t>
      </w:r>
      <m:oMath>
        <m:r>
          <m:rPr>
            <m:sty m:val="p"/>
          </m:rPr>
          <m:t>&lt;</m:t>
        </m:r>
        <m:r>
          <m:t>1</m:t>
        </m:r>
        <m:r>
          <m:rPr>
            <m:nor/>
            <m:sty m:val="p"/>
          </m:rPr>
          <m:t> nT</m:t>
        </m:r>
      </m:oMath>
      <w:r>
        <w:t xml:space="preserve">), NNMF (</w:t>
      </w:r>
      <m:oMath>
        <m:r>
          <m:t>1</m:t>
        </m:r>
        <m:r>
          <m:rPr>
            <m:nor/>
            <m:sty m:val="p"/>
          </m:rPr>
          <m:t>–</m:t>
        </m:r>
        <m:r>
          <m:t>10</m:t>
        </m:r>
        <m:r>
          <m:rPr>
            <m:nor/>
            <m:sty m:val="p"/>
          </m:rPr>
          <m:t> nT</m:t>
        </m:r>
      </m:oMath>
      <w:r>
        <w:t xml:space="preserve">), Moderate HMF (</w:t>
      </w:r>
      <m:oMath>
        <m:r>
          <m:t>10</m:t>
        </m:r>
        <m:r>
          <m:rPr>
            <m:nor/>
            <m:sty m:val="p"/>
          </m:rPr>
          <m:t> nT to </m:t>
        </m:r>
        <m:r>
          <m:t>5</m:t>
        </m:r>
        <m:r>
          <m:t> </m:t>
        </m:r>
        <m:r>
          <m:t>μ</m:t>
        </m:r>
        <m:r>
          <m:rPr>
            <m:nor/>
            <m:sty m:val="p"/>
          </m:rPr>
          <m:t>T</m:t>
        </m:r>
      </m:oMath>
      <w:r>
        <w:t xml:space="preserve">), and Geomagnetic (</w:t>
      </w:r>
      <m:oMath>
        <m:r>
          <m:t>25</m:t>
        </m:r>
        <m:r>
          <m:rPr>
            <m:nor/>
            <m:sty m:val="p"/>
          </m:rPr>
          <m:t>–</m:t>
        </m:r>
        <m:r>
          <m:t>65</m:t>
        </m:r>
        <m:r>
          <m:t> </m:t>
        </m:r>
        <m:r>
          <m:t>μ</m:t>
        </m:r>
        <m:r>
          <m:rPr>
            <m:nor/>
            <m:sty m:val="p"/>
          </m:rPr>
          <m:t>T</m:t>
        </m:r>
      </m:oMath>
      <w:r>
        <w:t xml:space="preserve">).</w:t>
      </w:r>
    </w:p>
    <w:p>
      <w:pPr>
        <w:pStyle w:val="Compact"/>
        <w:numPr>
          <w:ilvl w:val="0"/>
          <w:numId w:val="1001"/>
        </w:numPr>
      </w:pPr>
      <w:r>
        <w:t xml:space="preserve">Hypomagnetic exposure suppresses seed germination capacity (</w:t>
      </w:r>
      <m:oMath>
        <m:r>
          <m:rPr>
            <m:sty m:val="p"/>
          </m:rPr>
          <m:t>−</m:t>
        </m:r>
        <m:r>
          <m:t>10</m:t>
        </m:r>
        <m:r>
          <m:rPr>
            <m:nor/>
            <m:sty m:val="p"/>
          </m:rPr>
          <m:t> to </m:t>
        </m:r>
        <m:r>
          <m:rPr>
            <m:sty m:val="p"/>
          </m:rPr>
          <m:t>−</m:t>
        </m:r>
        <m:r>
          <m:t>30</m:t>
        </m:r>
        <m:r>
          <m:rPr>
            <m:sty m:val="p"/>
          </m:rPr>
          <m:t>%</m:t>
        </m:r>
      </m:oMath>
      <w:r>
        <w:t xml:space="preserve">), decreasing total viable seedling counts across angiosperms.</w:t>
      </w:r>
    </w:p>
    <w:p>
      <w:pPr>
        <w:pStyle w:val="Compact"/>
        <w:numPr>
          <w:ilvl w:val="0"/>
          <w:numId w:val="1001"/>
        </w:numPr>
      </w:pPr>
      <w:r>
        <w:t xml:space="preserve">Near-null fields delay emergence velocity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imposing an empirical</w:t>
      </w:r>
      <w:r>
        <w:t xml:space="preserve"> </w:t>
      </w:r>
      <m:oMath>
        <m:r>
          <m:rPr>
            <m:sty m:val="p"/>
          </m:rPr>
          <m:t>−</m:t>
        </m:r>
        <m:r>
          <m:t>28.5</m:t>
        </m:r>
        <m:r>
          <m:rPr>
            <m:sty m:val="p"/>
          </m:rPr>
          <m:t>%</m:t>
        </m:r>
      </m:oMath>
      <w:r>
        <w:t xml:space="preserve"> </w:t>
      </w:r>
      <w:r>
        <w:t xml:space="preserve">early biomass penalty.</w:t>
      </w:r>
    </w:p>
    <w:p>
      <w:pPr>
        <w:pStyle w:val="Compact"/>
        <w:numPr>
          <w:ilvl w:val="0"/>
          <w:numId w:val="1001"/>
        </w:numPr>
      </w:pPr>
      <w:r>
        <w:t xml:space="preserve">Cryptochrome-HY5 dysregulation represses rate-limiting chlorophyll (</w:t>
      </w:r>
      <w:r>
        <w:rPr>
          <w:i/>
          <w:iCs/>
        </w:rPr>
        <w:t xml:space="preserve">HEMA1</w:t>
      </w:r>
      <w:r>
        <w:t xml:space="preserve">,</w:t>
      </w:r>
      <w:r>
        <w:t xml:space="preserve"> </w:t>
      </w:r>
      <w:r>
        <w:rPr>
          <w:i/>
          <w:iCs/>
        </w:rPr>
        <w:t xml:space="preserve">POR</w:t>
      </w:r>
      <w:r>
        <w:t xml:space="preserve">) and anthocyanin (</w:t>
      </w:r>
      <w:r>
        <w:rPr>
          <w:i/>
          <w:iCs/>
        </w:rPr>
        <w:t xml:space="preserve">CHS</w:t>
      </w:r>
      <w:r>
        <w:t xml:space="preserve">) biosynthesis during greening.</w:t>
      </w:r>
    </w:p>
    <w:p>
      <w:pPr>
        <w:pStyle w:val="Compact"/>
        <w:numPr>
          <w:ilvl w:val="0"/>
          <w:numId w:val="1001"/>
        </w:numPr>
      </w:pPr>
      <w:r>
        <w:t xml:space="preserve">Near-null fields, chronic GCR, and exploration atmospheres converge on the organellar</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bioenergetic nexus.</w:t>
      </w:r>
    </w:p>
    <w:p>
      <w:pPr>
        <w:pStyle w:val="Compact"/>
        <w:numPr>
          <w:ilvl w:val="0"/>
          <w:numId w:val="1001"/>
        </w:numPr>
      </w:pPr>
      <w:r>
        <w:t xml:space="preserve">Induction of Alternative Oxidase (</w:t>
      </w:r>
      <w:r>
        <w:rPr>
          <w:i/>
          <w:iCs/>
        </w:rPr>
        <w:t xml:space="preserve">AOX1D</w:t>
      </w:r>
      <w:r>
        <w:t xml:space="preserve">) and Catalase (</w:t>
      </w:r>
      <w:r>
        <w:rPr>
          <w:i/>
          <w:iCs/>
        </w:rPr>
        <w:t xml:space="preserve">CAT3</w:t>
      </w:r>
      <w:r>
        <w:t xml:space="preserve">) parallels conserved spaceflight mitochondrial stress in human astronauts.</w:t>
      </w:r>
    </w:p>
    <w:p>
      <w:pPr>
        <w:pStyle w:val="Compact"/>
        <w:numPr>
          <w:ilvl w:val="0"/>
          <w:numId w:val="1001"/>
        </w:numPr>
      </w:pPr>
      <w:r>
        <w:t xml:space="preserve">Rigorous ground standards (bifilar shams) and current-parameterized self-field deconvolution decouple true magnetic effects from payload EMI artifacts.</w:t>
      </w:r>
    </w:p>
    <w:p>
      <w:pPr>
        <w:pStyle w:val="Compact"/>
        <w:numPr>
          <w:ilvl w:val="0"/>
          <w:numId w:val="1001"/>
        </w:numPr>
      </w:pPr>
      <w:r>
        <w:t xml:space="preserve">Sample-level 3-axis canopy magnetometry resolves flight environmental exposure without requiring active in-flight cancellation coils.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audited peer-reviewed publications, 10 per-study early-growth plant datasets, and 6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t>0.40</m:t>
        </m:r>
        <m:r>
          <m:rPr>
            <m:nor/>
            <m:sty m:val="p"/>
          </m:rPr>
          <m:t> to </m:t>
        </m:r>
        <m:r>
          <m:t>0.82</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9"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50353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50353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evaluated at 30 km reference mapping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Candidate Artemis Exploration Regions:</w:t>
      </w:r>
      <w:r>
        <w:t xml:space="preserve"> </w:t>
      </w:r>
      <w:r>
        <w:t xml:space="preserve">Fine-scale distribution of candidate Artemis landing sites situated within the deep South Polar magnetic void (</w:t>
      </w:r>
      <m:oMath>
        <m:r>
          <m:t>0.40</m:t>
        </m:r>
        <m:r>
          <m:rPr>
            <m:nor/>
            <m:sty m:val="p"/>
          </m:rPr>
          <m:t>–</m:t>
        </m:r>
        <m:r>
          <m:t>0.82</m:t>
        </m:r>
        <m:r>
          <m:rPr>
            <m:nor/>
            <m:sty m:val="p"/>
          </m:rPr>
          <m:t> nT</m:t>
        </m:r>
      </m:oMath>
      <w:r>
        <w:t xml:space="preserve"> </w:t>
      </w:r>
      <w:r>
        <w:t xml:space="preserve">crustal component at 30 km altitude).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A Priori Magnetic Field Classification at Exploration &amp; Historical Sites:</w:t>
      </w:r>
      <w:r>
        <w:t xml:space="preserve"> </w:t>
      </w:r>
      <w:r>
        <w:t xml:space="preserve">Binned comparison across 23 historical and planned exploration sites stratified into four biologically defined exposure regimes: Deep Near-Null (</w:t>
      </w:r>
      <m:oMath>
        <m:r>
          <m:rPr>
            <m:sty m:val="p"/>
          </m:rPr>
          <m:t>&lt;</m:t>
        </m:r>
        <m:r>
          <m:t>1</m:t>
        </m:r>
        <m:r>
          <m:rPr>
            <m:nor/>
            <m:sty m:val="p"/>
          </m:rPr>
          <m:t> nT</m:t>
        </m:r>
      </m:oMath>
      <w:r>
        <w:t xml:space="preserve">), Near-Null Magnetic Field (NNMF,</w:t>
      </w:r>
      <w:r>
        <w:t xml:space="preserve"> </w:t>
      </w:r>
      <m:oMath>
        <m:r>
          <m:t>1</m:t>
        </m:r>
        <m:r>
          <m:rPr>
            <m:nor/>
            <m:sty m:val="p"/>
          </m:rPr>
          <m:t>–</m:t>
        </m:r>
        <m:r>
          <m:t>10</m:t>
        </m:r>
        <m:r>
          <m:rPr>
            <m:nor/>
            <m:sty m:val="p"/>
          </m:rPr>
          <m:t> nT</m:t>
        </m:r>
      </m:oMath>
      <w:r>
        <w:t xml:space="preserve">), Moderate Hypomagnetic Field (HMF,</w:t>
      </w:r>
      <w:r>
        <w:t xml:space="preserve"> </w:t>
      </w:r>
      <m:oMath>
        <m:r>
          <m:t>10</m:t>
        </m:r>
        <m:r>
          <m:rPr>
            <m:nor/>
            <m:sty m:val="p"/>
          </m:rPr>
          <m:t> nT to </m:t>
        </m:r>
        <m:r>
          <m:t>5</m:t>
        </m:r>
        <m:r>
          <m:t> </m:t>
        </m:r>
        <m:r>
          <m:t>μ</m:t>
        </m:r>
        <m:r>
          <m:rPr>
            <m:nor/>
            <m:sty m:val="p"/>
          </m:rPr>
          <m:t>T</m:t>
        </m:r>
      </m:oMath>
      <w:r>
        <w:t xml:space="preserve">), and Geomagnetic Field (GMF,</w:t>
      </w:r>
      <w:r>
        <w:t xml:space="preserve"> </w:t>
      </w:r>
      <m:oMath>
        <m:r>
          <m:t>25</m:t>
        </m:r>
        <m:r>
          <m:rPr>
            <m:nor/>
            <m:sty m:val="p"/>
          </m:rPr>
          <m:t>–</m:t>
        </m:r>
        <m:r>
          <m:t>65</m:t>
        </m:r>
        <m:r>
          <m:t> </m:t>
        </m:r>
        <m:r>
          <m:t>μ</m:t>
        </m:r>
        <m:r>
          <m:rPr>
            <m:nor/>
            <m:sty m:val="p"/>
          </m:rPr>
          <m:t>T</m:t>
        </m:r>
      </m:oMath>
      <w:r>
        <w:t xml:space="preserve">,</w:t>
      </w:r>
      <w:r>
        <w:t xml:space="preserve"> </w:t>
      </w:r>
      <m:oMath>
        <m:r>
          <m:rPr>
            <m:sty m:val="p"/>
          </m:rPr>
          <m:t>&gt;</m:t>
        </m:r>
        <m:r>
          <m:t>30</m:t>
        </m:r>
        <m:r>
          <m:rPr>
            <m:sty m:val="p"/>
          </m:rPr>
          <m:t>,</m:t>
        </m:r>
        <m:r>
          <m:t>000</m:t>
        </m:r>
        <m:r>
          <m:rPr>
            <m:sty m:val="p"/>
          </m:rPr>
          <m:t>×</m:t>
        </m:r>
      </m:oMath>
      <w:r>
        <w:t xml:space="preserve"> </w:t>
      </w:r>
      <w:r>
        <w:t xml:space="preserve">higher). All Artemis South Pole candidate sites reside strictly below the</w:t>
      </w:r>
      <w:r>
        <w:t xml:space="preserve"> </w:t>
      </w:r>
      <m:oMath>
        <m:r>
          <m:t>1.0</m:t>
        </m:r>
        <m:r>
          <m:rPr>
            <m:nor/>
            <m:sty m:val="p"/>
          </m:rPr>
          <m:t> nT</m:t>
        </m:r>
      </m:oMath>
      <w:r>
        <w:t xml:space="preserve"> </w:t>
      </w:r>
      <w:r>
        <w:t xml:space="preserve">deep near-null boundary, contrasting sharply with isolated crustal swirl anomalies (e.g., Apollo 16 Descartes highlands:</w:t>
      </w:r>
      <w:r>
        <w:t xml:space="preserve"> </w:t>
      </w:r>
      <m:oMath>
        <m:r>
          <m:t>4.94</m:t>
        </m:r>
        <m:r>
          <m:rPr>
            <m:nor/>
            <m:sty m:val="p"/>
          </m:rPr>
          <m:t> nT</m:t>
        </m:r>
      </m:oMath>
      <w:r>
        <w:t xml:space="preserve">; Reiner Gamma: tens of nT).</w:t>
      </w:r>
      <w:r>
        <w:br/>
      </w:r>
      <w:r>
        <w:rPr>
          <w:b/>
          <w:bCs/>
        </w:rPr>
        <w:t xml:space="preserve">(d) Superposition Vector Equation &amp; Biological Exposure Budget:</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(static DC</w:t>
      </w:r>
      <w:r>
        <w:t xml:space="preserve"> </w:t>
      </w:r>
      <m:oMath>
        <m:r>
          <m:t>2</m:t>
        </m:r>
        <m:r>
          <m:rPr>
            <m:nor/>
            <m:sty m:val="p"/>
          </m:rPr>
          <m:t>–</m:t>
        </m:r>
        <m:r>
          <m:t>48</m:t>
        </m:r>
        <m:r>
          <m:t> </m:t>
        </m:r>
        <m:r>
          <m:t>μ</m:t>
        </m:r>
        <m:r>
          <m:rPr>
            <m:nor/>
            <m:sty m:val="p"/>
          </m:rPr>
          <m:t>T</m:t>
        </m:r>
      </m:oMath>
      <w:r>
        <w:t xml:space="preserve"> </w:t>
      </w:r>
      <w:r>
        <w:t xml:space="preserve">vs AC PWM ripple</w:t>
      </w:r>
      <w:r>
        <w:t xml:space="preserve"> </w:t>
      </w:r>
      <m:oMath>
        <m:r>
          <m:t>15</m:t>
        </m:r>
        <m:r>
          <m:rPr>
            <m:nor/>
            <m:sty m:val="p"/>
          </m:rPr>
          <m:t>–</m:t>
        </m:r>
        <m:r>
          <m:t>50</m:t>
        </m:r>
        <m:sSub>
          <m:e>
            <m:r>
              <m:rPr>
                <m:nor/>
                <m:sty m:val="p"/>
              </m:rPr>
              <m:t> nT</m:t>
            </m:r>
          </m:e>
          <m:sub>
            <m:r>
              <m:rPr>
                <m:nor/>
                <m:sty m:val="p"/>
              </m:rPr>
              <m:t>RMS</m:t>
            </m:r>
          </m:sub>
        </m:sSub>
      </m:oMath>
      <w:r>
        <w:t xml:space="preserve">) can exceed ambient lunar crustal levels by orders of magnitude, inadvertently masking the natural hypomagnetic vacuum unless sample-level 3-axis sensing and self-field deconvolution are implemented.</w:t>
      </w:r>
    </w:p>
    <w:bookmarkEnd w:id="14"/>
    <w:bookmarkStart w:id="18" w:name="Xf629fae90100c355c912c9c3b7664349d6c7bcb"/>
    <w:p>
      <w:pPr>
        <w:pStyle w:val="Heading3"/>
      </w:pPr>
      <w:r>
        <w:t xml:space="preserve">1.2 Planetary Crustal Field Distribution, Orbital Modeling Provenance, and Surface Exposure Scaling</w:t>
      </w:r>
    </w:p>
    <w:p>
      <w:pPr>
        <w:pStyle w:val="FirstParagraph"/>
      </w:pPr>
      <w:r>
        <w:t xml:space="preserve">As demonstrated by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deep near-null magnetic field (NNMF) environment, where ambient crustal fields range strictly between</w:t>
      </w:r>
      <w:r>
        <w:rPr>
          <w:b/>
          <w:bCs/>
        </w:rPr>
        <w:t xml:space="preserve"> </w:t>
      </w:r>
      <m:oMath>
        <m:r>
          <m:t>0.40</m:t>
        </m:r>
        <m:r>
          <m:rPr>
            <m:nor/>
            <m:sty m:val="p"/>
          </m:rPr>
          <m:t> and </m:t>
        </m:r>
        <m:r>
          <m:t>0.82</m:t>
        </m:r>
        <m:r>
          <m:rPr>
            <m:nor/>
            <m:sty m:val="p"/>
          </m:rPr>
          <m:t> nT</m:t>
        </m:r>
      </m:oMath>
      <w:r>
        <w:rPr>
          <w:b/>
          <w:bCs/>
        </w:rPr>
        <w:t xml:space="preserve"> </w:t>
      </w:r>
      <w:r>
        <w:rPr>
          <w:b/>
          <w:bCs/>
        </w:rPr>
        <w:t xml:space="preserve">at 30 km altitude</w:t>
      </w:r>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Deep Near-Null (&lt;1 nT)</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Deep Near-Null (&lt;1 nT)</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Deep Near-Null (&lt;1 nT)</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Deep Near-Null (&lt;1 nT)</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Deep Near-Null (&lt;1 nT)</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Deep Near-Null (&lt;1 nT)</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Deep Near-Null (&lt;1 nT)</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Deep Near-Null (&lt;1 nT)</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NNMF Boundary (1.0 nT)</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NNMF (1–10 nT)</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NNMF Swirl (1–10 nT)</w:t>
            </w:r>
          </w:p>
        </w:tc>
        <w:tc>
          <w:tcPr/>
          <w:p>
            <w:pPr>
              <w:pStyle w:val="Compact"/>
              <w:jc w:val="left"/>
            </w:pPr>
            <w:r>
              <w:t xml:space="preserve">NASA PDS Equatorial Grid; Tsunakawa et al. [18]</w:t>
            </w:r>
          </w:p>
        </w:tc>
      </w:tr>
    </w:tbl>
    <w:bookmarkStart w:id="15" w:name="Xbce62b574ab9a8e6852984eb244f668a284dada"/>
    <w:p>
      <w:pPr>
        <w:pStyle w:val="Heading4"/>
      </w:pPr>
      <w:r>
        <w:t xml:space="preserve">Reproducible Geophysical Provenance &amp; Extraction Methodology</w:t>
      </w:r>
    </w:p>
    <w:p>
      <w:pPr>
        <w:pStyle w:val="FirstParagraph"/>
      </w:pPr>
      <w:r>
        <w:t xml:space="preserve">To ensure complete reproducibility, the crustal magnetic values reported in Table 1 and Figure 1 were extracted from publicly available Level 4 gridded orbital products:</w:t>
      </w:r>
      <w:r>
        <w:t xml:space="preserve"> </w:t>
      </w:r>
      <w:r>
        <w:t xml:space="preserve">1.</w:t>
      </w:r>
      <w:r>
        <w:t xml:space="preserve"> </w:t>
      </w:r>
      <w:r>
        <w:rPr>
          <w:b/>
          <w:bCs/>
        </w:rPr>
        <w:t xml:space="preserve">Lunar Prospector Magnetometer (</w:t>
      </w:r>
      <w:r>
        <w:rPr>
          <w:rStyle w:val="VerbatimChar"/>
          <w:b/>
          <w:bCs/>
        </w:rPr>
        <w:t xml:space="preserve">LP-MAG</w:t>
      </w:r>
      <w:r>
        <w:rPr>
          <w:b/>
          <w:bCs/>
        </w:rPr>
        <w:t xml:space="preserve">):</w:t>
      </w:r>
      <w:r>
        <w:t xml:space="preserve"> </w:t>
      </w:r>
      <w:r>
        <w:t xml:space="preserve">Gridded orbital vector magnetic anomaly time series archived at the NASA Planetary Data System (PDS) Geosciences Node (PDS Product ID:</w:t>
      </w:r>
      <w:r>
        <w:t xml:space="preserve"> </w:t>
      </w:r>
      <w:r>
        <w:rPr>
          <w:rStyle w:val="VerbatimChar"/>
        </w:rPr>
        <w:t xml:space="preserve">LP-L-MAG-4-SUMM-MAPS-V1.0</w:t>
      </w:r>
      <w:r>
        <w:t xml:space="preserve">), calibrated at a standardized 30 km altitude above the mean lunar radius (</w:t>
      </w:r>
      <m:oMath>
        <m:sSub>
          <m:e>
            <m:r>
              <m:t>R</m:t>
            </m:r>
          </m:e>
          <m:sub>
            <m:r>
              <m:t>M</m:t>
            </m:r>
          </m:sub>
        </m:sSub>
        <m:r>
          <m:rPr>
            <m:sty m:val="p"/>
          </m:rPr>
          <m:t>=</m:t>
        </m:r>
        <m:r>
          <m:t>1737.4</m:t>
        </m:r>
        <m:r>
          <m:rPr>
            <m:nor/>
            <m:sty m:val="p"/>
          </m:rPr>
          <m:t> km</m:t>
        </m:r>
      </m:oMath>
      <w:r>
        <w:t xml:space="preserve">) [16,18].</w:t>
      </w:r>
      <w:r>
        <w:t xml:space="preserve"> </w:t>
      </w:r>
      <w:r>
        <w:t xml:space="preserve">2.</w:t>
      </w:r>
      <w:r>
        <w:t xml:space="preserve"> </w:t>
      </w:r>
      <w:r>
        <w:rPr>
          <w:b/>
          <w:bCs/>
        </w:rPr>
        <w:t xml:space="preserve">Kaguya Lunar Magnetometer (</w:t>
      </w:r>
      <w:r>
        <w:rPr>
          <w:rStyle w:val="VerbatimChar"/>
          <w:b/>
          <w:bCs/>
        </w:rPr>
        <w:t xml:space="preserve">LMAG</w:t>
      </w:r>
      <w:r>
        <w:rPr>
          <w:b/>
          <w:bCs/>
        </w:rPr>
        <w:t xml:space="preserve">):</w:t>
      </w:r>
      <w:r>
        <w:t xml:space="preserve"> </w:t>
      </w:r>
      <w:r>
        <w:t xml:space="preserve">Gridded scalar and vector surface magnetic anomaly maps from the SELENE/Kaguya mission archived at the JAXA DARTS portal (Product ID:</w:t>
      </w:r>
      <w:r>
        <w:t xml:space="preserve"> </w:t>
      </w:r>
      <w:r>
        <w:rPr>
          <w:rStyle w:val="VerbatimChar"/>
        </w:rPr>
        <w:t xml:space="preserve">LMAG_MAP_V01</w:t>
      </w:r>
      <w:r>
        <w:t xml:space="preserve">), generated at</w:t>
      </w:r>
      <w:r>
        <w:t xml:space="preserve"> </w:t>
      </w:r>
      <m:oMath>
        <m:sSup>
          <m:e>
            <m:r>
              <m:t>0.5</m:t>
            </m:r>
          </m:e>
          <m:sup>
            <m:r>
              <m:rPr>
                <m:sty m:val="p"/>
              </m:rPr>
              <m:t>∘</m:t>
            </m:r>
          </m:sup>
        </m:sSup>
        <m:r>
          <m:rPr>
            <m:sty m:val="p"/>
          </m:rPr>
          <m:t>×</m:t>
        </m:r>
        <m:sSup>
          <m:e>
            <m:r>
              <m:t>0.5</m:t>
            </m:r>
          </m:e>
          <m:sup>
            <m:r>
              <m:rPr>
                <m:sty m:val="p"/>
              </m:rPr>
              <m:t>∘</m:t>
            </m:r>
          </m:sup>
        </m:sSup>
      </m:oMath>
      <w:r>
        <w:t xml:space="preserve"> </w:t>
      </w:r>
      <w:r>
        <w:t xml:space="preserve">resolution via equivalent source dipole inversions [17].</w:t>
      </w:r>
      <w:r>
        <w:t xml:space="preserve"> </w:t>
      </w:r>
      <w:r>
        <w:t xml:space="preserve">3.</w:t>
      </w:r>
      <w:r>
        <w:t xml:space="preserve"> </w:t>
      </w:r>
      <w:r>
        <w:rPr>
          <w:b/>
          <w:bCs/>
        </w:rPr>
        <w:t xml:space="preserve">Extraction Procedure:</w:t>
      </w:r>
      <w:r>
        <w:t xml:space="preserve"> </w:t>
      </w:r>
      <w:r>
        <w:t xml:space="preserve">Site values were computed using standard bilinear interpolation at published planetocentric coordinates (</w:t>
      </w:r>
      <m:oMath>
        <m:r>
          <m:rPr>
            <m:sty m:val="p"/>
          </m:rPr>
          <m:t>−</m:t>
        </m:r>
        <m:sSup>
          <m:e>
            <m:r>
              <m:t>180</m:t>
            </m:r>
          </m:e>
          <m:sup>
            <m:r>
              <m:rPr>
                <m:sty m:val="p"/>
              </m:rPr>
              <m:t>∘</m:t>
            </m:r>
          </m:sup>
        </m:sSup>
      </m:oMath>
      <w:r>
        <w:t xml:space="preserve"> </w:t>
      </w:r>
      <w:r>
        <w:t xml:space="preserve">to</w:t>
      </w:r>
      <w:r>
        <w:t xml:space="preserve"> </w:t>
      </w:r>
      <m:oMath>
        <m:r>
          <m:rPr>
            <m:sty m:val="p"/>
          </m:rPr>
          <m:t>+</m:t>
        </m:r>
        <m:sSup>
          <m:e>
            <m:r>
              <m:t>180</m:t>
            </m:r>
          </m:e>
          <m:sup>
            <m:r>
              <m:rPr>
                <m:sty m:val="p"/>
              </m:rPr>
              <m:t>∘</m:t>
            </m:r>
          </m:sup>
        </m:sSup>
      </m:oMath>
      <w:r>
        <w:t xml:space="preserve"> </w:t>
      </w:r>
      <w:r>
        <w:t xml:space="preserve">longitude, IAU standard lunar coordinate frame). Cross-model spread between LP-MAG and Kaguya LMAG across the candidate Artemis sites is</w:t>
      </w:r>
      <w:r>
        <w:t xml:space="preserve"> </w:t>
      </w:r>
      <m:oMath>
        <m:r>
          <m:rPr>
            <m:sty m:val="p"/>
          </m:rPr>
          <m:t>±</m:t>
        </m:r>
        <m:r>
          <m:t>0.08</m:t>
        </m:r>
        <m:r>
          <m:rPr>
            <m:nor/>
            <m:sty m:val="p"/>
          </m:rPr>
          <m:t> nT</m:t>
        </m:r>
      </m:oMath>
      <w:r>
        <w:t xml:space="preserve"> </w:t>
      </w:r>
      <w:r>
        <w:t xml:space="preserve">RMS, and the intra-crater spatial variability across 10 km bounding circles is bounded within</w:t>
      </w:r>
      <w:r>
        <w:t xml:space="preserve"> </w:t>
      </w:r>
      <m:oMath>
        <m:r>
          <m:rPr>
            <m:sty m:val="p"/>
          </m:rPr>
          <m:t>±</m:t>
        </m:r>
        <m:r>
          <m:t>0.12</m:t>
        </m:r>
        <m:r>
          <m:rPr>
            <m:nor/>
            <m:sty m:val="p"/>
          </m:rPr>
          <m:t> nT</m:t>
        </m:r>
      </m:oMath>
      <w:r>
        <w:t xml:space="preserve"> </w:t>
      </w:r>
      <w:r>
        <w:t xml:space="preserve">(min–max range:</w:t>
      </w:r>
      <w:r>
        <w:t xml:space="preserve"> </w:t>
      </w:r>
      <m:oMath>
        <m:r>
          <m:t>0.38</m:t>
        </m:r>
        <m:r>
          <m:rPr>
            <m:nor/>
            <m:sty m:val="p"/>
          </m:rPr>
          <m:t> to </m:t>
        </m:r>
        <m:r>
          <m:t>0.94</m:t>
        </m:r>
        <m:r>
          <m:rPr>
            <m:nor/>
            <m:sty m:val="p"/>
          </m:rPr>
          <m:t> nT</m:t>
        </m:r>
      </m:oMath>
      <w:r>
        <w:t xml:space="preserve">).</w:t>
      </w:r>
    </w:p>
    <w:bookmarkEnd w:id="15"/>
    <w:bookmarkStart w:id="16" w:name="X34def1a202dc3ae3f8dc6b258042ab84a903ad0"/>
    <w:p>
      <w:pPr>
        <w:pStyle w:val="Heading4"/>
      </w:pPr>
      <w:r>
        <w:t xml:space="preserve">Distinction Between 30 km Orbital Crustal Proxy and Surface Exposure</w:t>
      </w:r>
    </w:p>
    <w:p>
      <w:pPr>
        <w:pStyle w:val="FirstParagraph"/>
      </w:pPr>
      <w:r>
        <w:t xml:space="preserve">It is vital to emphasize that</w:t>
      </w:r>
      <w:r>
        <w:t xml:space="preserve"> </w:t>
      </w:r>
      <w:r>
        <w:rPr>
          <w:b/>
          <w:bCs/>
        </w:rPr>
        <w:t xml:space="preserve">the values in Table 1 and Figure 1 represent the crustal remanent magnetic component at a 30 km orbital altitude, serving as a relative geophysical ranking proxy rather than an in situ biological exposure claim inside a growth cassette</w:t>
      </w:r>
      <w:r>
        <w:t xml:space="preserve">. The total physical magnetic vector</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oMath>
      <w:r>
        <w:t xml:space="preserve"> </w:t>
      </w:r>
      <w:r>
        <w:t xml:space="preserve">experienced by a plant canopy on the lunar surface is governed by vector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r>
            <m:rPr>
              <m:sty m:val="bi"/>
            </m:rPr>
            <m:t>x</m:t>
          </m:r>
          <m:r>
            <m:rPr>
              <m:sty m:val="p"/>
            </m:rPr>
            <m:t>)</m:t>
          </m:r>
          <m:r>
            <m:rPr>
              <m:sty m:val="p"/>
            </m:rPr>
            <m:t>+</m:t>
          </m:r>
          <m:sSub>
            <m:e>
              <m:r>
                <m:rPr>
                  <m:sty m:val="bi"/>
                </m:rPr>
                <m:t>B</m:t>
              </m:r>
            </m:e>
            <m:sub>
              <m:r>
                <m:rPr>
                  <m:nor/>
                  <m:sty m:val="p"/>
                </m:rPr>
                <m:t>ext</m:t>
              </m:r>
            </m:sub>
          </m:sSub>
          <m:r>
            <m:rPr>
              <m:sty m:val="p"/>
            </m:rPr>
            <m:t>(</m:t>
          </m:r>
          <m:r>
            <m:t>t</m:t>
          </m:r>
          <m:r>
            <m:rPr>
              <m:sty m:val="p"/>
            </m:rPr>
            <m:t>)</m:t>
          </m:r>
          <m:r>
            <m:rPr>
              <m:sty m:val="p"/>
            </m:rPr>
            <m:t>+</m:t>
          </m:r>
          <m:sSub>
            <m:e>
              <m:r>
                <m:rPr>
                  <m:sty m:val="bi"/>
                </m:rPr>
                <m:t>B</m:t>
              </m:r>
            </m:e>
            <m:sub>
              <m:r>
                <m:rPr>
                  <m:nor/>
                  <m:sty m:val="p"/>
                </m:rPr>
                <m:t>lander</m:t>
              </m:r>
            </m:sub>
          </m:sSub>
          <m:r>
            <m:rPr>
              <m:sty m:val="p"/>
            </m:rPr>
            <m:t>(</m:t>
          </m:r>
          <m:r>
            <m:rPr>
              <m:sty m:val="bi"/>
            </m:rPr>
            <m:t>x</m:t>
          </m:r>
          <m:r>
            <m:rPr>
              <m:sty m:val="p"/>
            </m:rPr>
            <m:t>)</m:t>
          </m:r>
          <m:r>
            <m:rPr>
              <m:sty m:val="p"/>
            </m:rPr>
            <m:t>+</m:t>
          </m:r>
          <m:sSub>
            <m:e>
              <m:r>
                <m:rPr>
                  <m:sty m:val="bi"/>
                </m:rPr>
                <m:t>B</m:t>
              </m:r>
            </m:e>
            <m:sub>
              <m:r>
                <m:rPr>
                  <m:nor/>
                  <m:sty m:val="p"/>
                </m:rPr>
                <m:t>payload</m:t>
              </m:r>
            </m:sub>
          </m:sSub>
          <m:r>
            <m:rPr>
              <m:sty m:val="p"/>
            </m:rPr>
            <m:t>(</m:t>
          </m:r>
          <m:r>
            <m:t>t</m:t>
          </m:r>
          <m:r>
            <m:rPr>
              <m:sty m:val="p"/>
            </m:rPr>
            <m:t>,</m:t>
          </m:r>
          <m:r>
            <m:rPr>
              <m:sty m:val="bi"/>
            </m:rPr>
            <m:t>x</m:t>
          </m:r>
          <m:r>
            <m:rPr>
              <m:sty m:val="p"/>
            </m:rPr>
            <m:t>)</m:t>
          </m:r>
          <m:r>
            <m:rPr>
              <m:sty m:val="p"/>
            </m:rPr>
            <m:t>+</m:t>
          </m:r>
          <m:sSub>
            <m:e>
              <m:r>
                <m:rPr>
                  <m:sty m:val="bi"/>
                </m:rPr>
                <m:t>B</m:t>
              </m:r>
            </m:e>
            <m:sub>
              <m:r>
                <m:rPr>
                  <m:nor/>
                  <m:sty m:val="p"/>
                </m:rPr>
                <m:t>control</m:t>
              </m:r>
            </m:sub>
          </m:sSub>
          <m:r>
            <m:rPr>
              <m:sty m:val="p"/>
            </m:rPr>
            <m:t>(</m:t>
          </m:r>
          <m:r>
            <m:t>t</m:t>
          </m:r>
          <m:r>
            <m:rPr>
              <m:sty m:val="p"/>
            </m:rPr>
            <m:t>,</m:t>
          </m:r>
          <m:r>
            <m:rPr>
              <m:sty m:val="bi"/>
            </m:rPr>
            <m:t>x</m:t>
          </m:r>
          <m:r>
            <m:rPr>
              <m:sty m:val="p"/>
            </m:rPr>
            <m:t>)</m:t>
          </m:r>
        </m:oMath>
      </m:oMathPara>
    </w:p>
    <w:p>
      <w:pPr>
        <w:pStyle w:val="FirstParagraph"/>
      </w:pPr>
      <w:r>
        <w:t xml:space="preserve">where:</w:t>
      </w:r>
      <w:r>
        <w:t xml:space="preserve"> </w:t>
      </w:r>
      <w:r>
        <w:t xml:space="preserve">-</w:t>
      </w:r>
      <w:r>
        <w:t xml:space="preserve"> </w:t>
      </w:r>
      <m:oMath>
        <m:sSub>
          <m:e>
            <m:r>
              <m:rPr>
                <m:sty m:val="bi"/>
              </m:rPr>
              <m:t>B</m:t>
            </m:r>
          </m:e>
          <m:sub>
            <m:r>
              <m:rPr>
                <m:nor/>
                <m:sty m:val="p"/>
              </m:rPr>
              <m:t>crust</m:t>
            </m:r>
          </m:sub>
        </m:sSub>
        <m:r>
          <m:rPr>
            <m:sty m:val="p"/>
          </m:rPr>
          <m:t>(</m:t>
        </m:r>
        <m:r>
          <m:rPr>
            <m:sty m:val="bi"/>
          </m:rPr>
          <m:t>x</m:t>
        </m:r>
        <m:r>
          <m:rPr>
            <m:sty m:val="p"/>
          </m:rPr>
          <m:t>)</m:t>
        </m:r>
      </m:oMath>
      <w:r>
        <w:t xml:space="preserve"> </w:t>
      </w:r>
      <w:r>
        <w:t xml:space="preserve">is the local crustal remanence. Because potential fields attenuate with altitude following</w:t>
      </w:r>
      <w:r>
        <w:t xml:space="preserve"> </w:t>
      </w:r>
      <m:oMath>
        <m:r>
          <m:rPr>
            <m:sty m:val="p"/>
          </m:rPr>
          <m:t>(</m:t>
        </m:r>
        <m:r>
          <m:t>R</m:t>
        </m:r>
        <m:r>
          <m:rPr>
            <m:sty m:val="p"/>
          </m:rPr>
          <m:t>/</m:t>
        </m:r>
        <m:r>
          <m:rPr>
            <m:sty m:val="p"/>
          </m:rPr>
          <m:t>(</m:t>
        </m:r>
        <m:r>
          <m:t>R</m:t>
        </m:r>
        <m:r>
          <m:rPr>
            <m:sty m:val="p"/>
          </m:rPr>
          <m:t>+</m:t>
        </m:r>
        <m:r>
          <m:t>h</m:t>
        </m:r>
        <m:r>
          <m:rPr>
            <m:sty m:val="p"/>
          </m:rPr>
          <m:t>)</m:t>
        </m:r>
        <m:sSup>
          <m:e>
            <m:r>
              <m:rPr>
                <m:sty m:val="p"/>
              </m:rPr>
              <m:t>)</m:t>
            </m:r>
          </m:e>
          <m:sup>
            <m:r>
              <m:t>l</m:t>
            </m:r>
            <m:r>
              <m:rPr>
                <m:sty m:val="p"/>
              </m:rPr>
              <m:t>+</m:t>
            </m:r>
            <m:r>
              <m:t>2</m:t>
            </m:r>
          </m:sup>
        </m:sSup>
      </m:oMath>
      <w:r>
        <w:t xml:space="preserve"> </w:t>
      </w:r>
      <w:r>
        <w:t xml:space="preserve">for spherical harmonic degree</w:t>
      </w:r>
      <w:r>
        <w:t xml:space="preserve"> </w:t>
      </w:r>
      <m:oMath>
        <m:r>
          <m:t>l</m:t>
        </m:r>
      </m:oMath>
      <w:r>
        <w:t xml:space="preserve">, downward continuation to the surface enhances high-wavenumber crustal anomalies. However, given that the South Polar crust consists predominantly of weakly magnetized feldspathic anorthosite terranes, conservative potential-field scaling models bound near-surface crustal fields at candidate sites to</w:t>
      </w:r>
      <w:r>
        <w:t xml:space="preserve"> </w:t>
      </w:r>
      <m:oMath>
        <m:r>
          <m:rPr>
            <m:sty m:val="p"/>
          </m:rPr>
          <m:t>≲</m:t>
        </m:r>
        <m:r>
          <m:t>2</m:t>
        </m:r>
        <m:r>
          <m:rPr>
            <m:nor/>
            <m:sty m:val="p"/>
          </m:rPr>
          <m:t>–</m:t>
        </m:r>
        <m:r>
          <m:t>4</m:t>
        </m:r>
        <m:r>
          <m:rPr>
            <m:nor/>
            <m:sty m:val="p"/>
          </m:rPr>
          <m:t> nT</m:t>
        </m:r>
      </m:oMath>
      <w:r>
        <w:t xml:space="preserve"> </w:t>
      </w:r>
      <w:r>
        <w:t xml:space="preserve">[18].</w:t>
      </w:r>
      <w:r>
        <w:t xml:space="preserve"> </w:t>
      </w:r>
      <w:r>
        <w:t xml:space="preserve">-</w:t>
      </w:r>
      <w:r>
        <w:t xml:space="preserve"> </w:t>
      </w:r>
      <m:oMath>
        <m:sSub>
          <m:e>
            <m:r>
              <m:rPr>
                <m:sty m:val="bi"/>
              </m:rPr>
              <m:t>B</m:t>
            </m:r>
          </m:e>
          <m:sub>
            <m:r>
              <m:rPr>
                <m:nor/>
                <m:sty m:val="p"/>
              </m:rPr>
              <m:t>ext</m:t>
            </m:r>
          </m:sub>
        </m:sSub>
        <m:r>
          <m:rPr>
            <m:sty m:val="p"/>
          </m:rPr>
          <m:t>(</m:t>
        </m:r>
        <m:r>
          <m:t>t</m:t>
        </m:r>
        <m:r>
          <m:rPr>
            <m:sty m:val="p"/>
          </m:rPr>
          <m:t>)</m:t>
        </m:r>
      </m:oMath>
      <w:r>
        <w:t xml:space="preserve"> </w:t>
      </w:r>
      <w:r>
        <w:t xml:space="preserve">represents time-varying external fields, primarily the solar wind Interplanetary Magnetic Field (</w:t>
      </w:r>
      <m:oMath>
        <m:r>
          <m:t>1</m:t>
        </m:r>
        <m:r>
          <m:rPr>
            <m:nor/>
            <m:sty m:val="p"/>
          </m:rPr>
          <m:t>–</m:t>
        </m:r>
        <m:r>
          <m:t>5</m:t>
        </m:r>
        <m:r>
          <m:rPr>
            <m:nor/>
            <m:sty m:val="p"/>
          </m:rPr>
          <m:t> nT</m:t>
        </m:r>
      </m:oMath>
      <w:r>
        <w:t xml:space="preserve">) and terrestrial magnetotail lobe passes (</w:t>
      </w:r>
      <m:oMath>
        <m:r>
          <m:rPr>
            <m:sty m:val="p"/>
          </m:rPr>
          <m:t>&lt;</m:t>
        </m:r>
        <m:r>
          <m:t>0.1</m:t>
        </m:r>
        <m:r>
          <m:rPr>
            <m:nor/>
            <m:sty m:val="p"/>
          </m:rPr>
          <m:t>–</m:t>
        </m:r>
        <m:r>
          <m:t>0.5</m:t>
        </m:r>
        <m:r>
          <m:rPr>
            <m:nor/>
            <m:sty m:val="p"/>
          </m:rPr>
          <m:t> nT</m:t>
        </m:r>
      </m:oMath>
      <w:r>
        <w:t xml:space="preserve">) [14,15].</w:t>
      </w:r>
      <w:r>
        <w:t xml:space="preserve"> </w:t>
      </w:r>
      <w:r>
        <w:t xml:space="preserve">-</w:t>
      </w:r>
      <w:r>
        <w:t xml:space="preserve"> </w:t>
      </w:r>
      <m:oMath>
        <m:sSub>
          <m:e>
            <m:r>
              <m:rPr>
                <m:sty m:val="bi"/>
              </m:rPr>
              <m:t>B</m:t>
            </m:r>
          </m:e>
          <m:sub>
            <m:r>
              <m:rPr>
                <m:nor/>
                <m:sty m:val="p"/>
              </m:rPr>
              <m:t>lander</m:t>
            </m:r>
          </m:sub>
        </m:sSub>
        <m:r>
          <m:rPr>
            <m:sty m:val="p"/>
          </m:rPr>
          <m:t>(</m:t>
        </m:r>
        <m:r>
          <m:rPr>
            <m:sty m:val="bi"/>
          </m:rPr>
          <m:t>x</m:t>
        </m:r>
        <m:r>
          <m:rPr>
            <m:sty m:val="p"/>
          </m:rPr>
          <m:t>)</m:t>
        </m:r>
      </m:oMath>
      <w:r>
        <w:t xml:space="preserve"> </w:t>
      </w:r>
      <w:r>
        <w:t xml:space="preserve">is the stray DC field from lander battery buses, structural ferromagnetic frames, and power electronics (</w:t>
      </w:r>
      <m:oMath>
        <m:r>
          <m:t>50</m:t>
        </m:r>
        <m:r>
          <m:rPr>
            <m:nor/>
            <m:sty m:val="p"/>
          </m:rPr>
          <m:t>–</m:t>
        </m:r>
        <m:r>
          <m:t>500</m:t>
        </m:r>
        <m:r>
          <m:t> </m:t>
        </m:r>
        <m:r>
          <m:t>μ</m:t>
        </m:r>
        <m:r>
          <m:rPr>
            <m:nor/>
            <m:sty m:val="p"/>
          </m:rPr>
          <m:t>T</m:t>
        </m:r>
      </m:oMath>
      <w:r>
        <w:t xml:space="preserve">).</w:t>
      </w:r>
      <w:r>
        <w:t xml:space="preserve"> </w:t>
      </w:r>
      <w:r>
        <w:t xml:space="preserve">-</w:t>
      </w:r>
      <w:r>
        <w:t xml:space="preserve"> </w:t>
      </w:r>
      <m:oMath>
        <m:sSub>
          <m:e>
            <m:r>
              <m:rPr>
                <m:sty m:val="bi"/>
              </m:rPr>
              <m:t>B</m:t>
            </m:r>
          </m:e>
          <m:sub>
            <m:r>
              <m:rPr>
                <m:nor/>
                <m:sty m:val="p"/>
              </m:rPr>
              <m:t>payload</m:t>
            </m:r>
          </m:sub>
        </m:sSub>
        <m:r>
          <m:rPr>
            <m:sty m:val="p"/>
          </m:rPr>
          <m:t>(</m:t>
        </m:r>
        <m:r>
          <m:t>t</m:t>
        </m:r>
        <m:r>
          <m:rPr>
            <m:sty m:val="p"/>
          </m:rPr>
          <m:t>,</m:t>
        </m:r>
        <m:r>
          <m:rPr>
            <m:sty m:val="bi"/>
          </m:rPr>
          <m:t>x</m:t>
        </m:r>
        <m:r>
          <m:rPr>
            <m:sty m:val="p"/>
          </m:rPr>
          <m:t>)</m:t>
        </m:r>
      </m:oMath>
      <w:r>
        <w:t xml:space="preserve"> </w:t>
      </w:r>
      <w:r>
        <w:t xml:space="preserve">represents internal payload-induced fields, comprising static DC offsets (</w:t>
      </w:r>
      <m:oMath>
        <m:r>
          <m:t>2</m:t>
        </m:r>
        <m:r>
          <m:rPr>
            <m:nor/>
            <m:sty m:val="p"/>
          </m:rPr>
          <m:t>–</m:t>
        </m:r>
        <m:r>
          <m:t>48</m:t>
        </m:r>
        <m:r>
          <m:t> </m:t>
        </m:r>
        <m:r>
          <m:t>μ</m:t>
        </m:r>
        <m:r>
          <m:rPr>
            <m:nor/>
            <m:sty m:val="p"/>
          </m:rPr>
          <m:t>T</m:t>
        </m:r>
      </m:oMath>
      <w:r>
        <w:t xml:space="preserve">) from LED arrays and heaters, alongside low-frequency AC ripple (</w:t>
      </w:r>
      <m:oMath>
        <m:r>
          <m:t>15</m:t>
        </m:r>
        <m:r>
          <m:rPr>
            <m:nor/>
            <m:sty m:val="p"/>
          </m:rPr>
          <m:t>–</m:t>
        </m:r>
        <m:r>
          <m:t>50</m:t>
        </m:r>
        <m:sSub>
          <m:e>
            <m:r>
              <m:rPr>
                <m:nor/>
                <m:sty m:val="p"/>
              </m:rPr>
              <m:t> nT</m:t>
            </m:r>
          </m:e>
          <m:sub>
            <m:r>
              <m:rPr>
                <m:nor/>
                <m:sty m:val="p"/>
              </m:rPr>
              <m:t>RMS</m:t>
            </m:r>
          </m:sub>
        </m:sSub>
      </m:oMath>
      <w:r>
        <w:t xml:space="preserve"> </w:t>
      </w:r>
      <w:r>
        <w:t xml:space="preserve">at 1 kHz PWM switching frequencies).</w:t>
      </w:r>
      <w:r>
        <w:t xml:space="preserve"> </w:t>
      </w:r>
      <w:r>
        <w:t xml:space="preserve">-</w:t>
      </w:r>
      <w:r>
        <w:t xml:space="preserve"> </w:t>
      </w:r>
      <m:oMath>
        <m:sSub>
          <m:e>
            <m:r>
              <m:rPr>
                <m:sty m:val="bi"/>
              </m:rPr>
              <m:t>B</m:t>
            </m:r>
          </m:e>
          <m:sub>
            <m:r>
              <m:rPr>
                <m:nor/>
                <m:sty m:val="p"/>
              </m:rPr>
              <m:t>control</m:t>
            </m:r>
          </m:sub>
        </m:sSub>
        <m:r>
          <m:rPr>
            <m:sty m:val="p"/>
          </m:rPr>
          <m:t>(</m:t>
        </m:r>
        <m:r>
          <m:t>t</m:t>
        </m:r>
        <m:r>
          <m:rPr>
            <m:sty m:val="p"/>
          </m:rPr>
          <m:t>,</m:t>
        </m:r>
        <m:r>
          <m:rPr>
            <m:sty m:val="bi"/>
          </m:rPr>
          <m:t>x</m:t>
        </m:r>
        <m:r>
          <m:rPr>
            <m:sty m:val="p"/>
          </m:rPr>
          <m:t>)</m:t>
        </m:r>
      </m:oMath>
      <w:r>
        <w:t xml:space="preserve"> </w:t>
      </w:r>
      <w:r>
        <w:t xml:space="preserve">is the intentional vector generated by active compensation coils or Permalloy shielding, if present.</w:t>
      </w:r>
    </w:p>
    <w:bookmarkEnd w:id="16"/>
    <w:bookmarkStart w:id="17" w:name="X4228927c2368d3d84b5b12b558f3461639716c9"/>
    <w:p>
      <w:pPr>
        <w:pStyle w:val="Heading4"/>
      </w:pPr>
      <w:r>
        <w:t xml:space="preserve">Spatial Gradients: Crustal Smoothness vs. Payload Heterogeneity</w:t>
      </w:r>
    </w:p>
    <w:p>
      <w:pPr>
        <w:pStyle w:val="FirstParagraph"/>
      </w:pPr>
      <w:r>
        <w:t xml:space="preserve">A critical insight emerges when comparing spatial magnetic gradients over a</w:t>
      </w:r>
      <w:r>
        <w:t xml:space="preserve"> </w:t>
      </w:r>
      <m:oMath>
        <m:r>
          <m:t>10</m:t>
        </m:r>
        <m:r>
          <m:rPr>
            <m:nor/>
            <m:sty m:val="p"/>
          </m:rPr>
          <m:t> cm</m:t>
        </m:r>
      </m:oMath>
      <w:r>
        <w:t xml:space="preserve"> </w:t>
      </w:r>
      <w:r>
        <w:t xml:space="preserve">seed tray or growth cassette footprint:</w:t>
      </w:r>
      <w:r>
        <w:t xml:space="preserve"> </w:t>
      </w:r>
      <w:r>
        <w:t xml:space="preserve">- Natural crustal fields, derived from deeply buried remanent sources (scale depths</w:t>
      </w:r>
      <w:r>
        <w:t xml:space="preserve"> </w:t>
      </w:r>
      <m:oMath>
        <m:r>
          <m:rPr>
            <m:sty m:val="p"/>
          </m:rPr>
          <m:t>&gt;</m:t>
        </m:r>
        <m:r>
          <m:t>10</m:t>
        </m:r>
        <m:r>
          <m:rPr>
            <m:nor/>
            <m:sty m:val="p"/>
          </m:rPr>
          <m:t> km</m:t>
        </m:r>
      </m:oMath>
      <w:r>
        <w:t xml:space="preserve">), are virtually uniform over biological cassettes:</w:t>
      </w:r>
      <w:r>
        <w:t xml:space="preserve"> </w:t>
      </w:r>
      <m:oMath>
        <m:r>
          <m:rPr>
            <m:sty m:val="p"/>
          </m:rPr>
          <m:t>|</m:t>
        </m:r>
        <m:r>
          <m:rPr>
            <m:sty m:val="p"/>
          </m:rPr>
          <m:t>∇</m:t>
        </m:r>
        <m:sSub>
          <m:e>
            <m:r>
              <m:rPr>
                <m:sty m:val="bi"/>
              </m:rPr>
              <m:t>B</m:t>
            </m:r>
          </m:e>
          <m:sub>
            <m:r>
              <m:rPr>
                <m:nor/>
                <m:sty m:val="p"/>
              </m:rPr>
              <m:t>crust</m:t>
            </m:r>
          </m:sub>
        </m:sSub>
        <m:r>
          <m:rPr>
            <m:sty m:val="p"/>
          </m:rPr>
          <m:t>|</m:t>
        </m:r>
        <m:r>
          <m:rPr>
            <m:sty m:val="p"/>
          </m:rPr>
          <m:t>≪</m:t>
        </m:r>
        <m:sSup>
          <m:e>
            <m:r>
              <m:t>10</m:t>
            </m:r>
          </m:e>
          <m:sup>
            <m:r>
              <m:rPr>
                <m:sty m:val="p"/>
              </m:rPr>
              <m:t>−</m:t>
            </m:r>
            <m:r>
              <m:t>4</m:t>
            </m:r>
          </m:sup>
        </m:sSup>
        <m:r>
          <m:rPr>
            <m:nor/>
            <m:sty m:val="p"/>
          </m:rPr>
          <m:t> nT/cm</m:t>
        </m:r>
      </m:oMath>
      <w:r>
        <w:t xml:space="preserve"> </w:t>
      </w:r>
      <w:r>
        <w:t xml:space="preserve">(</w:t>
      </w:r>
      <m:oMath>
        <m:r>
          <m:rPr>
            <m:sty m:val="p"/>
          </m:rPr>
          <m:t>&lt;</m:t>
        </m:r>
        <m:sSup>
          <m:e>
            <m:r>
              <m:t>10</m:t>
            </m:r>
          </m:e>
          <m:sup>
            <m:r>
              <m:rPr>
                <m:sty m:val="p"/>
              </m:rPr>
              <m:t>−</m:t>
            </m:r>
            <m:r>
              <m:t>5</m:t>
            </m:r>
          </m:sup>
        </m:sSup>
        <m:r>
          <m:rPr>
            <m:nor/>
            <m:sty m:val="p"/>
          </m:rPr>
          <m:t> nT/mm</m:t>
        </m:r>
      </m:oMath>
      <w:r>
        <w:t xml:space="preserve">).</w:t>
      </w:r>
      <w:r>
        <w:t xml:space="preserve"> </w:t>
      </w:r>
      <w:r>
        <w:t xml:space="preserve">- In contrast, unshielded payload electronics, wire traces, and pump coils generate steep local field gradients:</w:t>
      </w:r>
      <w:r>
        <w:t xml:space="preserve"> </w:t>
      </w:r>
      <m:oMath>
        <m:r>
          <m:rPr>
            <m:sty m:val="p"/>
          </m:rPr>
          <m:t>|</m:t>
        </m:r>
        <m:r>
          <m:rPr>
            <m:sty m:val="p"/>
          </m:rPr>
          <m:t>∇</m:t>
        </m:r>
        <m:sSub>
          <m:e>
            <m:r>
              <m:rPr>
                <m:sty m:val="bi"/>
              </m:rPr>
              <m:t>B</m:t>
            </m:r>
          </m:e>
          <m:sub>
            <m:r>
              <m:rPr>
                <m:nor/>
                <m:sty m:val="p"/>
              </m:rPr>
              <m:t>payload</m:t>
            </m:r>
          </m:sub>
        </m:sSub>
        <m:r>
          <m:rPr>
            <m:sty m:val="p"/>
          </m:rPr>
          <m:t>|</m:t>
        </m:r>
        <m:r>
          <m:rPr>
            <m:sty m:val="p"/>
          </m:rPr>
          <m:t>∼</m:t>
        </m:r>
        <m:r>
          <m:t>1</m:t>
        </m:r>
        <m:r>
          <m:rPr>
            <m:nor/>
            <m:sty m:val="p"/>
          </m:rPr>
          <m:t> to </m:t>
        </m:r>
        <m:r>
          <m:t>50</m:t>
        </m:r>
        <m:r>
          <m:rPr>
            <m:nor/>
            <m:sty m:val="p"/>
          </m:rPr>
          <m:t> nT/cm</m:t>
        </m:r>
      </m:oMath>
      <w:r>
        <w:t xml:space="preserve"> </w:t>
      </w:r>
      <w:r>
        <w:t xml:space="preserve">(</w:t>
      </w:r>
      <m:oMath>
        <m:r>
          <m:t>0.1</m:t>
        </m:r>
        <m:r>
          <m:rPr>
            <m:nor/>
            <m:sty m:val="p"/>
          </m:rPr>
          <m:t> to </m:t>
        </m:r>
        <m:r>
          <m:t>5</m:t>
        </m:r>
        <m:r>
          <m:t> </m:t>
        </m:r>
        <m:r>
          <m:t>μ</m:t>
        </m:r>
        <m:r>
          <m:rPr>
            <m:nor/>
            <m:sty m:val="p"/>
          </m:rPr>
          <m:t>T/cm</m:t>
        </m:r>
      </m:oMath>
      <w:r>
        <w:t xml:space="preserve"> </w:t>
      </w:r>
      <w:r>
        <w:t xml:space="preserve">in close proximity to power harnesses).</w:t>
      </w:r>
    </w:p>
    <w:p>
      <w:pPr>
        <w:pStyle w:val="BodyText"/>
      </w:pPr>
      <w:r>
        <w:t xml:space="preserve">Consequently, seedlings across a single</w:t>
      </w:r>
      <w:r>
        <w:t xml:space="preserve"> </w:t>
      </w:r>
      <m:oMath>
        <m:r>
          <m:t>10</m:t>
        </m:r>
        <m:r>
          <m:rPr>
            <m:nor/>
            <m:sty m:val="p"/>
          </m:rPr>
          <m:t> cm</m:t>
        </m:r>
      </m:oMath>
      <w:r>
        <w:t xml:space="preserve"> </w:t>
      </w:r>
      <w:r>
        <w:t xml:space="preserve">tray can experience order-of-magnitude differences in magnetic exposure. This steep spatial gradient provides the core engineering motivation for implementing multi-sensor canopy-level magnetometry rather than relying on distant spacecraft bus telemetry [11,20].</w:t>
      </w:r>
    </w:p>
    <w:p>
      <w:r>
        <w:pict>
          <v:rect style="width:0;height:1.5pt" o:hralign="center" o:hrstd="t" o:hr="t"/>
        </w:pict>
      </w:r>
    </w:p>
    <w:bookmarkEnd w:id="17"/>
    <w:bookmarkEnd w:id="18"/>
    <w:bookmarkEnd w:id="19"/>
    <w:bookmarkStart w:id="26" w:name="Xe19f638724d3b93256b2e1643d719abff9afdfc"/>
    <w:p>
      <w:pPr>
        <w:pStyle w:val="Heading2"/>
      </w:pPr>
      <w:r>
        <w:t xml:space="preserve">2. Integrative Review Methodology, Computational Toolkit, and Evidence Synthesis Framework</w:t>
      </w:r>
    </w:p>
    <w:bookmarkStart w:id="20" w:name="X99de6057de5b589f321e37af54d1d923cf3cff2"/>
    <w:p>
      <w:pPr>
        <w:pStyle w:val="Heading3"/>
      </w:pPr>
      <w:r>
        <w:t xml:space="preserve">2.1 Review Typology, SANRA Alignment, and Core Research Questions</w:t>
      </w:r>
    </w:p>
    <w:p>
      <w:pPr>
        <w:pStyle w:val="FirstParagraph"/>
      </w:pPr>
      <w:r>
        <w:t xml:space="preserve">Following the methodological principles established by Whittemore &amp; Knafl [81], the Scale for the Assessment of Narrative Review Articles (SANRA) guidelines [82], and recent biomedical synthesis precedents [83], this study is structured as an</w:t>
      </w:r>
      <w:r>
        <w:t xml:space="preserve"> </w:t>
      </w:r>
      <w:r>
        <w:rPr>
          <w:b/>
          <w:bCs/>
        </w:rPr>
        <w:t xml:space="preserve">Integrative Review</w:t>
      </w:r>
      <w:r>
        <w:t xml:space="preserve">. Unlike traditional narrative overviews—which lack explicit search architectures—or narrow systematic reviews that restrict synthesis to homogeneous clinical trial cohorts, the integrative review methodology is explicitly built to synthesize evidence across vastly disparate scales: bridging macroscopic planetary geophysics (</w:t>
      </w:r>
      <m:oMath>
        <m:sSup>
          <m:e>
            <m:r>
              <m:t>10</m:t>
            </m:r>
          </m:e>
          <m:sup>
            <m:r>
              <m:t>6</m:t>
            </m:r>
          </m:sup>
        </m:sSup>
        <m:r>
          <m:rPr>
            <m:nor/>
            <m:sty m:val="p"/>
          </m:rPr>
          <m:t> m</m:t>
        </m:r>
      </m:oMath>
      <w:r>
        <w:t xml:space="preserve">) with microscopic seed developmental physiology (</w:t>
      </w:r>
      <m:oMath>
        <m:sSup>
          <m:e>
            <m:r>
              <m:t>10</m:t>
            </m:r>
          </m:e>
          <m:sup>
            <m:r>
              <m:rPr>
                <m:sty m:val="p"/>
              </m:rPr>
              <m:t>−</m:t>
            </m:r>
            <m:r>
              <m:t>3</m:t>
            </m:r>
          </m:sup>
        </m:sSup>
        <m:r>
          <m:rPr>
            <m:nor/>
            <m:sty m:val="p"/>
          </m:rPr>
          <m:t> m</m:t>
        </m:r>
      </m:oMath>
      <w:r>
        <w:t xml:space="preserve">), quantum mechanical radical-pair spin dynamics (</w:t>
      </w:r>
      <m:oMath>
        <m:sSup>
          <m:e>
            <m:r>
              <m:t>10</m:t>
            </m:r>
          </m:e>
          <m:sup>
            <m:r>
              <m:rPr>
                <m:sty m:val="p"/>
              </m:rPr>
              <m:t>−</m:t>
            </m:r>
            <m:r>
              <m:t>10</m:t>
            </m:r>
          </m:sup>
        </m:sSup>
        <m:r>
          <m:rPr>
            <m:nor/>
            <m:sty m:val="p"/>
          </m:rPr>
          <m:t> m</m:t>
        </m:r>
      </m:oMath>
      <w:r>
        <w:t xml:space="preserve">), and operational spaceflight payload engineering (Figure 2a).</w:t>
      </w:r>
    </w:p>
    <w:p>
      <w:pPr>
        <w:pStyle w:val="BodyText"/>
      </w:pPr>
      <w:r>
        <w:t xml:space="preserve">This review addresses four formal research questions (RQs):</w:t>
      </w:r>
      <w:r>
        <w:t xml:space="preserve"> </w:t>
      </w:r>
      <w:r>
        <w:t xml:space="preserve">-</w:t>
      </w:r>
      <w:r>
        <w:t xml:space="preserve"> </w:t>
      </w:r>
      <w:r>
        <w:rPr>
          <w:b/>
          <w:bCs/>
        </w:rPr>
        <w:t xml:space="preserve">RQ1 (Planetary Field &amp; Superposition Baseline):</w:t>
      </w:r>
      <w:r>
        <w:t xml:space="preserve"> </w:t>
      </w:r>
      <w:r>
        <w:rPr>
          <w:i/>
          <w:iCs/>
        </w:rPr>
        <w:t xml:space="preserve">What is the true physical magnetic vector magnitude and spatial structure across candidate Artemis landing regions, and how does vector superposition with lander and payload subsystems alter the biological growth environment?</w:t>
      </w:r>
      <w:r>
        <w:t xml:space="preserve"> </w:t>
      </w:r>
      <w:r>
        <w:t xml:space="preserve">-</w:t>
      </w:r>
      <w:r>
        <w:t xml:space="preserve"> </w:t>
      </w:r>
      <w:r>
        <w:rPr>
          <w:b/>
          <w:bCs/>
        </w:rPr>
        <w:t xml:space="preserve">RQ2 (Early Seedling Developmental Kinetics):</w:t>
      </w:r>
      <w:r>
        <w:t xml:space="preserve"> </w:t>
      </w:r>
      <w:r>
        <w:rPr>
          <w:i/>
          <w:iCs/>
        </w:rPr>
        <w:t xml:space="preserve">What does the empirical space biology and terrestrial analogue literature demonstrate regarding plant germination capacity, emergence velocity (</w:t>
      </w:r>
      <m:oMath>
        <m:sSub>
          <m:e>
            <m:r>
              <m:t>t</m:t>
            </m:r>
          </m:e>
          <m:sub>
            <m:r>
              <m:t>50</m:t>
            </m:r>
          </m:sub>
        </m:sSub>
      </m:oMath>
      <w:r>
        <w:rPr>
          <w:i/>
          <w:iCs/>
        </w:rPr>
        <w:t xml:space="preserve">), early biomass accumulation, and plastid greening during the foundational first five days (0–120 h post-imbibition)?</w:t>
      </w:r>
      <w:r>
        <w:t xml:space="preserve"> </w:t>
      </w:r>
      <w:r>
        <w:t xml:space="preserve">-</w:t>
      </w:r>
      <w:r>
        <w:t xml:space="preserve"> </w:t>
      </w:r>
      <w:r>
        <w:rPr>
          <w:b/>
          <w:bCs/>
        </w:rPr>
        <w:t xml:space="preserve">RQ3 (Quantum &amp; Bioenergetic Mechanisms):</w:t>
      </w:r>
      <w:r>
        <w:t xml:space="preserve"> </w:t>
      </w:r>
      <w:r>
        <w:rPr>
          <w:i/>
          <w:iCs/>
        </w:rPr>
        <w:t xml:space="preserve">What are the primary quantum biological (radical pair spin dynamics in cryptochromes) and bioenergetic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i/>
          <w:iCs/>
        </w:rPr>
        <w:t xml:space="preserve"> </w:t>
      </w:r>
      <w:r>
        <w:rPr>
          <w:i/>
          <w:iCs/>
        </w:rPr>
        <w:t xml:space="preserve">mitochondrial/chloroplastic electron transport) mechanisms mediating these observed phenotypic penalties?</w:t>
      </w:r>
      <w:r>
        <w:t xml:space="preserve"> </w:t>
      </w:r>
      <w:r>
        <w:t xml:space="preserve">-</w:t>
      </w:r>
      <w:r>
        <w:t xml:space="preserve"> </w:t>
      </w:r>
      <w:r>
        <w:rPr>
          <w:b/>
          <w:bCs/>
        </w:rPr>
        <w:t xml:space="preserve">RQ4 (Translational Simulation &amp; Flight Risk Retirement):</w:t>
      </w:r>
      <w:r>
        <w:t xml:space="preserve"> </w:t>
      </w:r>
      <w:r>
        <w:rPr>
          <w:i/>
          <w:iCs/>
        </w:rPr>
        <w:t xml:space="preserve">What standardized ground simulation parameters, hardware self-magnetic mapping protocols, and flight instrumentation designs are required to decouple true lunar near-null magnetic effects from spacecraft electromagnetic interference and retire knowledge gaps for Artemis agriculture?</w:t>
      </w:r>
    </w:p>
    <w:bookmarkEnd w:id="20"/>
    <w:bookmarkStart w:id="21" w:name="Xd6ff7ed7da604ccee43cb28fdd63f85109e275e"/>
    <w:p>
      <w:pPr>
        <w:pStyle w:val="Heading3"/>
      </w:pPr>
      <w:r>
        <w:t xml:space="preserve">2.2 Literature Search Strategy, Language Policy, and Audit Workflow</w:t>
      </w:r>
    </w:p>
    <w:p>
      <w:pPr>
        <w:pStyle w:val="FirstParagraph"/>
      </w:pPr>
      <w:r>
        <w:t xml:space="preserve">To capture the full breadth of multi-disciplinary evidence spanning planetary geophysics, plant magnetobiology, and spaceflight bioenergetics, an auditable literature search was executed across six indexed databases and space agency repositories covering publications from 1965 to October 15, 2026: PubMed, Web of Science (WoS), Scopus, Europe PMC, the NASA Open Science Data Repository (OSDR), and the NASA Planetary Data System (PDS) / JAXA SELENE archive (Table 2).</w:t>
      </w:r>
    </w:p>
    <w:p>
      <w:pPr>
        <w:pStyle w:val="BodyText"/>
      </w:pPr>
      <w:r>
        <w:rPr>
          <w:b/>
          <w:bCs/>
        </w:rPr>
        <w:t xml:space="preserve">Table 2 | Database-specific search strategies, Boolean syntax, and retrieval metrics used in this integrative review.</w:t>
      </w:r>
      <w:r>
        <w:t xml:space="preserve"> </w:t>
      </w:r>
      <w:r>
        <w:t xml:space="preserve">Date last searched: October 15, 2026 across all databases. Dual independent screening protocol achieved near-perfect inter-rater concordance (</w:t>
      </w:r>
      <m:oMath>
        <m:r>
          <m:rPr>
            <m:nor/>
            <m:sty m:val="p"/>
          </m:rPr>
          <m:t>Cohen’s </m:t>
        </m:r>
        <m:r>
          <m:t>κ</m:t>
        </m:r>
        <m:r>
          <m:rPr>
            <m:sty m:val="p"/>
          </m:rPr>
          <m:t>=</m:t>
        </m:r>
        <m:r>
          <m:t>0.88</m:t>
        </m:r>
      </m:oMath>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Database / Repository</w:t>
            </w:r>
          </w:p>
        </w:tc>
        <w:tc>
          <w:tcPr/>
          <w:p>
            <w:pPr>
              <w:pStyle w:val="Compact"/>
              <w:jc w:val="left"/>
            </w:pPr>
            <w:r>
              <w:t xml:space="preserve">Exact Search Syntax &amp; Boolean Operators</w:t>
            </w:r>
          </w:p>
        </w:tc>
        <w:tc>
          <w:tcPr/>
          <w:p>
            <w:pPr>
              <w:pStyle w:val="Compact"/>
              <w:jc w:val="center"/>
            </w:pPr>
            <w:r>
              <w:t xml:space="preserve">Coverage Window</w:t>
            </w:r>
          </w:p>
        </w:tc>
        <w:tc>
          <w:tcPr/>
          <w:p>
            <w:pPr>
              <w:pStyle w:val="Compact"/>
              <w:jc w:val="center"/>
            </w:pPr>
            <w:r>
              <w:t xml:space="preserve">Raw Records Retrieved</w:t>
            </w:r>
          </w:p>
        </w:tc>
        <w:tc>
          <w:tcPr/>
          <w:p>
            <w:pPr>
              <w:pStyle w:val="Compact"/>
              <w:jc w:val="center"/>
            </w:pPr>
            <w:r>
              <w:t xml:space="preserve">Screened Records</w:t>
            </w:r>
          </w:p>
        </w:tc>
      </w:tr>
      <w:tr>
        <w:tc>
          <w:tcPr/>
          <w:p>
            <w:pPr>
              <w:pStyle w:val="Compact"/>
              <w:jc w:val="left"/>
            </w:pPr>
            <w:r>
              <w:rPr>
                <w:b/>
                <w:bCs/>
              </w:rPr>
              <w:t xml:space="preserve">PubMed</w:t>
            </w:r>
          </w:p>
        </w:tc>
        <w:tc>
          <w:tcPr/>
          <w:p>
            <w:pPr>
              <w:pStyle w:val="Compact"/>
              <w:jc w:val="left"/>
            </w:pPr>
            <w:r>
              <w:rPr>
                <w:rStyle w:val="VerbatimChar"/>
              </w:rPr>
              <w:t xml:space="preserve">("near-null magnetic field" OR "hypomagnetic field" OR "zero magnetic field" OR "magnetic shielding") AND ("plant" OR "seedling" OR "germination" OR "Arabidopsis" OR "cryptochrome" OR "radical pair")</w:t>
            </w:r>
          </w:p>
        </w:tc>
        <w:tc>
          <w:tcPr/>
          <w:p>
            <w:pPr>
              <w:pStyle w:val="Compact"/>
              <w:jc w:val="center"/>
            </w:pPr>
            <w:r>
              <w:t xml:space="preserve">1965–2026 (Oct 15)</w:t>
            </w:r>
          </w:p>
        </w:tc>
        <w:tc>
          <w:tcPr/>
          <w:p>
            <w:pPr>
              <w:pStyle w:val="Compact"/>
              <w:jc w:val="center"/>
            </w:pPr>
            <w:r>
              <w:t xml:space="preserve">542</w:t>
            </w:r>
          </w:p>
        </w:tc>
        <w:tc>
          <w:tcPr/>
          <w:p>
            <w:pPr>
              <w:pStyle w:val="Compact"/>
              <w:jc w:val="center"/>
            </w:pPr>
            <w:r>
              <w:t xml:space="preserve">388</w:t>
            </w:r>
          </w:p>
        </w:tc>
      </w:tr>
      <w:tr>
        <w:tc>
          <w:tcPr/>
          <w:p>
            <w:pPr>
              <w:pStyle w:val="Compact"/>
              <w:jc w:val="left"/>
            </w:pPr>
            <w:r>
              <w:rPr>
                <w:b/>
                <w:bCs/>
              </w:rPr>
              <w:t xml:space="preserve">Web of Science</w:t>
            </w:r>
          </w:p>
        </w:tc>
        <w:tc>
          <w:tcPr/>
          <w:p>
            <w:pPr>
              <w:pStyle w:val="Compact"/>
              <w:jc w:val="left"/>
            </w:pPr>
            <w:r>
              <w:rPr>
                <w:rStyle w:val="VerbatimChar"/>
              </w:rPr>
              <w:t xml:space="preserve">TS=(("hypomagnetic" OR "near-null magnetic" OR "lunar magnetic field") AND ("plant growth" OR "seed germination" OR "reactive oxygen species" OR "mitochondria"))</w:t>
            </w:r>
          </w:p>
        </w:tc>
        <w:tc>
          <w:tcPr/>
          <w:p>
            <w:pPr>
              <w:pStyle w:val="Compact"/>
              <w:jc w:val="center"/>
            </w:pPr>
            <w:r>
              <w:t xml:space="preserve">1970–2026 (Oct 15)</w:t>
            </w:r>
          </w:p>
        </w:tc>
        <w:tc>
          <w:tcPr/>
          <w:p>
            <w:pPr>
              <w:pStyle w:val="Compact"/>
              <w:jc w:val="center"/>
            </w:pPr>
            <w:r>
              <w:t xml:space="preserve">418</w:t>
            </w:r>
          </w:p>
        </w:tc>
        <w:tc>
          <w:tcPr/>
          <w:p>
            <w:pPr>
              <w:pStyle w:val="Compact"/>
              <w:jc w:val="center"/>
            </w:pPr>
            <w:r>
              <w:t xml:space="preserve">276</w:t>
            </w:r>
          </w:p>
        </w:tc>
      </w:tr>
      <w:tr>
        <w:tc>
          <w:tcPr/>
          <w:p>
            <w:pPr>
              <w:pStyle w:val="Compact"/>
              <w:jc w:val="left"/>
            </w:pPr>
            <w:r>
              <w:rPr>
                <w:b/>
                <w:bCs/>
              </w:rPr>
              <w:t xml:space="preserve">Scopus &amp; Europe PMC</w:t>
            </w:r>
          </w:p>
        </w:tc>
        <w:tc>
          <w:tcPr/>
          <w:p>
            <w:pPr>
              <w:pStyle w:val="Compact"/>
              <w:jc w:val="left"/>
            </w:pPr>
            <w:r>
              <w:rPr>
                <w:rStyle w:val="VerbatimChar"/>
              </w:rPr>
              <w:t xml:space="preserve">TITLE-ABS-KEY(("lunar surface" OR "crustal magnetic") AND ("biological payload" OR "space agriculture" OR "Artemis"))</w:t>
            </w:r>
          </w:p>
        </w:tc>
        <w:tc>
          <w:tcPr/>
          <w:p>
            <w:pPr>
              <w:pStyle w:val="Compact"/>
              <w:jc w:val="center"/>
            </w:pPr>
            <w:r>
              <w:t xml:space="preserve">1969–2026 (Oct 15)</w:t>
            </w:r>
          </w:p>
        </w:tc>
        <w:tc>
          <w:tcPr/>
          <w:p>
            <w:pPr>
              <w:pStyle w:val="Compact"/>
              <w:jc w:val="center"/>
            </w:pPr>
            <w:r>
              <w:t xml:space="preserve">286</w:t>
            </w:r>
          </w:p>
        </w:tc>
        <w:tc>
          <w:tcPr/>
          <w:p>
            <w:pPr>
              <w:pStyle w:val="Compact"/>
              <w:jc w:val="center"/>
            </w:pPr>
            <w:r>
              <w:t xml:space="preserve">148</w:t>
            </w:r>
          </w:p>
        </w:tc>
      </w:tr>
      <w:tr>
        <w:tc>
          <w:tcPr/>
          <w:p>
            <w:pPr>
              <w:pStyle w:val="Compact"/>
              <w:jc w:val="left"/>
            </w:pPr>
            <w:r>
              <w:rPr>
                <w:b/>
                <w:bCs/>
              </w:rPr>
              <w:t xml:space="preserve">NASA OSDR</w:t>
            </w:r>
          </w:p>
        </w:tc>
        <w:tc>
          <w:tcPr/>
          <w:p>
            <w:pPr>
              <w:pStyle w:val="Compact"/>
              <w:jc w:val="left"/>
            </w:pPr>
            <w:r>
              <w:t xml:space="preserve">Target queries:</w:t>
            </w:r>
            <w:r>
              <w:t xml:space="preserve"> </w:t>
            </w:r>
            <w:r>
              <w:rPr>
                <w:rStyle w:val="VerbatimChar"/>
              </w:rPr>
              <w:t xml:space="preserve">Arabidopsis</w:t>
            </w:r>
            <w:r>
              <w:t xml:space="preserve">,</w:t>
            </w:r>
            <w:r>
              <w:t xml:space="preserve"> </w:t>
            </w:r>
            <w:r>
              <w:rPr>
                <w:rStyle w:val="VerbatimChar"/>
              </w:rPr>
              <w:t xml:space="preserve">seedling</w:t>
            </w:r>
            <w:r>
              <w:t xml:space="preserve">,</w:t>
            </w:r>
            <w:r>
              <w:t xml:space="preserve"> </w:t>
            </w:r>
            <w:r>
              <w:rPr>
                <w:rStyle w:val="VerbatimChar"/>
              </w:rPr>
              <w:t xml:space="preserve">germination</w:t>
            </w:r>
            <w:r>
              <w:t xml:space="preserve">,</w:t>
            </w:r>
            <w:r>
              <w:t xml:space="preserve"> </w:t>
            </w:r>
            <w:r>
              <w:rPr>
                <w:rStyle w:val="VerbatimChar"/>
              </w:rPr>
              <w:t xml:space="preserve">exploration atmosphere</w:t>
            </w:r>
            <w:r>
              <w:t xml:space="preserve">,</w:t>
            </w:r>
            <w:r>
              <w:t xml:space="preserve"> </w:t>
            </w:r>
            <w:r>
              <w:rPr>
                <w:rStyle w:val="VerbatimChar"/>
              </w:rPr>
              <w:t xml:space="preserve">radiation</w:t>
            </w:r>
            <w:r>
              <w:t xml:space="preserve">,</w:t>
            </w:r>
            <w:r>
              <w:t xml:space="preserve"> </w:t>
            </w:r>
            <w:r>
              <w:rPr>
                <w:rStyle w:val="VerbatimChar"/>
              </w:rPr>
              <w:t xml:space="preserve">microgravity</w:t>
            </w:r>
          </w:p>
        </w:tc>
        <w:tc>
          <w:tcPr/>
          <w:p>
            <w:pPr>
              <w:pStyle w:val="Compact"/>
              <w:jc w:val="center"/>
            </w:pPr>
            <w:r>
              <w:t xml:space="preserve">2000–2026 (Oct 15)</w:t>
            </w:r>
          </w:p>
        </w:tc>
        <w:tc>
          <w:tcPr/>
          <w:p>
            <w:pPr>
              <w:pStyle w:val="Compact"/>
              <w:jc w:val="center"/>
            </w:pPr>
            <w:r>
              <w:t xml:space="preserve">182</w:t>
            </w:r>
          </w:p>
        </w:tc>
        <w:tc>
          <w:tcPr/>
          <w:p>
            <w:pPr>
              <w:pStyle w:val="Compact"/>
              <w:jc w:val="center"/>
            </w:pPr>
            <w:r>
              <w:t xml:space="preserve">104</w:t>
            </w:r>
          </w:p>
        </w:tc>
      </w:tr>
      <w:tr>
        <w:tc>
          <w:tcPr/>
          <w:p>
            <w:pPr>
              <w:pStyle w:val="Compact"/>
              <w:jc w:val="left"/>
            </w:pPr>
            <w:r>
              <w:rPr>
                <w:b/>
                <w:bCs/>
              </w:rPr>
              <w:t xml:space="preserve">NASA PDS / SELENE</w:t>
            </w:r>
          </w:p>
        </w:tc>
        <w:tc>
          <w:tcPr/>
          <w:p>
            <w:pPr>
              <w:pStyle w:val="Compact"/>
              <w:jc w:val="left"/>
            </w:pPr>
            <w:r>
              <w:t xml:space="preserve">Orbital vector magnetometer records (</w:t>
            </w:r>
            <w:r>
              <w:rPr>
                <w:rStyle w:val="VerbatimChar"/>
              </w:rPr>
              <w:t xml:space="preserve">LP-MAG</w:t>
            </w:r>
            <w:r>
              <w:t xml:space="preserve">,</w:t>
            </w:r>
            <w:r>
              <w:t xml:space="preserve"> </w:t>
            </w:r>
            <w:r>
              <w:rPr>
                <w:rStyle w:val="VerbatimChar"/>
              </w:rPr>
              <w:t xml:space="preserve">Kaguya LMAG</w:t>
            </w:r>
            <w:r>
              <w:t xml:space="preserve">,</w:t>
            </w:r>
            <w:r>
              <w:t xml:space="preserve"> </w:t>
            </w:r>
            <w:r>
              <w:rPr>
                <w:rStyle w:val="VerbatimChar"/>
              </w:rPr>
              <w:t xml:space="preserve">Apollo 12/14/15/16 surface magnetometers</w:t>
            </w:r>
            <w:r>
              <w:t xml:space="preserve">)</w:t>
            </w:r>
          </w:p>
        </w:tc>
        <w:tc>
          <w:tcPr/>
          <w:p>
            <w:pPr>
              <w:pStyle w:val="Compact"/>
              <w:jc w:val="center"/>
            </w:pPr>
            <w:r>
              <w:t xml:space="preserve">1969–2026 (Oct 15)</w:t>
            </w:r>
          </w:p>
        </w:tc>
        <w:tc>
          <w:tcPr/>
          <w:p>
            <w:pPr>
              <w:pStyle w:val="Compact"/>
              <w:jc w:val="center"/>
            </w:pPr>
            <w:r>
              <w:t xml:space="preserve">N/A (Orbital Grids)</w:t>
            </w:r>
          </w:p>
        </w:tc>
        <w:tc>
          <w:tcPr/>
          <w:p>
            <w:pPr>
              <w:pStyle w:val="Compact"/>
              <w:jc w:val="center"/>
            </w:pPr>
            <w:r>
              <w:t xml:space="preserve">23 Candidate Sites</w:t>
            </w:r>
          </w:p>
        </w:tc>
      </w:tr>
      <w:tr>
        <w:tc>
          <w:tcPr/>
          <w:p>
            <w:pPr>
              <w:pStyle w:val="Compact"/>
              <w:jc w:val="left"/>
            </w:pPr>
            <w:r>
              <w:rPr>
                <w:b/>
                <w:bCs/>
              </w:rPr>
              <w:t xml:space="preserve">Total Corpus</w:t>
            </w:r>
          </w:p>
        </w:tc>
        <w:tc>
          <w:tcPr/>
          <w:p>
            <w:pPr>
              <w:pStyle w:val="Compact"/>
              <w:jc w:val="left"/>
            </w:pPr>
            <w:r>
              <w:rPr>
                <w:b/>
                <w:bCs/>
              </w:rPr>
              <w:t xml:space="preserve">Cross-database search across 6 major indexed platforms</w:t>
            </w:r>
          </w:p>
        </w:tc>
        <w:tc>
          <w:tcPr/>
          <w:p>
            <w:pPr>
              <w:pStyle w:val="Compact"/>
              <w:jc w:val="center"/>
            </w:pPr>
            <w:r>
              <w:rPr>
                <w:b/>
                <w:bCs/>
              </w:rPr>
              <w:t xml:space="preserve">1965–2026</w:t>
            </w:r>
          </w:p>
        </w:tc>
        <w:tc>
          <w:tcPr/>
          <w:p>
            <w:pPr>
              <w:pStyle w:val="Compact"/>
              <w:jc w:val="center"/>
            </w:pPr>
            <w:r>
              <w:rPr>
                <w:b/>
                <w:bCs/>
              </w:rPr>
              <w:t xml:space="preserve">1,428 records</w:t>
            </w:r>
          </w:p>
        </w:tc>
        <w:tc>
          <w:tcPr/>
          <w:p>
            <w:pPr>
              <w:pStyle w:val="Compact"/>
              <w:jc w:val="center"/>
            </w:pPr>
            <w:r>
              <w:rPr>
                <w:b/>
                <w:bCs/>
              </w:rPr>
              <w:t xml:space="preserve">916 records</w:t>
            </w:r>
          </w:p>
        </w:tc>
      </w:tr>
    </w:tbl>
    <w:p>
      <w:pPr>
        <w:pStyle w:val="Compact"/>
        <w:numPr>
          <w:ilvl w:val="0"/>
          <w:numId w:val="1002"/>
        </w:numPr>
      </w:pPr>
      <w:r>
        <w:rPr>
          <w:b/>
          <w:bCs/>
        </w:rPr>
        <w:t xml:space="preserve">Language Policy:</w:t>
      </w:r>
      <w:r>
        <w:t xml:space="preserve"> </w:t>
      </w:r>
      <w:r>
        <w:t xml:space="preserve">Database searches were executed in English. Relevant non-English literature—specifically foundational historical Russian space biology publications (e.g., Institute of Biomedical Problems [IBMP], Belyavskaya et al. [26,38]) and Chinese hypomagnetic studies—were included when indexed with English abstracts, accessible via authoritative translated volumes, or verified via direct technical translation.</w:t>
      </w:r>
    </w:p>
    <w:p>
      <w:pPr>
        <w:pStyle w:val="Compact"/>
        <w:numPr>
          <w:ilvl w:val="0"/>
          <w:numId w:val="1002"/>
        </w:numPr>
      </w:pPr>
      <w:r>
        <w:rPr>
          <w:b/>
          <w:bCs/>
        </w:rPr>
        <w:t xml:space="preserve">Screening Workflow &amp; Inter-Rater Concordance:</w:t>
      </w:r>
      <w:r>
        <w:t xml:space="preserve"> </w:t>
      </w:r>
      <w:r>
        <w:t xml:space="preserve">Records were independently screened at the title/abstract stage by two primary reviewers (R.J.B. and A.S.). Discrepancies were resolved through structured consensus adjudication with senior author D.M.P. Inter-rater agreement evaluated across 916 deduplicated records yielded a Cohen’s kappa coefficient of</w:t>
      </w:r>
      <w:r>
        <w:t xml:space="preserve"> </w:t>
      </w:r>
      <m:oMath>
        <m:r>
          <m:t>κ</m:t>
        </m:r>
        <m:r>
          <m:rPr>
            <m:sty m:val="p"/>
          </m:rPr>
          <m:t>=</m:t>
        </m:r>
        <m:r>
          <m:t>0.88</m:t>
        </m:r>
      </m:oMath>
      <w:r>
        <w:t xml:space="preserve">, denoting near-perfect screening concordance under PRISMA guidelines.</w:t>
      </w:r>
    </w:p>
    <w:bookmarkEnd w:id="21"/>
    <w:bookmarkStart w:id="25" w:name="X7c4b305b77349d1666fd914b9262847e9cd2ea0"/>
    <w:p>
      <w:pPr>
        <w:pStyle w:val="Heading3"/>
      </w:pPr>
      <w:r>
        <w:t xml:space="preserve">2.3 Study Selection, Eligibility, and Exposure Stratification</w:t>
      </w:r>
    </w:p>
    <w:p>
      <w:pPr>
        <w:pStyle w:val="FirstParagraph"/>
      </w:pPr>
      <w:r>
        <w:t xml:space="preserve">Records identified through database searches (</w:t>
      </w:r>
      <m:oMath>
        <m:r>
          <m:t>n</m:t>
        </m:r>
        <m:r>
          <m:rPr>
            <m:sty m:val="p"/>
          </m:rPr>
          <m:t>=</m:t>
        </m:r>
        <m:r>
          <m:t>1</m:t>
        </m:r>
        <m:r>
          <m:rPr>
            <m:sty m:val="p"/>
          </m:rPr>
          <m:t>,</m:t>
        </m:r>
        <m:r>
          <m:t>428</m:t>
        </m:r>
      </m:oMath>
      <w:r>
        <w:t xml:space="preserve"> </w:t>
      </w:r>
      <w:r>
        <w:t xml:space="preserve">records plus</w:t>
      </w:r>
      <w:r>
        <w:t xml:space="preserve"> </w:t>
      </w:r>
      <m:oMath>
        <m:r>
          <m:t>n</m:t>
        </m:r>
        <m:r>
          <m:rPr>
            <m:sty m:val="p"/>
          </m:rPr>
          <m:t>=</m:t>
        </m:r>
        <m:r>
          <m:t>6</m:t>
        </m:r>
      </m:oMath>
      <w:r>
        <w:t xml:space="preserve"> </w:t>
      </w:r>
      <w:r>
        <w:t xml:space="preserve">primary multi-omics/orbital datasets) were compiled and deduplicated, yielding 916 unique records for screening (Figure 2b).</w:t>
      </w:r>
    </w:p>
    <w:p>
      <w:pPr>
        <w:pStyle w:val="Compact"/>
        <w:numPr>
          <w:ilvl w:val="0"/>
          <w:numId w:val="1003"/>
        </w:numPr>
      </w:pPr>
      <w:r>
        <w:rPr>
          <w:b/>
          <w:bCs/>
        </w:rPr>
        <w:t xml:space="preserve">Inclusion Criteria:</w:t>
      </w:r>
      <w:r>
        <w:t xml:space="preserve"> </w:t>
      </w:r>
      <w:r>
        <w:t xml:space="preserve">Studies were included if they: (a) reported biological responses to measured near-null or hypomagnetic field conditions (</w:t>
      </w:r>
      <m:oMath>
        <m:r>
          <m:rPr>
            <m:sty m:val="p"/>
          </m:rPr>
          <m:t>|</m:t>
        </m:r>
        <m:r>
          <m:rPr>
            <m:sty m:val="bi"/>
          </m:rPr>
          <m:t>B</m:t>
        </m:r>
        <m:r>
          <m:rPr>
            <m:sty m:val="p"/>
          </m:rPr>
          <m:t>|</m:t>
        </m:r>
        <m:r>
          <m:rPr>
            <m:sty m:val="p"/>
          </m:rPr>
          <m:t>&lt;</m:t>
        </m:r>
        <m:r>
          <m:t>5</m:t>
        </m:r>
        <m:r>
          <m:t> </m:t>
        </m:r>
        <m:r>
          <m:t>μ</m:t>
        </m:r>
        <m:r>
          <m:rPr>
            <m:nor/>
            <m:sty m:val="p"/>
          </m:rPr>
          <m:t>T</m:t>
        </m:r>
      </m:oMath>
      <w:r>
        <w:t xml:space="preserve">); (b) focused on early vegetative seedling establishment, germination kinetics, cellular division, pigment accumulation, or organellar bioenergetics (Days 0–5 post-imbibition); (c) provided empirical multi-omics, biophysical, or calibrated orbital vector magnetic datasets; and (d) were published in peer-reviewed scientific journals or authoritative space agency technical repositories.</w:t>
      </w:r>
    </w:p>
    <w:p>
      <w:pPr>
        <w:pStyle w:val="Compact"/>
        <w:numPr>
          <w:ilvl w:val="0"/>
          <w:numId w:val="1003"/>
        </w:numPr>
      </w:pPr>
      <w:r>
        <w:rPr>
          <w:b/>
          <w:bCs/>
        </w:rPr>
        <w:t xml:space="preserve">Exclusion Criteria:</w:t>
      </w:r>
      <w:r>
        <w:t xml:space="preserve"> </w:t>
      </w:r>
      <w:r>
        <w:t xml:space="preserve">Studies were excluded if they: (a) evaluated static high-intensity magnetic fields (</w:t>
      </w:r>
      <m:oMath>
        <m:r>
          <m:rPr>
            <m:sty m:val="p"/>
          </m:rPr>
          <m:t>|</m:t>
        </m:r>
        <m:r>
          <m:rPr>
            <m:sty m:val="bi"/>
          </m:rPr>
          <m:t>B</m:t>
        </m:r>
        <m:r>
          <m:rPr>
            <m:sty m:val="p"/>
          </m:rPr>
          <m:t>|</m:t>
        </m:r>
        <m:r>
          <m:rPr>
            <m:sty m:val="p"/>
          </m:rPr>
          <m:t>&gt;</m:t>
        </m:r>
        <m:r>
          <m:t>1</m:t>
        </m:r>
        <m:r>
          <m:rPr>
            <m:nor/>
            <m:sty m:val="p"/>
          </m:rPr>
          <m:t> mT</m:t>
        </m:r>
      </m:oMath>
      <w:r>
        <w:t xml:space="preserve">, e.g., MRI exposures) unrepresentative of space environments; (b) focused exclusively on post-Day 14 whole-life-cycle agronomic endpoints (flowering, silique filling) lacking early developmental kinetics; (c) utilized animal or clinical models lacking shared eukaryotic bioenergetic or radical-pair homology; or (d) lacked magnetic shielding quantification or ambient geomagnetic field controls.</w:t>
      </w:r>
    </w:p>
    <w:p>
      <w:pPr>
        <w:pStyle w:val="Compact"/>
        <w:numPr>
          <w:ilvl w:val="0"/>
          <w:numId w:val="1003"/>
        </w:numPr>
      </w:pPr>
      <w:r>
        <w:rPr>
          <w:b/>
          <w:bCs/>
        </w:rPr>
        <w:t xml:space="preserve">Stratification by Exposure Regime:</w:t>
      </w:r>
      <w:r>
        <w:t xml:space="preserve"> </w:t>
      </w:r>
      <w:r>
        <w:t xml:space="preserve">To avoid confounding deep lunar void physics (</w:t>
      </w:r>
      <m:oMath>
        <m:r>
          <m:rPr>
            <m:sty m:val="p"/>
          </m:rPr>
          <m:t>&lt;</m:t>
        </m:r>
        <m:r>
          <m:t>1</m:t>
        </m:r>
        <m:r>
          <m:rPr>
            <m:nor/>
            <m:sty m:val="p"/>
          </m:rPr>
          <m:t> nT</m:t>
        </m:r>
      </m:oMath>
      <w:r>
        <w:t xml:space="preserve">) with moderate shielding artifacts, evidence was stratified into two distinct experimental sub-regimes: (i) Deep Near-Null / Sub-Microtesla studies (</w:t>
      </w:r>
      <m:oMath>
        <m:r>
          <m:rPr>
            <m:sty m:val="p"/>
          </m:rPr>
          <m:t>|</m:t>
        </m:r>
        <m:r>
          <m:rPr>
            <m:sty m:val="bi"/>
          </m:rPr>
          <m:t>B</m:t>
        </m:r>
        <m:r>
          <m:rPr>
            <m:sty m:val="p"/>
          </m:rPr>
          <m:t>|</m:t>
        </m:r>
        <m:r>
          <m:rPr>
            <m:sty m:val="p"/>
          </m:rPr>
          <m:t>&lt;</m:t>
        </m:r>
        <m:r>
          <m:t>100</m:t>
        </m:r>
        <m:r>
          <m:rPr>
            <m:nor/>
            <m:sty m:val="p"/>
          </m:rPr>
          <m:t> nT</m:t>
        </m:r>
      </m:oMath>
      <w:r>
        <w:t xml:space="preserve">, capturing</w:t>
      </w:r>
      <w:r>
        <w:t xml:space="preserve"> </w:t>
      </w:r>
      <m:oMath>
        <m:r>
          <m:rPr>
            <m:sty m:val="p"/>
          </m:rPr>
          <m:t>&gt;</m:t>
        </m:r>
        <m:r>
          <m:t>99.8</m:t>
        </m:r>
        <m:r>
          <m:rPr>
            <m:sty m:val="p"/>
          </m:rPr>
          <m:t>%</m:t>
        </m:r>
      </m:oMath>
      <w:r>
        <w:t xml:space="preserve"> </w:t>
      </w:r>
      <w:r>
        <w:t xml:space="preserve">GMF reduction), and (ii) Moderate Hypomagnetic studies (</w:t>
      </w:r>
      <m:oMath>
        <m:r>
          <m:t>0.1</m:t>
        </m:r>
        <m:r>
          <m:t> </m:t>
        </m:r>
        <m:r>
          <m:t>μ</m:t>
        </m:r>
        <m:r>
          <m:rPr>
            <m:nor/>
            <m:sty m:val="p"/>
          </m:rPr>
          <m:t>T</m:t>
        </m:r>
        <m:r>
          <m:rPr>
            <m:sty m:val="p"/>
          </m:rPr>
          <m:t>≤</m:t>
        </m:r>
        <m:r>
          <m:rPr>
            <m:sty m:val="p"/>
          </m:rPr>
          <m:t>|</m:t>
        </m:r>
        <m:r>
          <m:rPr>
            <m:sty m:val="bi"/>
          </m:rPr>
          <m:t>B</m:t>
        </m:r>
        <m:r>
          <m:rPr>
            <m:sty m:val="p"/>
          </m:rPr>
          <m:t>|</m:t>
        </m:r>
        <m:r>
          <m:rPr>
            <m:sty m:val="p"/>
          </m:rPr>
          <m:t>≤</m:t>
        </m:r>
        <m:r>
          <m:t>5</m:t>
        </m:r>
        <m:r>
          <m:t> </m:t>
        </m:r>
        <m:r>
          <m:t>μ</m:t>
        </m:r>
        <m:r>
          <m:rPr>
            <m:nor/>
            <m:sty m:val="p"/>
          </m:rPr>
          <m:t>T</m:t>
        </m:r>
      </m:oMath>
      <w:r>
        <w:t xml:space="preserve">). Studies were further cataloged based on whether magnetic field vectors were logged directly at the specimen seed plane or inferred from uncalibrated chamber centers.</w:t>
      </w:r>
    </w:p>
    <w:p>
      <w:pPr>
        <w:pStyle w:val="FirstParagraph"/>
      </w:pPr>
      <w:r>
        <w:t xml:space="preserve">Following full-text eligibility assessment (</w:t>
      </w:r>
      <m:oMath>
        <m:r>
          <m:t>n</m:t>
        </m:r>
        <m:r>
          <m:rPr>
            <m:sty m:val="p"/>
          </m:rPr>
          <m:t>=</m:t>
        </m:r>
        <m:r>
          <m:t>215</m:t>
        </m:r>
      </m:oMath>
      <w:r>
        <w:t xml:space="preserve"> </w:t>
      </w:r>
      <w:r>
        <w:t xml:space="preserve">articles evaluated), 135 articles were excluded due to missing magnetic field logs, uncontrolled DC current artifacts, or unshielded controls. The final synthesized corpus comprises</w:t>
      </w:r>
      <w:r>
        <w:t xml:space="preserve"> </w:t>
      </w:r>
      <w:r>
        <w:rPr>
          <w:b/>
          <w:bCs/>
        </w:rPr>
        <w:t xml:space="preserve">80 audited peer-reviewed publications</w:t>
      </w:r>
      <w:r>
        <w:t xml:space="preserve"> </w:t>
      </w:r>
      <w:r>
        <w:t xml:space="preserve">(Supplemental Table S1) and</w:t>
      </w:r>
      <w:r>
        <w:t xml:space="preserve"> </w:t>
      </w:r>
      <w:r>
        <w:rPr>
          <w:b/>
          <w:bCs/>
        </w:rPr>
        <w:t xml:space="preserve">6 primary multi-omics and planetary datasets</w:t>
      </w:r>
      <w:r>
        <w:t xml:space="preserve"> </w:t>
      </w:r>
      <w:r>
        <w:t xml:space="preserve">(Supplemental Table S2) integrated across scales (Figure 2b).</w:t>
      </w:r>
    </w:p>
    <w:p>
      <w:pPr>
        <w:pStyle w:val="BodyText"/>
      </w:pPr>
      <w:r>
        <w:drawing>
          <wp:inline>
            <wp:extent cx="5334000" cy="4009868"/>
            <wp:effectExtent b="0" l="0" r="0" t="0"/>
            <wp:docPr descr="Figure 2" title="" id="23" name="Picture"/>
            <a:graphic>
              <a:graphicData uri="http://schemas.openxmlformats.org/drawingml/2006/picture">
                <pic:pic>
                  <pic:nvPicPr>
                    <pic:cNvPr descr="/Users/drb_laptop/Documents/NMF_review/figures/Fig2_integrative_methods_framework.png" id="24" name="Picture"/>
                    <pic:cNvPicPr>
                      <a:picLocks noChangeArrowheads="1" noChangeAspect="1"/>
                    </pic:cNvPicPr>
                  </pic:nvPicPr>
                  <pic:blipFill>
                    <a:blip r:embed="rId22"/>
                    <a:stretch>
                      <a:fillRect/>
                    </a:stretch>
                  </pic:blipFill>
                  <pic:spPr bwMode="auto">
                    <a:xfrm>
                      <a:off x="0" y="0"/>
                      <a:ext cx="5334000" cy="4009868"/>
                    </a:xfrm>
                    <a:prstGeom prst="rect">
                      <a:avLst/>
                    </a:prstGeom>
                    <a:noFill/>
                    <a:ln w="9525">
                      <a:noFill/>
                      <a:headEnd/>
                      <a:tailEnd/>
                    </a:ln>
                  </pic:spPr>
                </pic:pic>
              </a:graphicData>
            </a:graphic>
          </wp:inline>
        </w:drawing>
      </w:r>
      <w:r>
        <w:t xml:space="preserve"> </w:t>
      </w:r>
      <w:r>
        <w:rPr>
          <w:b/>
          <w:bCs/>
        </w:rPr>
        <w:t xml:space="preserve">Figure 2 | Integrative review conceptual framework and evidence selection flow.</w:t>
      </w:r>
      <w:r>
        <w:br/>
      </w:r>
      <w:r>
        <w:rPr>
          <w:b/>
          <w:bCs/>
        </w:rPr>
        <w:t xml:space="preserve">(a) Conceptual Framework of the Integrative Review:</w:t>
      </w:r>
      <w:r>
        <w:t xml:space="preserve"> </w:t>
      </w:r>
      <w:r>
        <w:t xml:space="preserve">Progression from four formal research questions (RQ1–RQ4) through multi-disciplinary data sources (planetary geophysics, plant space biology, quantum biophysics, astronaut multi-omics), rigorous selection and scoping criteria, and multi-scale thematic synthesis across five core scientific domains (D1–D5).</w:t>
      </w:r>
      <w:r>
        <w:br/>
      </w:r>
      <w:r>
        <w:rPr>
          <w:b/>
          <w:bCs/>
        </w:rPr>
        <w:t xml:space="preserve">(b) Evidence Identification and Selection Flow Diagram (PRISMA/SANRA-compliant):</w:t>
      </w:r>
      <w:r>
        <w:t xml:space="preserve"> </w:t>
      </w:r>
      <w:r>
        <w:t xml:space="preserve">Systematic screening and deduplication from 1,428 database records (PubMed, Web of Science, Scopus/Europe PMC, NASA OSDR) and 6 primary spaceflight/planetary repositories down to the 80 audited peer-reviewed publications (Supplemental Table S1) and 6 public datasets (Supplemental Table S2) synthesized across scales. All calculations and non-linear kinetics fits were executed via the open-source package dr-richard-barker/NMF_review.</w:t>
      </w:r>
    </w:p>
    <w:p>
      <w:r>
        <w:pict>
          <v:rect style="width:0;height:1.5pt" o:hralign="center" o:hrstd="t" o:hr="t"/>
        </w:pict>
      </w:r>
    </w:p>
    <w:bookmarkEnd w:id="25"/>
    <w:bookmarkEnd w:id="26"/>
    <w:bookmarkStart w:id="33" w:name="X91dcc69f4ee66fdadbfb89532eed46c4adf9c01"/>
    <w:p>
      <w:pPr>
        <w:pStyle w:val="Heading2"/>
      </w:pPr>
      <w:r>
        <w:t xml:space="preserve">3.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3a).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34993"/>
            <wp:effectExtent b="0" l="0" r="0" t="0"/>
            <wp:docPr descr="Figure 3" title="" id="28" name="Picture"/>
            <a:graphic>
              <a:graphicData uri="http://schemas.openxmlformats.org/drawingml/2006/picture">
                <pic:pic>
                  <pic:nvPicPr>
                    <pic:cNvPr descr="/Users/drb_laptop/Documents/NMF_review/figures/Fig3_first_5_days_germination_pigments.png" id="29" name="Picture"/>
                    <pic:cNvPicPr>
                      <a:picLocks noChangeArrowheads="1" noChangeAspect="1"/>
                    </pic:cNvPicPr>
                  </pic:nvPicPr>
                  <pic:blipFill>
                    <a:blip r:embed="rId27"/>
                    <a:stretch>
                      <a:fillRect/>
                    </a:stretch>
                  </pic:blipFill>
                  <pic:spPr bwMode="auto">
                    <a:xfrm>
                      <a:off x="0" y="0"/>
                      <a:ext cx="5334000" cy="4434993"/>
                    </a:xfrm>
                    <a:prstGeom prst="rect">
                      <a:avLst/>
                    </a:prstGeom>
                    <a:noFill/>
                    <a:ln w="9525">
                      <a:noFill/>
                      <a:headEnd/>
                      <a:tailEnd/>
                    </a:ln>
                  </pic:spPr>
                </pic:pic>
              </a:graphicData>
            </a:graphic>
          </wp:inline>
        </w:drawing>
      </w:r>
      <w:r>
        <w:t xml:space="preserve"> </w:t>
      </w:r>
      <w:r>
        <w:rPr>
          <w:b/>
          <w:bCs/>
        </w:rPr>
        <w:t xml:space="preserve">Figure 3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w:t>
      </w:r>
      <w:r>
        <w:br/>
      </w:r>
      <w:r>
        <w:rPr>
          <w:b/>
          <w:bCs/>
        </w:rPr>
        <w:t xml:space="preserve">(b) Seed Germination Time-Course &amp; Kinetics (</w:t>
      </w:r>
      <m:oMath>
        <m:sSub>
          <m:e>
            <m:r>
              <m:t>t</m:t>
            </m:r>
          </m:e>
          <m:sub>
            <m:r>
              <m:t>50</m:t>
            </m:r>
          </m:sub>
        </m:sSub>
      </m:oMath>
      <w:r>
        <w:rPr>
          <w:b/>
          <w:bCs/>
        </w:rPr>
        <w:t xml:space="preserve">):</w:t>
      </w:r>
      <w:r>
        <w:t xml:space="preserve"> </w:t>
      </w:r>
      <w:r>
        <w:t xml:space="preserve">Illustrative composite schematic synthesizing empirical non-linear germination curves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across angiosperms (Table 3). Hypomagnetic exposure causes an average 20% decline in final germination capacity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Composite schematic of quantitative reductions in radicle length at Day 3 (-33.0%), hypocotyl height at Day 5 (-31.0%), fresh weight (-29.1%), and total dry biomass yield (-28.5%) under NNMF relative to GMF controls (synthesized from 10 empirical datasets in Table 3).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(Tier 1/Tier 2 demonstrated mechanisms).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a parallel secondary module of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actionable candidate countermeasure via Fe-EDTA rescue),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30" w:name="X35a1e4feeeda74da371888fbb01e9193c90505e"/>
    <w:p>
      <w:pPr>
        <w:pStyle w:val="Heading3"/>
      </w:pPr>
      <w:r>
        <w:t xml:space="preserve">3.1 Per-Study Empirical Metadata and Standardized Germination Milestones</w:t>
      </w:r>
    </w:p>
    <w:p>
      <w:pPr>
        <w:pStyle w:val="FirstParagraph"/>
      </w:pPr>
      <w:r>
        <w:t xml:space="preserve">To support rigorous meta-analytic evaluation, Table 3 compiles 10 definitive experimental studies reporting seed germination and early seedling growth under verified hypomagnetic conditions across model and crop species.</w:t>
      </w:r>
    </w:p>
    <w:p>
      <w:pPr>
        <w:pStyle w:val="BodyText"/>
      </w:pPr>
      <w:r>
        <w:t xml:space="preserve">To resolve historical ambiguities in scoring germination, we standardize all reported data against three developmental milestones:</w:t>
      </w:r>
      <w:r>
        <w:t xml:space="preserve"> </w:t>
      </w:r>
      <w:r>
        <w:t xml:space="preserve">-</w:t>
      </w:r>
      <w:r>
        <w:t xml:space="preserve"> </w:t>
      </w:r>
      <w:r>
        <w:rPr>
          <w:b/>
          <w:bCs/>
        </w:rPr>
        <w:t xml:space="preserve">Milestone 1 (</w:t>
      </w:r>
      <m:oMath>
        <m:sSub>
          <m:e>
            <m:r>
              <m:t>M</m:t>
            </m:r>
          </m:e>
          <m:sub>
            <m:r>
              <m:t>1</m:t>
            </m:r>
          </m:sub>
        </m:sSub>
      </m:oMath>
      <w:r>
        <w:rPr>
          <w:b/>
          <w:bCs/>
        </w:rPr>
        <w:t xml:space="preserve">, Testa Rupture):</w:t>
      </w:r>
      <w:r>
        <w:t xml:space="preserve"> </w:t>
      </w:r>
      <w:r>
        <w:t xml:space="preserve">Visible cracking and rupture of the outer maternal seed coat (testa), representing the initial mechanical phase of imbibition and endosperm swelling.</w:t>
      </w:r>
      <w:r>
        <w:t xml:space="preserve"> </w:t>
      </w:r>
      <w:r>
        <w:t xml:space="preserve">-</w:t>
      </w:r>
      <w:r>
        <w:t xml:space="preserve"> </w:t>
      </w:r>
      <w:r>
        <w:rPr>
          <w:b/>
          <w:bCs/>
        </w:rPr>
        <w:t xml:space="preserve">Milestone 2 (</w:t>
      </w:r>
      <m:oMath>
        <m:sSub>
          <m:e>
            <m:r>
              <m:t>M</m:t>
            </m:r>
          </m:e>
          <m:sub>
            <m:r>
              <m:t>2</m:t>
            </m:r>
          </m:sub>
        </m:sSub>
      </m:oMath>
      <w:r>
        <w:rPr>
          <w:b/>
          <w:bCs/>
        </w:rPr>
        <w:t xml:space="preserve">, Radicle Emergence):</w:t>
      </w:r>
      <w:r>
        <w:t xml:space="preserve"> </w:t>
      </w:r>
      <w:r>
        <w:t xml:space="preserve">Protrusion of the embryonic radicle</w:t>
      </w:r>
      <w:r>
        <w:t xml:space="preserve"> </w:t>
      </w:r>
      <m:oMath>
        <m:r>
          <m:rPr>
            <m:sty m:val="p"/>
          </m:rPr>
          <m:t>≥</m:t>
        </m:r>
        <m:r>
          <m:t>1</m:t>
        </m:r>
        <m:r>
          <m:rPr>
            <m:nor/>
            <m:sty m:val="p"/>
          </m:rPr>
          <m:t> mm</m:t>
        </m:r>
      </m:oMath>
      <w:r>
        <w:t xml:space="preserve"> </w:t>
      </w:r>
      <w:r>
        <w:t xml:space="preserve">through the endosperm, marking irreversible dormancy release and metabolic commitment to vegetative growth.</w:t>
      </w:r>
      <w:r>
        <w:t xml:space="preserve"> </w:t>
      </w:r>
      <w:r>
        <w:t xml:space="preserve">-</w:t>
      </w:r>
      <w:r>
        <w:t xml:space="preserve"> </w:t>
      </w:r>
      <w:r>
        <w:rPr>
          <w:b/>
          <w:bCs/>
        </w:rPr>
        <w:t xml:space="preserve">Milestone 3 (</w:t>
      </w:r>
      <m:oMath>
        <m:sSub>
          <m:e>
            <m:r>
              <m:t>M</m:t>
            </m:r>
          </m:e>
          <m:sub>
            <m:r>
              <m:t>3</m:t>
            </m:r>
          </m:sub>
        </m:sSub>
      </m:oMath>
      <w:r>
        <w:rPr>
          <w:b/>
          <w:bCs/>
        </w:rPr>
        <w:t xml:space="preserve">, Cotyledon Unfolding &amp; Greening):</w:t>
      </w:r>
      <w:r>
        <w:t xml:space="preserve"> </w:t>
      </w:r>
      <w:r>
        <w:t xml:space="preserve">Complete de-etiolation, cotyledon expansion, and initial synthesis of photosynthetic chlorophylls in the illuminated canopy.</w:t>
      </w:r>
    </w:p>
    <w:p>
      <w:pPr>
        <w:pStyle w:val="BodyText"/>
      </w:pPr>
      <w:r>
        <w:rPr>
          <w:b/>
          <w:bCs/>
        </w:rPr>
        <w:t xml:space="preserve">Table 3 | Empirical plant germination, emergence kinetics (</w:t>
      </w:r>
      <m:oMath>
        <m:sSub>
          <m:e>
            <m:r>
              <m:t>t</m:t>
            </m:r>
          </m:e>
          <m:sub>
            <m:r>
              <m:t>50</m:t>
            </m:r>
          </m:sub>
        </m:sSub>
      </m:oMath>
      <w:r>
        <w:rPr>
          <w:b/>
          <w:bCs/>
        </w:rPr>
        <w:t xml:space="preserve">), and early biomass datasets synthesized in this review.</w:t>
      </w:r>
      <w:r>
        <w:t xml:space="preserve"> </w:t>
      </w:r>
      <w:r>
        <w:t xml:space="preserve">Compiled per-study metadata detailing plant species, ecotype, residual magnetic field at the seed plane, shielding methodology, experimental controls, sample replicate sizes (</w:t>
      </w:r>
      <m:oMath>
        <m:r>
          <m:t>N</m:t>
        </m:r>
      </m:oMath>
      <w:r>
        <w:t xml:space="preserve">), scored milestone (</w:t>
      </w:r>
      <m:oMath>
        <m:sSub>
          <m:e>
            <m:r>
              <m:t>M</m:t>
            </m:r>
          </m:e>
          <m:sub>
            <m:r>
              <m:t>1</m:t>
            </m:r>
          </m:sub>
        </m:sSub>
        <m:r>
          <m:rPr>
            <m:nor/>
            <m:sty m:val="p"/>
          </m:rPr>
          <m:t>–</m:t>
        </m:r>
        <m:sSub>
          <m:e>
            <m:r>
              <m:t>M</m:t>
            </m:r>
          </m:e>
          <m:sub>
            <m:r>
              <m:t>3</m:t>
            </m:r>
          </m:sub>
        </m:sSub>
      </m:oMath>
      <w:r>
        <w:t xml:space="preserve">), germination capacity delta, median emergence lag (</w:t>
      </w:r>
      <m:oMath>
        <m:r>
          <m:rPr>
            <m:sty m:val="p"/>
          </m:rPr>
          <m:t>Δ</m:t>
        </m:r>
        <m:sSub>
          <m:e>
            <m:r>
              <m:t>t</m:t>
            </m:r>
          </m:e>
          <m:sub>
            <m:r>
              <m:t>50</m:t>
            </m:r>
          </m:sub>
        </m:sSub>
      </m:oMath>
      <w:r>
        <w:t xml:space="preserve">), Day 5 biomass penalty, and reference citations.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Study / Citation</w:t>
            </w:r>
          </w:p>
        </w:tc>
        <w:tc>
          <w:tcPr/>
          <w:p>
            <w:pPr>
              <w:pStyle w:val="Compact"/>
              <w:jc w:val="left"/>
            </w:pPr>
            <w:r>
              <w:t xml:space="preserve">Plant Species &amp; Ecotype / Cultivar</w:t>
            </w:r>
          </w:p>
        </w:tc>
        <w:tc>
          <w:tcPr/>
          <w:p>
            <w:pPr>
              <w:pStyle w:val="Compact"/>
              <w:jc w:val="left"/>
            </w:pPr>
            <w:r>
              <w:t xml:space="preserve">Residual Field at Seed Plane</w:t>
            </w:r>
          </w:p>
        </w:tc>
        <w:tc>
          <w:tcPr/>
          <w:p>
            <w:pPr>
              <w:pStyle w:val="Compact"/>
              <w:jc w:val="left"/>
            </w:pPr>
            <w:r>
              <w:t xml:space="preserve">Shielding Method</w:t>
            </w:r>
          </w:p>
        </w:tc>
        <w:tc>
          <w:tcPr/>
          <w:p>
            <w:pPr>
              <w:pStyle w:val="Compact"/>
              <w:jc w:val="left"/>
            </w:pPr>
            <w:r>
              <w:t xml:space="preserve">Experimental Controls</w:t>
            </w:r>
          </w:p>
        </w:tc>
        <w:tc>
          <w:tcPr/>
          <w:p>
            <w:pPr>
              <w:pStyle w:val="Compact"/>
              <w:jc w:val="left"/>
            </w:pPr>
            <w:r>
              <w:t xml:space="preserve">Sample Size (</w:t>
            </w:r>
            <m:oMath>
              <m:r>
                <m:t>N</m:t>
              </m:r>
            </m:oMath>
            <w:r>
              <w:t xml:space="preserve">)</w:t>
            </w:r>
          </w:p>
        </w:tc>
        <w:tc>
          <w:tcPr/>
          <w:p>
            <w:pPr>
              <w:pStyle w:val="Compact"/>
              <w:jc w:val="left"/>
            </w:pPr>
            <w:r>
              <w:t xml:space="preserve">Scored Milestone</w:t>
            </w:r>
          </w:p>
        </w:tc>
        <w:tc>
          <w:tcPr/>
          <w:p>
            <w:pPr>
              <w:pStyle w:val="Compact"/>
              <w:jc w:val="left"/>
            </w:pPr>
            <w:r>
              <w:t xml:space="preserve">Germination Capacity Delta</w:t>
            </w:r>
          </w:p>
        </w:tc>
        <w:tc>
          <w:tcPr/>
          <w:p>
            <w:pPr>
              <w:pStyle w:val="Compact"/>
              <w:jc w:val="left"/>
            </w:pPr>
            <w:r>
              <w:t xml:space="preserve">Emergence Lag (</w:t>
            </w:r>
            <m:oMath>
              <m:r>
                <m:rPr>
                  <m:sty m:val="p"/>
                </m:rPr>
                <m:t>Δ</m:t>
              </m:r>
              <m:sSub>
                <m:e>
                  <m:r>
                    <m:t>t</m:t>
                  </m:r>
                </m:e>
                <m:sub>
                  <m:r>
                    <m:t>50</m:t>
                  </m:r>
                </m:sub>
              </m:sSub>
            </m:oMath>
            <w:r>
              <w:t xml:space="preserve">)</w:t>
            </w:r>
          </w:p>
        </w:tc>
        <w:tc>
          <w:tcPr/>
          <w:p>
            <w:pPr>
              <w:pStyle w:val="Compact"/>
              <w:jc w:val="left"/>
            </w:pPr>
            <w:r>
              <w:t xml:space="preserve">Day 5 Biomass Penalty</w:t>
            </w:r>
          </w:p>
        </w:tc>
      </w:tr>
      <w:tr>
        <w:tc>
          <w:tcPr/>
          <w:p>
            <w:pPr>
              <w:pStyle w:val="Compact"/>
              <w:jc w:val="left"/>
            </w:pPr>
            <w:r>
              <w:rPr>
                <w:b/>
                <w:bCs/>
              </w:rPr>
              <w:t xml:space="preserve">Xu et al. (2013)</w:t>
            </w:r>
            <w:r>
              <w:t xml:space="preserve"> </w:t>
            </w:r>
            <w:r>
              <w:t xml:space="preserve">[28]</w:t>
            </w:r>
          </w:p>
        </w:tc>
        <w:tc>
          <w:tcPr/>
          <w:p>
            <w:pPr>
              <w:pStyle w:val="Compact"/>
              <w:jc w:val="left"/>
            </w:pPr>
            <w:r>
              <w:rPr>
                <w:i/>
                <w:iCs/>
              </w:rPr>
              <w:t xml:space="preserve">Arabidopsis thaliana</w:t>
            </w:r>
            <w:r>
              <w:t xml:space="preserve"> </w:t>
            </w:r>
            <w:r>
              <w:t xml:space="preserve">(Col-0)</w:t>
            </w:r>
          </w:p>
        </w:tc>
        <w:tc>
          <w:tcPr/>
          <w:p>
            <w:pPr>
              <w:pStyle w:val="Compact"/>
              <w:jc w:val="left"/>
            </w:pPr>
            <m:oMath>
              <m:r>
                <m:rPr>
                  <m:sty m:val="p"/>
                </m:rPr>
                <m:t>&lt;</m:t>
              </m:r>
              <m:r>
                <m:t>10</m:t>
              </m:r>
              <m:r>
                <m:rPr>
                  <m:nor/>
                  <m:sty m:val="p"/>
                </m:rPr>
                <m:t> nT</m:t>
              </m:r>
            </m:oMath>
            <w:r>
              <w:t xml:space="preserve">​</w:t>
            </w:r>
          </w:p>
        </w:tc>
        <w:tc>
          <w:tcPr/>
          <w:p>
            <w:pPr>
              <w:pStyle w:val="Compact"/>
              <w:jc w:val="left"/>
            </w:pPr>
            <w:r>
              <w:t xml:space="preserve">Triaxial Helmholtz cancellation</w:t>
            </w:r>
          </w:p>
        </w:tc>
        <w:tc>
          <w:tcPr/>
          <w:p>
            <w:pPr>
              <w:pStyle w:val="Compact"/>
              <w:jc w:val="left"/>
            </w:pPr>
            <w:r>
              <w:t xml:space="preserve">Matched chamber GMF control (</w:t>
            </w:r>
            <m:oMath>
              <m:r>
                <m:t>45</m:t>
              </m:r>
              <m:r>
                <m:t> </m:t>
              </m:r>
              <m:r>
                <m:t>μ</m:t>
              </m:r>
              <m:r>
                <m:rPr>
                  <m:nor/>
                  <m:sty m:val="p"/>
                </m:rPr>
                <m:t>T</m:t>
              </m:r>
            </m:oMath>
            <w:r>
              <w:t xml:space="preserve">)</w:t>
            </w:r>
          </w:p>
        </w:tc>
        <w:tc>
          <w:tcPr/>
          <w:p>
            <w:pPr>
              <w:pStyle w:val="Compact"/>
              <w:jc w:val="left"/>
            </w:pPr>
            <m:oMath>
              <m:r>
                <m:t>N</m:t>
              </m:r>
              <m:r>
                <m:rPr>
                  <m:sty m:val="p"/>
                </m:rPr>
                <m:t>=</m:t>
              </m:r>
              <m:r>
                <m:t>120</m:t>
              </m:r>
            </m:oMath>
            <w:r>
              <w:t xml:space="preserve"> </w:t>
            </w:r>
            <w:r>
              <w:t xml:space="preserve">seeds</w:t>
            </w:r>
          </w:p>
        </w:tc>
        <w:tc>
          <w:tcPr/>
          <w:p>
            <w:pPr>
              <w:pStyle w:val="Compact"/>
              <w:jc w:val="left"/>
            </w:pPr>
            <m:oMath>
              <m:sSub>
                <m:e>
                  <m:r>
                    <m:t>M</m:t>
                  </m:r>
                </m:e>
                <m:sub>
                  <m:r>
                    <m:t>1</m:t>
                  </m:r>
                </m:sub>
              </m:sSub>
            </m:oMath>
            <w:r>
              <w:t xml:space="preserve"> </w:t>
            </w:r>
            <w:r>
              <w:t xml:space="preserve">(Testa rupture)</w:t>
            </w:r>
          </w:p>
        </w:tc>
        <w:tc>
          <w:tcPr/>
          <w:p>
            <w:pPr>
              <w:pStyle w:val="Compact"/>
              <w:jc w:val="left"/>
            </w:pPr>
            <m:oMath>
              <m:r>
                <m:rPr>
                  <m:sty m:val="p"/>
                </m:rPr>
                <m:t>−</m:t>
              </m:r>
              <m:r>
                <m:t>18.5</m:t>
              </m:r>
              <m:r>
                <m:rPr>
                  <m:sty m:val="p"/>
                </m:rPr>
                <m:t>%</m:t>
              </m:r>
            </m:oMath>
            <w:r>
              <w:t xml:space="preserve">​</w:t>
            </w:r>
          </w:p>
        </w:tc>
        <w:tc>
          <w:tcPr/>
          <w:p>
            <w:pPr>
              <w:pStyle w:val="Compact"/>
              <w:jc w:val="left"/>
            </w:pPr>
            <m:oMath>
              <m:r>
                <m:rPr>
                  <m:sty m:val="p"/>
                </m:rPr>
                <m:t>+</m:t>
              </m:r>
              <m:r>
                <m:t>14.2</m:t>
              </m:r>
              <m:r>
                <m:rPr>
                  <m:nor/>
                  <m:sty m:val="p"/>
                </m:rPr>
                <m:t> h</m:t>
              </m:r>
            </m:oMath>
            <w:r>
              <w:t xml:space="preserve">​</w:t>
            </w:r>
          </w:p>
        </w:tc>
        <w:tc>
          <w:tcPr/>
          <w:p>
            <w:pPr>
              <w:pStyle w:val="Compact"/>
              <w:jc w:val="left"/>
            </w:pPr>
            <m:oMath>
              <m:r>
                <m:rPr>
                  <m:sty m:val="p"/>
                </m:rPr>
                <m:t>−</m:t>
              </m:r>
              <m:r>
                <m:t>24.0</m:t>
              </m:r>
              <m:r>
                <m:rPr>
                  <m:sty m:val="p"/>
                </m:rPr>
                <m:t>%</m:t>
              </m:r>
            </m:oMath>
            <w:r>
              <w:t xml:space="preserve"> </w:t>
            </w:r>
            <w:r>
              <w:t xml:space="preserve">(dry)</w:t>
            </w:r>
          </w:p>
        </w:tc>
      </w:tr>
      <w:tr>
        <w:tc>
          <w:tcPr/>
          <w:p>
            <w:pPr>
              <w:pStyle w:val="Compact"/>
              <w:jc w:val="left"/>
            </w:pPr>
            <w:r>
              <w:rPr>
                <w:b/>
                <w:bCs/>
              </w:rPr>
              <w:t xml:space="preserve">Tang et al. (2024)</w:t>
            </w:r>
            <w:r>
              <w:t xml:space="preserve"> </w:t>
            </w:r>
            <w:r>
              <w:t xml:space="preserve">[31]</w:t>
            </w:r>
          </w:p>
        </w:tc>
        <w:tc>
          <w:tcPr/>
          <w:p>
            <w:pPr>
              <w:pStyle w:val="Compact"/>
              <w:jc w:val="left"/>
            </w:pPr>
            <w:r>
              <w:rPr>
                <w:i/>
                <w:iCs/>
              </w:rPr>
              <w:t xml:space="preserve">Triticum aestivum</w:t>
            </w:r>
            <w:r>
              <w:t xml:space="preserve"> </w:t>
            </w:r>
            <w:r>
              <w:t xml:space="preserve">(wheat cv. Jimai 22)</w:t>
            </w:r>
          </w:p>
        </w:tc>
        <w:tc>
          <w:tcPr/>
          <w:p>
            <w:pPr>
              <w:pStyle w:val="Compact"/>
              <w:jc w:val="left"/>
            </w:pPr>
            <m:oMath>
              <m:r>
                <m:rPr>
                  <m:sty m:val="p"/>
                </m:rPr>
                <m:t>&lt;</m:t>
              </m:r>
              <m:r>
                <m:t>5</m:t>
              </m:r>
              <m:r>
                <m:rPr>
                  <m:nor/>
                  <m:sty m:val="p"/>
                </m:rPr>
                <m:t> nT</m:t>
              </m:r>
            </m:oMath>
            <w:r>
              <w:t xml:space="preserve">​</w:t>
            </w:r>
          </w:p>
        </w:tc>
        <w:tc>
          <w:tcPr/>
          <w:p>
            <w:pPr>
              <w:pStyle w:val="Compact"/>
              <w:jc w:val="left"/>
            </w:pPr>
            <w:r>
              <w:t xml:space="preserve">3-layer Permalloy magnetic shield</w:t>
            </w:r>
          </w:p>
        </w:tc>
        <w:tc>
          <w:tcPr/>
          <w:p>
            <w:pPr>
              <w:pStyle w:val="Compact"/>
              <w:jc w:val="left"/>
            </w:pPr>
            <w:r>
              <w:t xml:space="preserve">External GMF chamber (</w:t>
            </w:r>
            <m:oMath>
              <m:r>
                <m:t>50</m:t>
              </m:r>
              <m:r>
                <m:t> </m:t>
              </m:r>
              <m:r>
                <m:t>μ</m:t>
              </m:r>
              <m:r>
                <m:rPr>
                  <m:nor/>
                  <m:sty m:val="p"/>
                </m:rPr>
                <m:t>T</m:t>
              </m:r>
            </m:oMath>
            <w:r>
              <w:t xml:space="preserve">)</w:t>
            </w:r>
          </w:p>
        </w:tc>
        <w:tc>
          <w:tcPr/>
          <w:p>
            <w:pPr>
              <w:pStyle w:val="Compact"/>
              <w:jc w:val="left"/>
            </w:pPr>
            <m:oMath>
              <m:r>
                <m:t>N</m:t>
              </m:r>
              <m:r>
                <m:rPr>
                  <m:sty m:val="p"/>
                </m:rPr>
                <m:t>=</m:t>
              </m:r>
              <m:r>
                <m:t>150</m:t>
              </m:r>
            </m:oMath>
            <w:r>
              <w:t xml:space="preserve"> </w:t>
            </w:r>
            <w:r>
              <w:t xml:space="preserve">caryopses</w:t>
            </w:r>
          </w:p>
        </w:tc>
        <w:tc>
          <w:tcPr/>
          <w:p>
            <w:pPr>
              <w:pStyle w:val="Compact"/>
              <w:jc w:val="left"/>
            </w:pPr>
            <m:oMath>
              <m:sSub>
                <m:e>
                  <m:r>
                    <m:t>M</m:t>
                  </m:r>
                </m:e>
                <m:sub>
                  <m:r>
                    <m:t>1</m:t>
                  </m:r>
                </m:sub>
              </m:sSub>
              <m:r>
                <m:rPr>
                  <m:sty m:val="p"/>
                </m:rPr>
                <m:t>/</m:t>
              </m:r>
              <m:sSub>
                <m:e>
                  <m:r>
                    <m:t>M</m:t>
                  </m:r>
                </m:e>
                <m:sub>
                  <m:r>
                    <m:t>2</m:t>
                  </m:r>
                </m:sub>
              </m:sSub>
            </m:oMath>
            <w:r>
              <w:t xml:space="preserve"> </w:t>
            </w:r>
            <w:r>
              <w:t xml:space="preserve">(Radicle emergence)</w:t>
            </w:r>
          </w:p>
        </w:tc>
        <w:tc>
          <w:tcPr/>
          <w:p>
            <w:pPr>
              <w:pStyle w:val="Compact"/>
              <w:jc w:val="left"/>
            </w:pPr>
            <m:oMath>
              <m:r>
                <m:rPr>
                  <m:sty m:val="p"/>
                </m:rPr>
                <m:t>−</m:t>
              </m:r>
              <m:r>
                <m:t>22.0</m:t>
              </m:r>
              <m:r>
                <m:rPr>
                  <m:sty m:val="p"/>
                </m:rPr>
                <m:t>%</m:t>
              </m:r>
            </m:oMath>
            <w:r>
              <w:t xml:space="preserve">​</w:t>
            </w:r>
          </w:p>
        </w:tc>
        <w:tc>
          <w:tcPr/>
          <w:p>
            <w:pPr>
              <w:pStyle w:val="Compact"/>
              <w:jc w:val="left"/>
            </w:pPr>
            <m:oMath>
              <m:r>
                <m:rPr>
                  <m:sty m:val="p"/>
                </m:rPr>
                <m:t>+</m:t>
              </m:r>
              <m:r>
                <m:t>18.5</m:t>
              </m:r>
              <m:r>
                <m:rPr>
                  <m:nor/>
                  <m:sty m:val="p"/>
                </m:rPr>
                <m:t> h</m:t>
              </m:r>
            </m:oMath>
            <w:r>
              <w:t xml:space="preserve">​</w:t>
            </w:r>
          </w:p>
        </w:tc>
        <w:tc>
          <w:tcPr/>
          <w:p>
            <w:pPr>
              <w:pStyle w:val="Compact"/>
              <w:jc w:val="left"/>
            </w:pPr>
            <m:oMath>
              <m:r>
                <m:rPr>
                  <m:sty m:val="p"/>
                </m:rPr>
                <m:t>−</m:t>
              </m:r>
              <m:r>
                <m:t>29.2</m:t>
              </m:r>
              <m:r>
                <m:rPr>
                  <m:sty m:val="p"/>
                </m:rPr>
                <m:t>%</m:t>
              </m:r>
            </m:oMath>
            <w:r>
              <w:t xml:space="preserve"> </w:t>
            </w:r>
            <w:r>
              <w:t xml:space="preserve">(fresh)</w:t>
            </w:r>
          </w:p>
        </w:tc>
      </w:tr>
      <w:tr>
        <w:tc>
          <w:tcPr/>
          <w:p>
            <w:pPr>
              <w:pStyle w:val="Compact"/>
              <w:jc w:val="left"/>
            </w:pPr>
            <w:r>
              <w:rPr>
                <w:b/>
                <w:bCs/>
              </w:rPr>
              <w:t xml:space="preserve">Agliassa et al. (2018)</w:t>
            </w:r>
            <w:r>
              <w:t xml:space="preserve"> </w:t>
            </w:r>
            <w:r>
              <w:t xml:space="preserve">[45]</w:t>
            </w:r>
          </w:p>
        </w:tc>
        <w:tc>
          <w:tcPr/>
          <w:p>
            <w:pPr>
              <w:pStyle w:val="Compact"/>
              <w:jc w:val="left"/>
            </w:pPr>
            <w:r>
              <w:rPr>
                <w:i/>
                <w:iCs/>
              </w:rPr>
              <w:t xml:space="preserve">Arabidopsis thaliana</w:t>
            </w:r>
            <w:r>
              <w:t xml:space="preserve"> </w:t>
            </w:r>
            <w:r>
              <w:t xml:space="preserve">(Col-0)</w:t>
            </w:r>
          </w:p>
        </w:tc>
        <w:tc>
          <w:tcPr/>
          <w:p>
            <w:pPr>
              <w:pStyle w:val="Compact"/>
              <w:jc w:val="left"/>
            </w:pPr>
            <m:oMath>
              <m:r>
                <m:rPr>
                  <m:sty m:val="p"/>
                </m:rPr>
                <m:t>&lt;</m:t>
              </m:r>
              <m:r>
                <m:t>10</m:t>
              </m:r>
              <m:r>
                <m:rPr>
                  <m:nor/>
                  <m:sty m:val="p"/>
                </m:rPr>
                <m:t> nT</m:t>
              </m:r>
            </m:oMath>
            <w:r>
              <w:t xml:space="preserve">​</w:t>
            </w:r>
          </w:p>
        </w:tc>
        <w:tc>
          <w:tcPr/>
          <w:p>
            <w:pPr>
              <w:pStyle w:val="Compact"/>
              <w:jc w:val="left"/>
            </w:pPr>
            <w:r>
              <w:t xml:space="preserve">Triaxial Helmholtz system</w:t>
            </w:r>
          </w:p>
        </w:tc>
        <w:tc>
          <w:tcPr/>
          <w:p>
            <w:pPr>
              <w:pStyle w:val="Compact"/>
              <w:jc w:val="left"/>
            </w:pPr>
            <w:r>
              <w:t xml:space="preserve">Matched GMF control (</w:t>
            </w:r>
            <m:oMath>
              <m:r>
                <m:t>44</m:t>
              </m:r>
              <m:r>
                <m:t> </m:t>
              </m:r>
              <m:r>
                <m:t>μ</m:t>
              </m:r>
              <m:r>
                <m:rPr>
                  <m:nor/>
                  <m:sty m:val="p"/>
                </m:rPr>
                <m:t>T</m:t>
              </m:r>
            </m:oMath>
            <w:r>
              <w:t xml:space="preserve">)</w:t>
            </w:r>
          </w:p>
        </w:tc>
        <w:tc>
          <w:tcPr/>
          <w:p>
            <w:pPr>
              <w:pStyle w:val="Compact"/>
              <w:jc w:val="left"/>
            </w:pPr>
            <m:oMath>
              <m:r>
                <m:t>N</m:t>
              </m:r>
              <m:r>
                <m:rPr>
                  <m:sty m:val="p"/>
                </m:rPr>
                <m:t>=</m:t>
              </m:r>
              <m:r>
                <m:t>100</m:t>
              </m:r>
            </m:oMath>
            <w:r>
              <w:t xml:space="preserve"> </w:t>
            </w:r>
            <w:r>
              <w:t xml:space="preserve">seeds</w:t>
            </w:r>
          </w:p>
        </w:tc>
        <w:tc>
          <w:tcPr/>
          <w:p>
            <w:pPr>
              <w:pStyle w:val="Compact"/>
              <w:jc w:val="left"/>
            </w:pPr>
            <m:oMath>
              <m:sSub>
                <m:e>
                  <m:r>
                    <m:t>M</m:t>
                  </m:r>
                </m:e>
                <m:sub>
                  <m:r>
                    <m:t>1</m:t>
                  </m:r>
                </m:sub>
              </m:sSub>
              <m:r>
                <m:rPr>
                  <m:sty m:val="p"/>
                </m:rPr>
                <m:t>/</m:t>
              </m:r>
              <m:sSub>
                <m:e>
                  <m:r>
                    <m:t>M</m:t>
                  </m:r>
                </m:e>
                <m:sub>
                  <m:r>
                    <m:t>3</m:t>
                  </m:r>
                </m:sub>
              </m:sSub>
            </m:oMath>
            <w:r>
              <w:t xml:space="preserve"> </w:t>
            </w:r>
            <w:r>
              <w:t xml:space="preserve">(Cotyledons)</w:t>
            </w:r>
          </w:p>
        </w:tc>
        <w:tc>
          <w:tcPr/>
          <w:p>
            <w:pPr>
              <w:pStyle w:val="Compact"/>
              <w:jc w:val="left"/>
            </w:pPr>
            <m:oMath>
              <m:r>
                <m:rPr>
                  <m:sty m:val="p"/>
                </m:rPr>
                <m:t>−</m:t>
              </m:r>
              <m:r>
                <m:t>15.0</m:t>
              </m:r>
              <m:r>
                <m:rPr>
                  <m:sty m:val="p"/>
                </m:rPr>
                <m:t>%</m:t>
              </m:r>
            </m:oMath>
            <w:r>
              <w:t xml:space="preserve">​</w:t>
            </w:r>
          </w:p>
        </w:tc>
        <w:tc>
          <w:tcPr/>
          <w:p>
            <w:pPr>
              <w:pStyle w:val="Compact"/>
              <w:jc w:val="left"/>
            </w:pPr>
            <m:oMath>
              <m:r>
                <m:rPr>
                  <m:sty m:val="p"/>
                </m:rPr>
                <m:t>+</m:t>
              </m:r>
              <m:r>
                <m:t>12.0</m:t>
              </m:r>
              <m:r>
                <m:rPr>
                  <m:nor/>
                  <m:sty m:val="p"/>
                </m:rPr>
                <m:t> h</m:t>
              </m:r>
            </m:oMath>
            <w:r>
              <w:t xml:space="preserve">​</w:t>
            </w:r>
          </w:p>
        </w:tc>
        <w:tc>
          <w:tcPr/>
          <w:p>
            <w:pPr>
              <w:pStyle w:val="Compact"/>
              <w:jc w:val="left"/>
            </w:pPr>
            <m:oMath>
              <m:r>
                <m:rPr>
                  <m:sty m:val="p"/>
                </m:rPr>
                <m:t>−</m:t>
              </m:r>
              <m:r>
                <m:t>21.5</m:t>
              </m:r>
              <m:r>
                <m:rPr>
                  <m:sty m:val="p"/>
                </m:rPr>
                <m:t>%</m:t>
              </m:r>
            </m:oMath>
            <w:r>
              <w:t xml:space="preserve"> </w:t>
            </w:r>
            <w:r>
              <w:t xml:space="preserve">(dry)</w:t>
            </w:r>
          </w:p>
        </w:tc>
      </w:tr>
      <w:tr>
        <w:tc>
          <w:tcPr/>
          <w:p>
            <w:pPr>
              <w:pStyle w:val="Compact"/>
              <w:jc w:val="left"/>
            </w:pPr>
            <w:r>
              <w:rPr>
                <w:b/>
                <w:bCs/>
              </w:rPr>
              <w:t xml:space="preserve">Pooam et al. (2019)</w:t>
            </w:r>
            <w:r>
              <w:t xml:space="preserve"> </w:t>
            </w:r>
            <w:r>
              <w:t xml:space="preserve">[58]</w:t>
            </w:r>
          </w:p>
        </w:tc>
        <w:tc>
          <w:tcPr/>
          <w:p>
            <w:pPr>
              <w:pStyle w:val="Compact"/>
              <w:jc w:val="left"/>
            </w:pPr>
            <w:r>
              <w:rPr>
                <w:i/>
                <w:iCs/>
              </w:rPr>
              <w:t xml:space="preserve">Arabidopsis thaliana</w:t>
            </w:r>
            <w:r>
              <w:t xml:space="preserve"> </w:t>
            </w:r>
            <w:r>
              <w:t xml:space="preserve">(Col-0 &amp;</w:t>
            </w:r>
            <w:r>
              <w:t xml:space="preserve"> </w:t>
            </w:r>
            <w:r>
              <w:rPr>
                <w:i/>
                <w:iCs/>
              </w:rPr>
              <w:t xml:space="preserve">cry1/cry2</w:t>
            </w:r>
            <w:r>
              <w:t xml:space="preserve">)</w:t>
            </w:r>
          </w:p>
        </w:tc>
        <w:tc>
          <w:tcPr/>
          <w:p>
            <w:pPr>
              <w:pStyle w:val="Compact"/>
              <w:jc w:val="left"/>
            </w:pPr>
            <m:oMath>
              <m:r>
                <m:rPr>
                  <m:sty m:val="p"/>
                </m:rPr>
                <m:t>&lt;</m:t>
              </m:r>
              <m:r>
                <m:t>5</m:t>
              </m:r>
              <m:r>
                <m:rPr>
                  <m:nor/>
                  <m:sty m:val="p"/>
                </m:rPr>
                <m:t> nT</m:t>
              </m:r>
            </m:oMath>
            <w:r>
              <w:t xml:space="preserve">​</w:t>
            </w:r>
          </w:p>
        </w:tc>
        <w:tc>
          <w:tcPr/>
          <w:p>
            <w:pPr>
              <w:pStyle w:val="Compact"/>
              <w:jc w:val="left"/>
            </w:pPr>
            <w:r>
              <w:t xml:space="preserve">Triaxial Merritt coils</w:t>
            </w:r>
          </w:p>
        </w:tc>
        <w:tc>
          <w:tcPr/>
          <w:p>
            <w:pPr>
              <w:pStyle w:val="Compact"/>
              <w:jc w:val="left"/>
            </w:pPr>
            <w:r>
              <w:t xml:space="preserve">Matched local GMF (</w:t>
            </w:r>
            <m:oMath>
              <m:r>
                <m:t>48</m:t>
              </m:r>
              <m:r>
                <m:t> </m:t>
              </m:r>
              <m:r>
                <m:t>μ</m:t>
              </m:r>
              <m:r>
                <m:rPr>
                  <m:nor/>
                  <m:sty m:val="p"/>
                </m:rPr>
                <m:t>T</m:t>
              </m:r>
            </m:oMath>
            <w:r>
              <w:t xml:space="preserve">)</w:t>
            </w:r>
          </w:p>
        </w:tc>
        <w:tc>
          <w:tcPr/>
          <w:p>
            <w:pPr>
              <w:pStyle w:val="Compact"/>
              <w:jc w:val="left"/>
            </w:pPr>
            <m:oMath>
              <m:r>
                <m:t>N</m:t>
              </m:r>
              <m:r>
                <m:rPr>
                  <m:sty m:val="p"/>
                </m:rPr>
                <m:t>=</m:t>
              </m:r>
              <m:r>
                <m:t>90</m:t>
              </m:r>
            </m:oMath>
            <w:r>
              <w:t xml:space="preserve"> </w:t>
            </w:r>
            <w:r>
              <w:t xml:space="preserve">seeds</w:t>
            </w:r>
          </w:p>
        </w:tc>
        <w:tc>
          <w:tcPr/>
          <w:p>
            <w:pPr>
              <w:pStyle w:val="Compact"/>
              <w:jc w:val="left"/>
            </w:pPr>
            <m:oMath>
              <m:sSub>
                <m:e>
                  <m:r>
                    <m:t>M</m:t>
                  </m:r>
                </m:e>
                <m:sub>
                  <m:r>
                    <m:t>2</m:t>
                  </m:r>
                </m:sub>
              </m:sSub>
              <m:r>
                <m:rPr>
                  <m:sty m:val="p"/>
                </m:rPr>
                <m:t>/</m:t>
              </m:r>
              <m:sSub>
                <m:e>
                  <m:r>
                    <m:t>M</m:t>
                  </m:r>
                </m:e>
                <m:sub>
                  <m:r>
                    <m:t>3</m:t>
                  </m:r>
                </m:sub>
              </m:sSub>
            </m:oMath>
            <w:r>
              <w:t xml:space="preserve"> </w:t>
            </w:r>
            <w:r>
              <w:t xml:space="preserve">(De-etiolation)</w:t>
            </w:r>
          </w:p>
        </w:tc>
        <w:tc>
          <w:tcPr/>
          <w:p>
            <w:pPr>
              <w:pStyle w:val="Compact"/>
              <w:jc w:val="left"/>
            </w:pPr>
            <m:oMath>
              <m:r>
                <m:rPr>
                  <m:sty m:val="p"/>
                </m:rPr>
                <m:t>−</m:t>
              </m:r>
              <m:r>
                <m:t>12.0</m:t>
              </m:r>
              <m:r>
                <m:rPr>
                  <m:sty m:val="p"/>
                </m:rPr>
                <m:t>%</m:t>
              </m:r>
            </m:oMath>
            <w:r>
              <w:t xml:space="preserve">​</w:t>
            </w:r>
          </w:p>
        </w:tc>
        <w:tc>
          <w:tcPr/>
          <w:p>
            <w:pPr>
              <w:pStyle w:val="Compact"/>
              <w:jc w:val="left"/>
            </w:pPr>
            <m:oMath>
              <m:r>
                <m:rPr>
                  <m:sty m:val="p"/>
                </m:rPr>
                <m:t>+</m:t>
              </m:r>
              <m:r>
                <m:t>13.5</m:t>
              </m:r>
              <m:r>
                <m:rPr>
                  <m:nor/>
                  <m:sty m:val="p"/>
                </m:rPr>
                <m:t> h</m:t>
              </m:r>
            </m:oMath>
            <w:r>
              <w:t xml:space="preserve">​</w:t>
            </w:r>
          </w:p>
        </w:tc>
        <w:tc>
          <w:tcPr/>
          <w:p>
            <w:pPr>
              <w:pStyle w:val="Compact"/>
              <w:jc w:val="left"/>
            </w:pPr>
            <m:oMath>
              <m:r>
                <m:rPr>
                  <m:sty m:val="p"/>
                </m:rPr>
                <m:t>−</m:t>
              </m:r>
              <m:r>
                <m:t>19.0</m:t>
              </m:r>
              <m:r>
                <m:rPr>
                  <m:sty m:val="p"/>
                </m:rPr>
                <m:t>%</m:t>
              </m:r>
            </m:oMath>
            <w:r>
              <w:t xml:space="preserve"> </w:t>
            </w:r>
            <w:r>
              <w:t xml:space="preserve">(fresh)</w:t>
            </w:r>
          </w:p>
        </w:tc>
      </w:tr>
      <w:tr>
        <w:tc>
          <w:tcPr/>
          <w:p>
            <w:pPr>
              <w:pStyle w:val="Compact"/>
              <w:jc w:val="left"/>
            </w:pPr>
            <w:r>
              <w:rPr>
                <w:b/>
                <w:bCs/>
              </w:rPr>
              <w:t xml:space="preserve">Belyavskaya (2001, 2004)</w:t>
            </w:r>
            <w:r>
              <w:t xml:space="preserve"> </w:t>
            </w:r>
            <w:r>
              <w:t xml:space="preserve">[26,38]</w:t>
            </w:r>
          </w:p>
        </w:tc>
        <w:tc>
          <w:tcPr/>
          <w:p>
            <w:pPr>
              <w:pStyle w:val="Compact"/>
              <w:jc w:val="left"/>
            </w:pPr>
            <w:r>
              <w:rPr>
                <w:i/>
                <w:iCs/>
              </w:rPr>
              <w:t xml:space="preserve">Pisum sativum</w:t>
            </w:r>
            <w:r>
              <w:t xml:space="preserve"> </w:t>
            </w:r>
            <w:r>
              <w:t xml:space="preserve">(pea cv. Uladovsky)</w:t>
            </w:r>
          </w:p>
        </w:tc>
        <w:tc>
          <w:tcPr/>
          <w:p>
            <w:pPr>
              <w:pStyle w:val="Compact"/>
              <w:jc w:val="left"/>
            </w:pPr>
            <m:oMath>
              <m:r>
                <m:rPr>
                  <m:sty m:val="p"/>
                </m:rPr>
                <m:t>&lt;</m:t>
              </m:r>
              <m:r>
                <m:t>50</m:t>
              </m:r>
              <m:r>
                <m:rPr>
                  <m:nor/>
                  <m:sty m:val="p"/>
                </m:rPr>
                <m:t> nT</m:t>
              </m:r>
            </m:oMath>
            <w:r>
              <w:t xml:space="preserve">​</w:t>
            </w:r>
          </w:p>
        </w:tc>
        <w:tc>
          <w:tcPr/>
          <w:p>
            <w:pPr>
              <w:pStyle w:val="Compact"/>
              <w:jc w:val="left"/>
            </w:pPr>
            <m:oMath>
              <m:r>
                <m:t>μ</m:t>
              </m:r>
            </m:oMath>
            <w:r>
              <w:t xml:space="preserve">-metal cylindrical shield</w:t>
            </w:r>
          </w:p>
        </w:tc>
        <w:tc>
          <w:tcPr/>
          <w:p>
            <w:pPr>
              <w:pStyle w:val="Compact"/>
              <w:jc w:val="left"/>
            </w:pPr>
            <w:r>
              <w:t xml:space="preserve">Unshielded room control (</w:t>
            </w:r>
            <m:oMath>
              <m:r>
                <m:t>46</m:t>
              </m:r>
              <m:r>
                <m:t> </m:t>
              </m:r>
              <m:r>
                <m:t>μ</m:t>
              </m:r>
              <m:r>
                <m:rPr>
                  <m:nor/>
                  <m:sty m:val="p"/>
                </m:rPr>
                <m:t>T</m:t>
              </m:r>
            </m:oMath>
            <w:r>
              <w:t xml:space="preserve">)</w:t>
            </w:r>
          </w:p>
        </w:tc>
        <w:tc>
          <w:tcPr/>
          <w:p>
            <w:pPr>
              <w:pStyle w:val="Compact"/>
              <w:jc w:val="left"/>
            </w:pPr>
            <m:oMath>
              <m:r>
                <m:t>N</m:t>
              </m:r>
              <m:r>
                <m:rPr>
                  <m:sty m:val="p"/>
                </m:rPr>
                <m:t>=</m:t>
              </m:r>
              <m:r>
                <m:t>80</m:t>
              </m:r>
            </m:oMath>
            <w:r>
              <w:t xml:space="preserve"> </w:t>
            </w:r>
            <w:r>
              <w:t xml:space="preserve">seeds</w:t>
            </w:r>
          </w:p>
        </w:tc>
        <w:tc>
          <w:tcPr/>
          <w:p>
            <w:pPr>
              <w:pStyle w:val="Compact"/>
              <w:jc w:val="left"/>
            </w:pPr>
            <m:oMath>
              <m:sSub>
                <m:e>
                  <m:r>
                    <m:t>M</m:t>
                  </m:r>
                </m:e>
                <m:sub>
                  <m:r>
                    <m:t>1</m:t>
                  </m:r>
                </m:sub>
              </m:sSub>
            </m:oMath>
            <w:r>
              <w:t xml:space="preserve"> </w:t>
            </w:r>
            <w:r>
              <w:t xml:space="preserve">(Testa rupture)</w:t>
            </w:r>
          </w:p>
        </w:tc>
        <w:tc>
          <w:tcPr/>
          <w:p>
            <w:pPr>
              <w:pStyle w:val="Compact"/>
              <w:jc w:val="left"/>
            </w:pPr>
            <m:oMath>
              <m:r>
                <m:rPr>
                  <m:sty m:val="p"/>
                </m:rPr>
                <m:t>−</m:t>
              </m:r>
              <m:r>
                <m:t>25.0</m:t>
              </m:r>
              <m:r>
                <m:rPr>
                  <m:sty m:val="p"/>
                </m:rPr>
                <m:t>%</m:t>
              </m:r>
            </m:oMath>
            <w:r>
              <w:t xml:space="preserve">​</w:t>
            </w:r>
          </w:p>
        </w:tc>
        <w:tc>
          <w:tcPr/>
          <w:p>
            <w:pPr>
              <w:pStyle w:val="Compact"/>
              <w:jc w:val="left"/>
            </w:pPr>
            <m:oMath>
              <m:r>
                <m:rPr>
                  <m:sty m:val="p"/>
                </m:rPr>
                <m:t>+</m:t>
              </m:r>
              <m:r>
                <m:t>22.0</m:t>
              </m:r>
              <m:r>
                <m:rPr>
                  <m:nor/>
                  <m:sty m:val="p"/>
                </m:rPr>
                <m:t> h</m:t>
              </m:r>
            </m:oMath>
            <w:r>
              <w:t xml:space="preserve">​</w:t>
            </w:r>
          </w:p>
        </w:tc>
        <w:tc>
          <w:tcPr/>
          <w:p>
            <w:pPr>
              <w:pStyle w:val="Compact"/>
              <w:jc w:val="left"/>
            </w:pPr>
            <m:oMath>
              <m:r>
                <m:rPr>
                  <m:sty m:val="p"/>
                </m:rPr>
                <m:t>−</m:t>
              </m:r>
              <m:r>
                <m:t>32.5</m:t>
              </m:r>
              <m:r>
                <m:rPr>
                  <m:sty m:val="p"/>
                </m:rPr>
                <m:t>%</m:t>
              </m:r>
            </m:oMath>
            <w:r>
              <w:t xml:space="preserve"> </w:t>
            </w:r>
            <w:r>
              <w:t xml:space="preserve">(dry)</w:t>
            </w:r>
          </w:p>
        </w:tc>
      </w:tr>
      <w:tr>
        <w:tc>
          <w:tcPr/>
          <w:p>
            <w:pPr>
              <w:pStyle w:val="Compact"/>
              <w:jc w:val="left"/>
            </w:pPr>
            <w:r>
              <w:rPr>
                <w:b/>
                <w:bCs/>
              </w:rPr>
              <w:t xml:space="preserve">Novitskii et al. (2014)</w:t>
            </w:r>
            <w:r>
              <w:t xml:space="preserve"> </w:t>
            </w:r>
            <w:r>
              <w:t xml:space="preserve">[27]</w:t>
            </w:r>
          </w:p>
        </w:tc>
        <w:tc>
          <w:tcPr/>
          <w:p>
            <w:pPr>
              <w:pStyle w:val="Compact"/>
              <w:jc w:val="left"/>
            </w:pPr>
            <w:r>
              <w:rPr>
                <w:i/>
                <w:iCs/>
              </w:rPr>
              <w:t xml:space="preserve">Raphanus sativus</w:t>
            </w:r>
            <w:r>
              <w:t xml:space="preserve"> </w:t>
            </w:r>
            <w:r>
              <w:t xml:space="preserve">(radish cv. Saxa)</w:t>
            </w:r>
          </w:p>
        </w:tc>
        <w:tc>
          <w:tcPr/>
          <w:p>
            <w:pPr>
              <w:pStyle w:val="Compact"/>
              <w:jc w:val="left"/>
            </w:pPr>
            <m:oMath>
              <m:r>
                <m:rPr>
                  <m:sty m:val="p"/>
                </m:rPr>
                <m:t>&lt;</m:t>
              </m:r>
              <m:r>
                <m:t>20</m:t>
              </m:r>
              <m:r>
                <m:rPr>
                  <m:nor/>
                  <m:sty m:val="p"/>
                </m:rPr>
                <m:t> nT</m:t>
              </m:r>
            </m:oMath>
            <w:r>
              <w:t xml:space="preserve">​</w:t>
            </w:r>
          </w:p>
        </w:tc>
        <w:tc>
          <w:tcPr/>
          <w:p>
            <w:pPr>
              <w:pStyle w:val="Compact"/>
              <w:jc w:val="left"/>
            </w:pPr>
            <w:r>
              <w:t xml:space="preserve">2-layer Permalloy chamber</w:t>
            </w:r>
          </w:p>
        </w:tc>
        <w:tc>
          <w:tcPr/>
          <w:p>
            <w:pPr>
              <w:pStyle w:val="Compact"/>
              <w:jc w:val="left"/>
            </w:pPr>
            <w:r>
              <w:t xml:space="preserve">Matched geomagnetic control (</w:t>
            </w:r>
            <m:oMath>
              <m:r>
                <m:t>47</m:t>
              </m:r>
              <m:r>
                <m:t> </m:t>
              </m:r>
              <m:r>
                <m:t>μ</m:t>
              </m:r>
              <m:r>
                <m:rPr>
                  <m:nor/>
                  <m:sty m:val="p"/>
                </m:rPr>
                <m:t>T</m:t>
              </m:r>
            </m:oMath>
            <w:r>
              <w:t xml:space="preserve">)</w:t>
            </w:r>
          </w:p>
        </w:tc>
        <w:tc>
          <w:tcPr/>
          <w:p>
            <w:pPr>
              <w:pStyle w:val="Compact"/>
              <w:jc w:val="left"/>
            </w:pPr>
            <m:oMath>
              <m:r>
                <m:t>N</m:t>
              </m:r>
              <m:r>
                <m:rPr>
                  <m:sty m:val="p"/>
                </m:rPr>
                <m:t>=</m:t>
              </m:r>
              <m:r>
                <m:t>100</m:t>
              </m:r>
            </m:oMath>
            <w:r>
              <w:t xml:space="preserve"> </w:t>
            </w:r>
            <w:r>
              <w:t xml:space="preserve">seeds</w:t>
            </w:r>
          </w:p>
        </w:tc>
        <w:tc>
          <w:tcPr/>
          <w:p>
            <w:pPr>
              <w:pStyle w:val="Compact"/>
              <w:jc w:val="left"/>
            </w:pPr>
            <m:oMath>
              <m:sSub>
                <m:e>
                  <m:r>
                    <m:t>M</m:t>
                  </m:r>
                </m:e>
                <m:sub>
                  <m:r>
                    <m:t>1</m:t>
                  </m:r>
                </m:sub>
              </m:sSub>
              <m:r>
                <m:rPr>
                  <m:sty m:val="p"/>
                </m:rPr>
                <m:t>/</m:t>
              </m:r>
              <m:sSub>
                <m:e>
                  <m:r>
                    <m:t>M</m:t>
                  </m:r>
                </m:e>
                <m:sub>
                  <m:r>
                    <m:t>2</m:t>
                  </m:r>
                </m:sub>
              </m:sSub>
            </m:oMath>
            <w:r>
              <w:t xml:space="preserve"> </w:t>
            </w:r>
            <w:r>
              <w:t xml:space="preserve">(Radicle emergence)</w:t>
            </w:r>
          </w:p>
        </w:tc>
        <w:tc>
          <w:tcPr/>
          <w:p>
            <w:pPr>
              <w:pStyle w:val="Compact"/>
              <w:jc w:val="left"/>
            </w:pPr>
            <m:oMath>
              <m:r>
                <m:rPr>
                  <m:sty m:val="p"/>
                </m:rPr>
                <m:t>−</m:t>
              </m:r>
              <m:r>
                <m:t>28.0</m:t>
              </m:r>
              <m:r>
                <m:rPr>
                  <m:sty m:val="p"/>
                </m:rPr>
                <m:t>%</m:t>
              </m:r>
            </m:oMath>
            <w:r>
              <w:t xml:space="preserve">​</w:t>
            </w:r>
          </w:p>
        </w:tc>
        <w:tc>
          <w:tcPr/>
          <w:p>
            <w:pPr>
              <w:pStyle w:val="Compact"/>
              <w:jc w:val="left"/>
            </w:pPr>
            <m:oMath>
              <m:r>
                <m:rPr>
                  <m:sty m:val="p"/>
                </m:rPr>
                <m:t>+</m:t>
              </m:r>
              <m:r>
                <m:t>26.0</m:t>
              </m:r>
              <m:r>
                <m:rPr>
                  <m:nor/>
                  <m:sty m:val="p"/>
                </m:rPr>
                <m:t> h</m:t>
              </m:r>
            </m:oMath>
            <w:r>
              <w:t xml:space="preserve">​</w:t>
            </w:r>
          </w:p>
        </w:tc>
        <w:tc>
          <w:tcPr/>
          <w:p>
            <w:pPr>
              <w:pStyle w:val="Compact"/>
              <w:jc w:val="left"/>
            </w:pPr>
            <m:oMath>
              <m:r>
                <m:rPr>
                  <m:sty m:val="p"/>
                </m:rPr>
                <m:t>−</m:t>
              </m:r>
              <m:r>
                <m:t>31.0</m:t>
              </m:r>
              <m:r>
                <m:rPr>
                  <m:sty m:val="p"/>
                </m:rPr>
                <m:t>%</m:t>
              </m:r>
            </m:oMath>
            <w:r>
              <w:t xml:space="preserve"> </w:t>
            </w:r>
            <w:r>
              <w:t xml:space="preserve">(fresh)</w:t>
            </w:r>
          </w:p>
        </w:tc>
      </w:tr>
      <w:tr>
        <w:tc>
          <w:tcPr/>
          <w:p>
            <w:pPr>
              <w:pStyle w:val="Compact"/>
              <w:jc w:val="left"/>
            </w:pPr>
            <w:r>
              <w:rPr>
                <w:b/>
                <w:bCs/>
              </w:rPr>
              <w:t xml:space="preserve">Narayana et al. (2018)</w:t>
            </w:r>
            <w:r>
              <w:t xml:space="preserve"> </w:t>
            </w:r>
            <w:r>
              <w:t xml:space="preserve">[37]</w:t>
            </w:r>
          </w:p>
        </w:tc>
        <w:tc>
          <w:tcPr/>
          <w:p>
            <w:pPr>
              <w:pStyle w:val="Compact"/>
              <w:jc w:val="left"/>
            </w:pPr>
            <w:r>
              <w:rPr>
                <w:i/>
                <w:iCs/>
              </w:rPr>
              <w:t xml:space="preserve">Arabidopsis thaliana</w:t>
            </w:r>
            <w:r>
              <w:t xml:space="preserve"> </w:t>
            </w:r>
            <w:r>
              <w:t xml:space="preserve">(Col-0)</w:t>
            </w:r>
          </w:p>
        </w:tc>
        <w:tc>
          <w:tcPr/>
          <w:p>
            <w:pPr>
              <w:pStyle w:val="Compact"/>
              <w:jc w:val="left"/>
            </w:pPr>
            <m:oMath>
              <m:r>
                <m:rPr>
                  <m:sty m:val="p"/>
                </m:rPr>
                <m:t>&lt;</m:t>
              </m:r>
              <m:r>
                <m:t>10</m:t>
              </m:r>
              <m:r>
                <m:rPr>
                  <m:nor/>
                  <m:sty m:val="p"/>
                </m:rPr>
                <m:t> nT</m:t>
              </m:r>
            </m:oMath>
            <w:r>
              <w:t xml:space="preserve">​</w:t>
            </w:r>
          </w:p>
        </w:tc>
        <w:tc>
          <w:tcPr/>
          <w:p>
            <w:pPr>
              <w:pStyle w:val="Compact"/>
              <w:jc w:val="left"/>
            </w:pPr>
            <w:r>
              <w:t xml:space="preserve">Helmholtz cancellation system</w:t>
            </w:r>
          </w:p>
        </w:tc>
        <w:tc>
          <w:tcPr/>
          <w:p>
            <w:pPr>
              <w:pStyle w:val="Compact"/>
              <w:jc w:val="left"/>
            </w:pPr>
            <w:r>
              <w:t xml:space="preserve">Matched GMF control (</w:t>
            </w:r>
            <m:oMath>
              <m:r>
                <m:t>45</m:t>
              </m:r>
              <m:r>
                <m:t> </m:t>
              </m:r>
              <m:r>
                <m:t>μ</m:t>
              </m:r>
              <m:r>
                <m:rPr>
                  <m:nor/>
                  <m:sty m:val="p"/>
                </m:rPr>
                <m:t>T</m:t>
              </m:r>
            </m:oMath>
            <w:r>
              <w:t xml:space="preserve">)</w:t>
            </w:r>
          </w:p>
        </w:tc>
        <w:tc>
          <w:tcPr/>
          <w:p>
            <w:pPr>
              <w:pStyle w:val="Compact"/>
              <w:jc w:val="left"/>
            </w:pPr>
            <m:oMath>
              <m:r>
                <m:t>N</m:t>
              </m:r>
              <m:r>
                <m:rPr>
                  <m:sty m:val="p"/>
                </m:rPr>
                <m:t>=</m:t>
              </m:r>
              <m:r>
                <m:t>150</m:t>
              </m:r>
            </m:oMath>
            <w:r>
              <w:t xml:space="preserve"> </w:t>
            </w:r>
            <w:r>
              <w:t xml:space="preserve">seeds</w:t>
            </w:r>
          </w:p>
        </w:tc>
        <w:tc>
          <w:tcPr/>
          <w:p>
            <w:pPr>
              <w:pStyle w:val="Compact"/>
              <w:jc w:val="left"/>
            </w:pPr>
            <m:oMath>
              <m:sSub>
                <m:e>
                  <m:r>
                    <m:t>M</m:t>
                  </m:r>
                </m:e>
                <m:sub>
                  <m:r>
                    <m:t>2</m:t>
                  </m:r>
                </m:sub>
              </m:sSub>
            </m:oMath>
            <w:r>
              <w:t xml:space="preserve"> </w:t>
            </w:r>
            <w:r>
              <w:t xml:space="preserve">(Radicle emergence)</w:t>
            </w:r>
          </w:p>
        </w:tc>
        <w:tc>
          <w:tcPr/>
          <w:p>
            <w:pPr>
              <w:pStyle w:val="Compact"/>
              <w:jc w:val="left"/>
            </w:pPr>
            <m:oMath>
              <m:r>
                <m:rPr>
                  <m:sty m:val="p"/>
                </m:rPr>
                <m:t>−</m:t>
              </m:r>
              <m:r>
                <m:t>14.0</m:t>
              </m:r>
              <m:r>
                <m:rPr>
                  <m:sty m:val="p"/>
                </m:rPr>
                <m:t>%</m:t>
              </m:r>
            </m:oMath>
            <w:r>
              <w:t xml:space="preserve">​</w:t>
            </w:r>
          </w:p>
        </w:tc>
        <w:tc>
          <w:tcPr/>
          <w:p>
            <w:pPr>
              <w:pStyle w:val="Compact"/>
              <w:jc w:val="left"/>
            </w:pPr>
            <m:oMath>
              <m:r>
                <m:rPr>
                  <m:sty m:val="p"/>
                </m:rPr>
                <m:t>+</m:t>
              </m:r>
              <m:r>
                <m:t>15.0</m:t>
              </m:r>
              <m:r>
                <m:rPr>
                  <m:nor/>
                  <m:sty m:val="p"/>
                </m:rPr>
                <m:t> h</m:t>
              </m:r>
            </m:oMath>
            <w:r>
              <w:t xml:space="preserve">​</w:t>
            </w:r>
          </w:p>
        </w:tc>
        <w:tc>
          <w:tcPr/>
          <w:p>
            <w:pPr>
              <w:pStyle w:val="Compact"/>
              <w:jc w:val="left"/>
            </w:pPr>
            <m:oMath>
              <m:r>
                <m:rPr>
                  <m:sty m:val="p"/>
                </m:rPr>
                <m:t>−</m:t>
              </m:r>
              <m:r>
                <m:t>26.0</m:t>
              </m:r>
              <m:r>
                <m:rPr>
                  <m:sty m:val="p"/>
                </m:rPr>
                <m:t>%</m:t>
              </m:r>
            </m:oMath>
            <w:r>
              <w:t xml:space="preserve"> </w:t>
            </w:r>
            <w:r>
              <w:t xml:space="preserve">(dry)</w:t>
            </w:r>
          </w:p>
        </w:tc>
      </w:tr>
      <w:tr>
        <w:tc>
          <w:tcPr/>
          <w:p>
            <w:pPr>
              <w:pStyle w:val="Compact"/>
              <w:jc w:val="left"/>
            </w:pPr>
            <w:r>
              <w:rPr>
                <w:b/>
                <w:bCs/>
              </w:rPr>
              <w:t xml:space="preserve">Islam et al. (2020)</w:t>
            </w:r>
            <w:r>
              <w:t xml:space="preserve"> </w:t>
            </w:r>
            <w:r>
              <w:t xml:space="preserve">[53]</w:t>
            </w:r>
          </w:p>
        </w:tc>
        <w:tc>
          <w:tcPr/>
          <w:p>
            <w:pPr>
              <w:pStyle w:val="Compact"/>
              <w:jc w:val="left"/>
            </w:pPr>
            <w:r>
              <w:rPr>
                <w:i/>
                <w:iCs/>
              </w:rPr>
              <w:t xml:space="preserve">Arabidopsis thaliana</w:t>
            </w:r>
            <w:r>
              <w:t xml:space="preserve"> </w:t>
            </w:r>
            <w:r>
              <w:t xml:space="preserve">(Col-0)</w:t>
            </w:r>
          </w:p>
        </w:tc>
        <w:tc>
          <w:tcPr/>
          <w:p>
            <w:pPr>
              <w:pStyle w:val="Compact"/>
              <w:jc w:val="left"/>
            </w:pPr>
            <m:oMath>
              <m:r>
                <m:rPr>
                  <m:sty m:val="p"/>
                </m:rPr>
                <m:t>&lt;</m:t>
              </m:r>
              <m:r>
                <m:t>30</m:t>
              </m:r>
              <m:r>
                <m:rPr>
                  <m:nor/>
                  <m:sty m:val="p"/>
                </m:rPr>
                <m:t> nT</m:t>
              </m:r>
            </m:oMath>
            <w:r>
              <w:t xml:space="preserve">​</w:t>
            </w:r>
          </w:p>
        </w:tc>
        <w:tc>
          <w:tcPr/>
          <w:p>
            <w:pPr>
              <w:pStyle w:val="Compact"/>
              <w:jc w:val="left"/>
            </w:pPr>
            <w:r>
              <w:t xml:space="preserve">Triaxial Helmholtz cage</w:t>
            </w:r>
          </w:p>
        </w:tc>
        <w:tc>
          <w:tcPr/>
          <w:p>
            <w:pPr>
              <w:pStyle w:val="Compact"/>
              <w:jc w:val="left"/>
            </w:pPr>
            <w:r>
              <w:t xml:space="preserve">Matched GMF control (</w:t>
            </w:r>
            <m:oMath>
              <m:r>
                <m:t>45</m:t>
              </m:r>
              <m:r>
                <m:t> </m:t>
              </m:r>
              <m:r>
                <m:t>μ</m:t>
              </m:r>
              <m:r>
                <m:rPr>
                  <m:nor/>
                  <m:sty m:val="p"/>
                </m:rPr>
                <m:t>T</m:t>
              </m:r>
            </m:oMath>
            <w:r>
              <w:t xml:space="preserve">)</w:t>
            </w:r>
          </w:p>
        </w:tc>
        <w:tc>
          <w:tcPr/>
          <w:p>
            <w:pPr>
              <w:pStyle w:val="Compact"/>
              <w:jc w:val="left"/>
            </w:pPr>
            <m:oMath>
              <m:r>
                <m:t>N</m:t>
              </m:r>
              <m:r>
                <m:rPr>
                  <m:sty m:val="p"/>
                </m:rPr>
                <m:t>=</m:t>
              </m:r>
              <m:r>
                <m:t>120</m:t>
              </m:r>
            </m:oMath>
            <w:r>
              <w:t xml:space="preserve"> </w:t>
            </w:r>
            <w:r>
              <w:t xml:space="preserve">seeds</w:t>
            </w:r>
          </w:p>
        </w:tc>
        <w:tc>
          <w:tcPr/>
          <w:p>
            <w:pPr>
              <w:pStyle w:val="Compact"/>
              <w:jc w:val="left"/>
            </w:pPr>
            <m:oMath>
              <m:sSub>
                <m:e>
                  <m:r>
                    <m:t>M</m:t>
                  </m:r>
                </m:e>
                <m:sub>
                  <m:r>
                    <m:t>2</m:t>
                  </m:r>
                </m:sub>
              </m:sSub>
              <m:r>
                <m:rPr>
                  <m:sty m:val="p"/>
                </m:rPr>
                <m:t>/</m:t>
              </m:r>
              <m:sSub>
                <m:e>
                  <m:r>
                    <m:t>M</m:t>
                  </m:r>
                </m:e>
                <m:sub>
                  <m:r>
                    <m:t>3</m:t>
                  </m:r>
                </m:sub>
              </m:sSub>
            </m:oMath>
            <w:r>
              <w:t xml:space="preserve"> </w:t>
            </w:r>
            <w:r>
              <w:t xml:space="preserve">(Cotyledons)</w:t>
            </w:r>
          </w:p>
        </w:tc>
        <w:tc>
          <w:tcPr/>
          <w:p>
            <w:pPr>
              <w:pStyle w:val="Compact"/>
              <w:jc w:val="left"/>
            </w:pPr>
            <m:oMath>
              <m:r>
                <m:rPr>
                  <m:sty m:val="p"/>
                </m:rPr>
                <m:t>−</m:t>
              </m:r>
              <m:r>
                <m:t>16.5</m:t>
              </m:r>
              <m:r>
                <m:rPr>
                  <m:sty m:val="p"/>
                </m:rPr>
                <m:t>%</m:t>
              </m:r>
            </m:oMath>
            <w:r>
              <w:t xml:space="preserve">​</w:t>
            </w:r>
          </w:p>
        </w:tc>
        <w:tc>
          <w:tcPr/>
          <w:p>
            <w:pPr>
              <w:pStyle w:val="Compact"/>
              <w:jc w:val="left"/>
            </w:pPr>
            <m:oMath>
              <m:r>
                <m:rPr>
                  <m:sty m:val="p"/>
                </m:rPr>
                <m:t>+</m:t>
              </m:r>
              <m:r>
                <m:t>14.0</m:t>
              </m:r>
              <m:r>
                <m:rPr>
                  <m:nor/>
                  <m:sty m:val="p"/>
                </m:rPr>
                <m:t> h</m:t>
              </m:r>
            </m:oMath>
            <w:r>
              <w:t xml:space="preserve">​</w:t>
            </w:r>
          </w:p>
        </w:tc>
        <w:tc>
          <w:tcPr/>
          <w:p>
            <w:pPr>
              <w:pStyle w:val="Compact"/>
              <w:jc w:val="left"/>
            </w:pPr>
            <m:oMath>
              <m:r>
                <m:rPr>
                  <m:sty m:val="p"/>
                </m:rPr>
                <m:t>−</m:t>
              </m:r>
              <m:r>
                <m:t>27.5</m:t>
              </m:r>
              <m:r>
                <m:rPr>
                  <m:sty m:val="p"/>
                </m:rPr>
                <m:t>%</m:t>
              </m:r>
            </m:oMath>
            <w:r>
              <w:t xml:space="preserve"> </w:t>
            </w:r>
            <w:r>
              <w:t xml:space="preserve">(fresh)</w:t>
            </w:r>
          </w:p>
        </w:tc>
      </w:tr>
      <w:tr>
        <w:tc>
          <w:tcPr/>
          <w:p>
            <w:pPr>
              <w:pStyle w:val="Compact"/>
              <w:jc w:val="left"/>
            </w:pPr>
            <w:r>
              <w:rPr>
                <w:b/>
                <w:bCs/>
              </w:rPr>
              <w:t xml:space="preserve">Fiorillo et al. (2023)</w:t>
            </w:r>
            <w:r>
              <w:t xml:space="preserve"> </w:t>
            </w:r>
            <w:r>
              <w:t xml:space="preserve">[39]</w:t>
            </w:r>
          </w:p>
        </w:tc>
        <w:tc>
          <w:tcPr/>
          <w:p>
            <w:pPr>
              <w:pStyle w:val="Compact"/>
              <w:jc w:val="left"/>
            </w:pPr>
            <w:r>
              <w:rPr>
                <w:i/>
                <w:iCs/>
              </w:rPr>
              <w:t xml:space="preserve">Zea mays</w:t>
            </w:r>
            <w:r>
              <w:t xml:space="preserve"> </w:t>
            </w:r>
            <w:r>
              <w:t xml:space="preserve">(maize cv. PR32W86)</w:t>
            </w:r>
          </w:p>
        </w:tc>
        <w:tc>
          <w:tcPr/>
          <w:p>
            <w:pPr>
              <w:pStyle w:val="Compact"/>
              <w:jc w:val="left"/>
            </w:pPr>
            <m:oMath>
              <m:r>
                <m:rPr>
                  <m:sty m:val="p"/>
                </m:rPr>
                <m:t>&lt;</m:t>
              </m:r>
              <m:r>
                <m:t>10</m:t>
              </m:r>
              <m:r>
                <m:rPr>
                  <m:nor/>
                  <m:sty m:val="p"/>
                </m:rPr>
                <m:t> nT</m:t>
              </m:r>
            </m:oMath>
            <w:r>
              <w:t xml:space="preserve">​</w:t>
            </w:r>
          </w:p>
        </w:tc>
        <w:tc>
          <w:tcPr/>
          <w:p>
            <w:pPr>
              <w:pStyle w:val="Compact"/>
              <w:jc w:val="left"/>
            </w:pPr>
            <w:r>
              <w:t xml:space="preserve">Triaxial Helmholtz coils</w:t>
            </w:r>
          </w:p>
        </w:tc>
        <w:tc>
          <w:tcPr/>
          <w:p>
            <w:pPr>
              <w:pStyle w:val="Compact"/>
              <w:jc w:val="left"/>
            </w:pPr>
            <w:r>
              <w:t xml:space="preserve">Local GMF control (</w:t>
            </w:r>
            <m:oMath>
              <m:r>
                <m:t>46</m:t>
              </m:r>
              <m:r>
                <m:t> </m:t>
              </m:r>
              <m:r>
                <m:t>μ</m:t>
              </m:r>
              <m:r>
                <m:rPr>
                  <m:nor/>
                  <m:sty m:val="p"/>
                </m:rPr>
                <m:t>T</m:t>
              </m:r>
            </m:oMath>
            <w:r>
              <w:t xml:space="preserve">)</w:t>
            </w:r>
          </w:p>
        </w:tc>
        <w:tc>
          <w:tcPr/>
          <w:p>
            <w:pPr>
              <w:pStyle w:val="Compact"/>
              <w:jc w:val="left"/>
            </w:pPr>
            <m:oMath>
              <m:r>
                <m:t>N</m:t>
              </m:r>
              <m:r>
                <m:rPr>
                  <m:sty m:val="p"/>
                </m:rPr>
                <m:t>=</m:t>
              </m:r>
              <m:r>
                <m:t>75</m:t>
              </m:r>
            </m:oMath>
            <w:r>
              <w:t xml:space="preserve"> </w:t>
            </w:r>
            <w:r>
              <w:t xml:space="preserve">kernels</w:t>
            </w:r>
          </w:p>
        </w:tc>
        <w:tc>
          <w:tcPr/>
          <w:p>
            <w:pPr>
              <w:pStyle w:val="Compact"/>
              <w:jc w:val="left"/>
            </w:pPr>
            <m:oMath>
              <m:sSub>
                <m:e>
                  <m:r>
                    <m:t>M</m:t>
                  </m:r>
                </m:e>
                <m:sub>
                  <m:r>
                    <m:t>1</m:t>
                  </m:r>
                </m:sub>
              </m:sSub>
              <m:r>
                <m:rPr>
                  <m:sty m:val="p"/>
                </m:rPr>
                <m:t>/</m:t>
              </m:r>
              <m:sSub>
                <m:e>
                  <m:r>
                    <m:t>M</m:t>
                  </m:r>
                </m:e>
                <m:sub>
                  <m:r>
                    <m:t>2</m:t>
                  </m:r>
                </m:sub>
              </m:sSub>
            </m:oMath>
            <w:r>
              <w:t xml:space="preserve"> </w:t>
            </w:r>
            <w:r>
              <w:t xml:space="preserve">(Coleoptile)</w:t>
            </w:r>
          </w:p>
        </w:tc>
        <w:tc>
          <w:tcPr/>
          <w:p>
            <w:pPr>
              <w:pStyle w:val="Compact"/>
              <w:jc w:val="left"/>
            </w:pPr>
            <m:oMath>
              <m:r>
                <m:rPr>
                  <m:sty m:val="p"/>
                </m:rPr>
                <m:t>−</m:t>
              </m:r>
              <m:r>
                <m:t>19.0</m:t>
              </m:r>
              <m:r>
                <m:rPr>
                  <m:sty m:val="p"/>
                </m:rPr>
                <m:t>%</m:t>
              </m:r>
            </m:oMath>
            <w:r>
              <w:t xml:space="preserve">​</w:t>
            </w:r>
          </w:p>
        </w:tc>
        <w:tc>
          <w:tcPr/>
          <w:p>
            <w:pPr>
              <w:pStyle w:val="Compact"/>
              <w:jc w:val="left"/>
            </w:pPr>
            <m:oMath>
              <m:r>
                <m:rPr>
                  <m:sty m:val="p"/>
                </m:rPr>
                <m:t>+</m:t>
              </m:r>
              <m:r>
                <m:t>16.0</m:t>
              </m:r>
              <m:r>
                <m:rPr>
                  <m:nor/>
                  <m:sty m:val="p"/>
                </m:rPr>
                <m:t> h</m:t>
              </m:r>
            </m:oMath>
            <w:r>
              <w:t xml:space="preserve">​</w:t>
            </w:r>
          </w:p>
        </w:tc>
        <w:tc>
          <w:tcPr/>
          <w:p>
            <w:pPr>
              <w:pStyle w:val="Compact"/>
              <w:jc w:val="left"/>
            </w:pPr>
            <m:oMath>
              <m:r>
                <m:rPr>
                  <m:sty m:val="p"/>
                </m:rPr>
                <m:t>−</m:t>
              </m:r>
              <m:r>
                <m:t>25.5</m:t>
              </m:r>
              <m:r>
                <m:rPr>
                  <m:sty m:val="p"/>
                </m:rPr>
                <m:t>%</m:t>
              </m:r>
            </m:oMath>
            <w:r>
              <w:t xml:space="preserve"> </w:t>
            </w:r>
            <w:r>
              <w:t xml:space="preserve">(fresh)</w:t>
            </w:r>
          </w:p>
        </w:tc>
      </w:tr>
      <w:tr>
        <w:tc>
          <w:tcPr/>
          <w:p>
            <w:pPr>
              <w:pStyle w:val="Compact"/>
              <w:jc w:val="left"/>
            </w:pPr>
            <w:r>
              <w:rPr>
                <w:b/>
                <w:bCs/>
              </w:rPr>
              <w:t xml:space="preserve">Parmagnani et al. (2023)</w:t>
            </w:r>
            <w:r>
              <w:t xml:space="preserve"> </w:t>
            </w:r>
            <w:r>
              <w:t xml:space="preserve">[44]</w:t>
            </w:r>
          </w:p>
        </w:tc>
        <w:tc>
          <w:tcPr/>
          <w:p>
            <w:pPr>
              <w:pStyle w:val="Compact"/>
              <w:jc w:val="left"/>
            </w:pPr>
            <w:r>
              <w:rPr>
                <w:i/>
                <w:iCs/>
              </w:rPr>
              <w:t xml:space="preserve">Phaseolus lunatus</w:t>
            </w:r>
            <w:r>
              <w:t xml:space="preserve"> </w:t>
            </w:r>
            <w:r>
              <w:t xml:space="preserve">(Lima bean)</w:t>
            </w:r>
          </w:p>
        </w:tc>
        <w:tc>
          <w:tcPr/>
          <w:p>
            <w:pPr>
              <w:pStyle w:val="Compact"/>
              <w:jc w:val="left"/>
            </w:pPr>
            <m:oMath>
              <m:r>
                <m:rPr>
                  <m:sty m:val="p"/>
                </m:rPr>
                <m:t>&lt;</m:t>
              </m:r>
              <m:r>
                <m:t>30</m:t>
              </m:r>
              <m:r>
                <m:rPr>
                  <m:nor/>
                  <m:sty m:val="p"/>
                </m:rPr>
                <m:t> nT</m:t>
              </m:r>
            </m:oMath>
            <w:r>
              <w:t xml:space="preserve">​</w:t>
            </w:r>
          </w:p>
        </w:tc>
        <w:tc>
          <w:tcPr/>
          <w:p>
            <w:pPr>
              <w:pStyle w:val="Compact"/>
              <w:jc w:val="left"/>
            </w:pPr>
            <w:r>
              <w:t xml:space="preserve">3-axis Helmholtz cancellation</w:t>
            </w:r>
          </w:p>
        </w:tc>
        <w:tc>
          <w:tcPr/>
          <w:p>
            <w:pPr>
              <w:pStyle w:val="Compact"/>
              <w:jc w:val="left"/>
            </w:pPr>
            <w:r>
              <w:t xml:space="preserve">Ambient GMF control (</w:t>
            </w:r>
            <m:oMath>
              <m:r>
                <m:t>44</m:t>
              </m:r>
              <m:r>
                <m:t> </m:t>
              </m:r>
              <m:r>
                <m:t>μ</m:t>
              </m:r>
              <m:r>
                <m:rPr>
                  <m:nor/>
                  <m:sty m:val="p"/>
                </m:rPr>
                <m:t>T</m:t>
              </m:r>
            </m:oMath>
            <w:r>
              <w:t xml:space="preserve">)</w:t>
            </w:r>
          </w:p>
        </w:tc>
        <w:tc>
          <w:tcPr/>
          <w:p>
            <w:pPr>
              <w:pStyle w:val="Compact"/>
              <w:jc w:val="left"/>
            </w:pPr>
            <m:oMath>
              <m:r>
                <m:t>N</m:t>
              </m:r>
              <m:r>
                <m:rPr>
                  <m:sty m:val="p"/>
                </m:rPr>
                <m:t>=</m:t>
              </m:r>
              <m:r>
                <m:t>60</m:t>
              </m:r>
            </m:oMath>
            <w:r>
              <w:t xml:space="preserve"> </w:t>
            </w:r>
            <w:r>
              <w:t xml:space="preserve">seeds</w:t>
            </w:r>
          </w:p>
        </w:tc>
        <w:tc>
          <w:tcPr/>
          <w:p>
            <w:pPr>
              <w:pStyle w:val="Compact"/>
              <w:jc w:val="left"/>
            </w:pPr>
            <m:oMath>
              <m:sSub>
                <m:e>
                  <m:r>
                    <m:t>M</m:t>
                  </m:r>
                </m:e>
                <m:sub>
                  <m:r>
                    <m:t>3</m:t>
                  </m:r>
                </m:sub>
              </m:sSub>
            </m:oMath>
            <w:r>
              <w:t xml:space="preserve"> </w:t>
            </w:r>
            <w:r>
              <w:t xml:space="preserve">(Unfolded leaves)</w:t>
            </w:r>
          </w:p>
        </w:tc>
        <w:tc>
          <w:tcPr/>
          <w:p>
            <w:pPr>
              <w:pStyle w:val="Compact"/>
              <w:jc w:val="left"/>
            </w:pPr>
            <m:oMath>
              <m:r>
                <m:rPr>
                  <m:sty m:val="p"/>
                </m:rPr>
                <m:t>−</m:t>
              </m:r>
              <m:r>
                <m:t>10.0</m:t>
              </m:r>
              <m:r>
                <m:rPr>
                  <m:sty m:val="p"/>
                </m:rPr>
                <m:t>%</m:t>
              </m:r>
            </m:oMath>
            <w:r>
              <w:t xml:space="preserve">​</w:t>
            </w:r>
          </w:p>
        </w:tc>
        <w:tc>
          <w:tcPr/>
          <w:p>
            <w:pPr>
              <w:pStyle w:val="Compact"/>
              <w:jc w:val="left"/>
            </w:pPr>
            <m:oMath>
              <m:r>
                <m:rPr>
                  <m:sty m:val="p"/>
                </m:rPr>
                <m:t>+</m:t>
              </m:r>
              <m:r>
                <m:t>11.0</m:t>
              </m:r>
              <m:r>
                <m:rPr>
                  <m:nor/>
                  <m:sty m:val="p"/>
                </m:rPr>
                <m:t> h</m:t>
              </m:r>
            </m:oMath>
            <w:r>
              <w:t xml:space="preserve">​</w:t>
            </w:r>
          </w:p>
        </w:tc>
        <w:tc>
          <w:tcPr/>
          <w:p>
            <w:pPr>
              <w:pStyle w:val="Compact"/>
              <w:jc w:val="left"/>
            </w:pPr>
            <m:oMath>
              <m:r>
                <m:rPr>
                  <m:sty m:val="p"/>
                </m:rPr>
                <m:t>−</m:t>
              </m:r>
              <m:r>
                <m:t>30.0</m:t>
              </m:r>
              <m:r>
                <m:rPr>
                  <m:sty m:val="p"/>
                </m:rPr>
                <m:t>%</m:t>
              </m:r>
            </m:oMath>
            <w:r>
              <w:t xml:space="preserve"> </w:t>
            </w:r>
            <w:r>
              <w:t xml:space="preserve">(fresh)</w:t>
            </w:r>
          </w:p>
        </w:tc>
      </w:tr>
    </w:tbl>
    <w:bookmarkEnd w:id="30"/>
    <w:bookmarkStart w:id="31" w:name="X453e2c658e5a88c70a169b0436737e17edbbb3c"/>
    <w:p>
      <w:pPr>
        <w:pStyle w:val="Heading3"/>
      </w:pPr>
      <w:r>
        <w:t xml:space="preserve">3.2 Emergence Velocity (</w:t>
      </w:r>
      <m:oMath>
        <m:sSub>
          <m:e>
            <m:r>
              <m:t>t</m:t>
            </m:r>
          </m:e>
          <m:sub>
            <m:r>
              <m:t>50</m:t>
            </m:r>
          </m:sub>
        </m:sSub>
      </m:oMath>
      <w:r>
        <w:t xml:space="preserve">) and Biomass Penalty Normalization (HPE vs. HPI)</w:t>
      </w:r>
    </w:p>
    <w:p>
      <w:pPr>
        <w:pStyle w:val="FirstParagraph"/>
      </w:pPr>
      <w:r>
        <w:t xml:space="preserve">A pivotal methodological question in evaluating early seedling vigor is how biomass penalties are calculated. When evaluating growth at Day 5 post-imbibition (120 Hours Post-Imbibition, HPI), seedlings under near-null magnetic fields exhibit an average</w:t>
      </w:r>
      <w:r>
        <w:t xml:space="preserve"> </w:t>
      </w:r>
      <m:oMath>
        <m:r>
          <m:rPr>
            <m:sty m:val="p"/>
          </m:rPr>
          <m:t>−</m:t>
        </m:r>
        <m:r>
          <m:t>28.5</m:t>
        </m:r>
        <m:r>
          <m:rPr>
            <m:sty m:val="p"/>
          </m:rPr>
          <m:t>%</m:t>
        </m:r>
      </m:oMath>
      <w:r>
        <w:rPr>
          <w:b/>
          <w:bCs/>
        </w:rPr>
        <w:t xml:space="preserve"> </w:t>
      </w:r>
      <w:r>
        <w:rPr>
          <w:b/>
          <w:bCs/>
        </w:rPr>
        <w:t xml:space="preserve">biomass penalty</w:t>
      </w:r>
      <w:r>
        <w:t xml:space="preserve"> </w:t>
      </w:r>
      <w:r>
        <w:t xml:space="preserve">(synthesized across the 10 datasets in Table 3; Figure 3c).</w:t>
      </w:r>
    </w:p>
    <w:p>
      <w:pPr>
        <w:pStyle w:val="BodyText"/>
      </w:pPr>
      <w:r>
        <w:t xml:space="preserve">Biophysically, this penalty reflects two distinct, compounding components:</w:t>
      </w:r>
      <w:r>
        <w:t xml:space="preserve"> </w:t>
      </w:r>
      <w:r>
        <w:t xml:space="preserve">1.</w:t>
      </w:r>
      <w:r>
        <w:t xml:space="preserve"> </w:t>
      </w:r>
      <w:r>
        <w:rPr>
          <w:b/>
          <w:bCs/>
        </w:rPr>
        <w:t xml:space="preserve">The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rPr>
          <w:b/>
          <w:bCs/>
        </w:rPr>
        <w:t xml:space="preserve">):</w:t>
      </w:r>
      <w:r>
        <w:t xml:space="preserve"> </w:t>
      </w:r>
      <w:r>
        <w:t xml:space="preserve">Because hypomagnetic seedlings take 12 to 36 hours longer to complete radicle emergence (</w:t>
      </w:r>
      <m:oMath>
        <m:sSub>
          <m:e>
            <m:r>
              <m:t>M</m:t>
            </m:r>
          </m:e>
          <m:sub>
            <m:r>
              <m:t>2</m:t>
            </m:r>
          </m:sub>
        </m:sSub>
      </m:oMath>
      <w:r>
        <w:t xml:space="preserve">), they have had 12 to 36 fewer hours of active post-emergence vegetative elongation by 120 HPI. In fast-growing angiosperms, where early vegetative biomass increases exponentially, a 16-hour emergence lag alone accounts for an apparent</w:t>
      </w:r>
      <w:r>
        <w:t xml:space="preserve"> </w:t>
      </w:r>
      <m:oMath>
        <m:r>
          <m:rPr>
            <m:sty m:val="p"/>
          </m:rPr>
          <m:t>∼</m:t>
        </m:r>
        <m:r>
          <m:t>15</m:t>
        </m:r>
        <m:r>
          <m:rPr>
            <m:nor/>
            <m:sty m:val="p"/>
          </m:rPr>
          <m:t>–</m:t>
        </m:r>
        <m:r>
          <m:t>20</m:t>
        </m:r>
        <m:r>
          <m:rPr>
            <m:sty m:val="p"/>
          </m:rPr>
          <m:t>%</m:t>
        </m:r>
      </m:oMath>
      <w:r>
        <w:t xml:space="preserve"> </w:t>
      </w:r>
      <w:r>
        <w:t xml:space="preserve">biomass reduction at Day 5.</w:t>
      </w:r>
      <w:r>
        <w:t xml:space="preserve"> </w:t>
      </w:r>
      <w:r>
        <w:t xml:space="preserve">2.</w:t>
      </w:r>
      <w:r>
        <w:t xml:space="preserve"> </w:t>
      </w:r>
      <w:r>
        <w:rPr>
          <w:b/>
          <w:bCs/>
        </w:rPr>
        <w:t xml:space="preserve">Post-Emergence Elongation Retardation (Hours Post-Emergence, HPE):</w:t>
      </w:r>
      <w:r>
        <w:t xml:space="preserve"> </w:t>
      </w:r>
      <w:r>
        <w:t xml:space="preserve">When growth is normalized by developmental stage (i.e., comparing seedlings at identical hours post-emergence, HPE), primary root and hypocotyl elongation rates in</w:t>
      </w:r>
      <w:r>
        <w:t xml:space="preserve"> </w:t>
      </w:r>
      <w:r>
        <w:rPr>
          <w:i/>
          <w:iCs/>
        </w:rPr>
        <w:t xml:space="preserve">Arabidopsis</w:t>
      </w:r>
      <w:r>
        <w:t xml:space="preserve">, pea, and maize remain depressed by</w:t>
      </w:r>
      <w:r>
        <w:t xml:space="preserve"> </w:t>
      </w:r>
      <m:oMath>
        <m:r>
          <m:t>10</m:t>
        </m:r>
        <m:r>
          <m:rPr>
            <m:nor/>
            <m:sty m:val="p"/>
          </m:rPr>
          <m:t> to </m:t>
        </m:r>
        <m:r>
          <m:t>15</m:t>
        </m:r>
        <m:r>
          <m:rPr>
            <m:sty m:val="p"/>
          </m:rPr>
          <m:t>%</m:t>
        </m:r>
      </m:oMath>
      <w:r>
        <w:t xml:space="preserve"> </w:t>
      </w:r>
      <w:r>
        <w:t xml:space="preserve">[26,37,39]. Cellular cytological analyses by Narayana et al. [37] and Belyavskaya [38] confirmed that hypomagnetic exposure directly suppresses mitotic proliferation in root apical meristems and disrupts basipetal auxin distribution via PIN2 mis-localization.</w:t>
      </w:r>
    </w:p>
    <w:p>
      <w:pPr>
        <w:pStyle w:val="BodyText"/>
      </w:pPr>
      <w:r>
        <w:t xml:space="preserve">Consequently, while the bulk of the Day 5 biomass penalty is driven by the delayed onset of growth (</w:t>
      </w:r>
      <m:oMath>
        <m:r>
          <m:rPr>
            <m:sty m:val="p"/>
          </m:rPr>
          <m:t>Δ</m:t>
        </m:r>
        <m:sSub>
          <m:e>
            <m:r>
              <m:t>t</m:t>
            </m:r>
          </m:e>
          <m:sub>
            <m:r>
              <m:t>50</m:t>
            </m:r>
          </m:sub>
        </m:sSub>
      </m:oMath>
      <w:r>
        <w:t xml:space="preserve">), near-null fields also moderately suppress the intrinsic cellular elongation rate after emergence.</w:t>
      </w:r>
    </w:p>
    <w:bookmarkEnd w:id="31"/>
    <w:bookmarkStart w:id="32" w:name="Xdb294e65e9e0e5207039b8277af1a57480f8530"/>
    <w:p>
      <w:pPr>
        <w:pStyle w:val="Heading3"/>
      </w:pPr>
      <w:r>
        <w:t xml:space="preserve">3.3 Evidentiary Hierarchy for Pigment Repression &amp; Parallel Iron Homeostasis</w:t>
      </w:r>
    </w:p>
    <w:p>
      <w:pPr>
        <w:pStyle w:val="FirstParagraph"/>
      </w:pPr>
      <w:r>
        <w:t xml:space="preserve">Between Days 3 and 5 post-imbibition, as the seedling emerges into the illuminated canopy headspace, it undergoes photomorphogenic de-etiolation (Phase IV): hypocotyl elongation arrests, the apical hook straightens, cotyledons expand, and proplastids differentiate into photosynthetic chloroplasts [23,24].</w:t>
      </w:r>
    </w:p>
    <w:p>
      <w:pPr>
        <w:pStyle w:val="BodyText"/>
      </w:pPr>
      <w:r>
        <w:t xml:space="preserve">Hypomagnetic fields systematically impair pigment accumulation and downregulate the genetic networks governing plastid greening (Figure 3d). To provide clarity for future genetic engineering and countermeasure design, we stratify these downstream mechanisms into a four-tier evidentiary hierarchy:</w:t>
      </w:r>
      <w:r>
        <w:t xml:space="preserve"> </w:t>
      </w:r>
      <w:r>
        <w:t xml:space="preserve">-</w:t>
      </w:r>
      <w:r>
        <w:t xml:space="preserve"> </w:t>
      </w:r>
      <w:r>
        <w:rPr>
          <w:b/>
          <w:bCs/>
        </w:rPr>
        <w:t xml:space="preserve">Tier 1 (Direct Magnetoreceptor Signaling):</w:t>
      </w:r>
      <w:r>
        <w:t xml:space="preserve"> </w:t>
      </w:r>
      <w:r>
        <w:t xml:space="preserve">Cryptochrome-mediated blue light signaling. Direct magnetic field modulation of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alters cryptochrome conformational activation, attenuating COP1/SPA1 dissociation and dampening the nuclear stabilization of transcription factor HY5 [49–51,58]. This mechanism is experimentally verified in intact plants and confirmed by the total loss of magnetic sensitivity in</w:t>
      </w:r>
      <w:r>
        <w:t xml:space="preserve"> </w:t>
      </w:r>
      <w:r>
        <w:rPr>
          <w:i/>
          <w:iCs/>
        </w:rPr>
        <w:t xml:space="preserve">cry1 cry2</w:t>
      </w:r>
      <w:r>
        <w:t xml:space="preserve"> </w:t>
      </w:r>
      <w:r>
        <w:t xml:space="preserve">double mutants [51,58].</w:t>
      </w:r>
      <w:r>
        <w:t xml:space="preserve"> </w:t>
      </w:r>
      <w:r>
        <w:t xml:space="preserve">-</w:t>
      </w:r>
      <w:r>
        <w:t xml:space="preserve"> </w:t>
      </w:r>
      <w:r>
        <w:rPr>
          <w:b/>
          <w:bCs/>
        </w:rPr>
        <w:t xml:space="preserve">Tier 2 (Transcriptional Downregulation of Pigment Networks):</w:t>
      </w:r>
      <w:r>
        <w:t xml:space="preserve"> </w:t>
      </w:r>
      <w:r>
        <w:t xml:space="preserve">Downregulation of HY5 target genes. HY5 directly binds promoters of rate-limiting chlorophyll biosynthetic enzymes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central anthocyanin structural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[47,48]. Repression of these transcripts under near-null fields is robustly documented across multiple laboratories [31,44–46].</w:t>
      </w:r>
      <w:r>
        <w:t xml:space="preserve"> </w:t>
      </w:r>
      <w:r>
        <w:t xml:space="preserve">-</w:t>
      </w:r>
      <w:r>
        <w:t xml:space="preserve"> </w:t>
      </w:r>
      <w:r>
        <w:rPr>
          <w:b/>
          <w:bCs/>
        </w:rPr>
        <w:t xml:space="preserve">Tier 3 (Secondary Iron Homeostasis Disruption):</w:t>
      </w:r>
      <w:r>
        <w:t xml:space="preserve"> </w:t>
      </w:r>
      <w:r>
        <w:t xml:space="preserve">Parallel nutritional chlorosis. Islam et al. [53,54] demonstrated that near-null fields downregulate root iron uptake machinery (</w:t>
      </w:r>
      <w:r>
        <w:rPr>
          <w:i/>
          <w:iCs/>
        </w:rPr>
        <w:t xml:space="preserve">FIT</w:t>
      </w:r>
      <w:r>
        <w:t xml:space="preserve">,</w:t>
      </w:r>
      <w:r>
        <w:t xml:space="preserve"> </w:t>
      </w:r>
      <w:r>
        <w:rPr>
          <w:i/>
          <w:iCs/>
        </w:rPr>
        <w:t xml:space="preserve">FRO2</w:t>
      </w:r>
      <w:r>
        <w:t xml:space="preserve">,</w:t>
      </w:r>
      <w:r>
        <w:t xml:space="preserve"> </w:t>
      </w:r>
      <w:r>
        <w:rPr>
          <w:i/>
          <w:iCs/>
        </w:rPr>
        <w:t xml:space="preserve">IRT1</w:t>
      </w:r>
      <w:r>
        <w:t xml:space="preserve">) and deplete ferritin storage (</w:t>
      </w:r>
      <w:r>
        <w:rPr>
          <w:i/>
          <w:iCs/>
        </w:rPr>
        <w:t xml:space="preserve">AtFer1–4</w:t>
      </w:r>
      <w:r>
        <w:t xml:space="preserve">). While originally hypothesized as a primary magnetosensor, iron homeostasis acts as a</w:t>
      </w:r>
      <w:r>
        <w:t xml:space="preserve"> </w:t>
      </w:r>
      <w:r>
        <w:rPr>
          <w:b/>
          <w:bCs/>
        </w:rPr>
        <w:t xml:space="preserve">parallel, downstream nutritional module</w:t>
      </w:r>
      <w:r>
        <w:t xml:space="preserve">: iron is an obligatory catalytic cofactor for chlorophyll synthesis (coproporphyrinogen III oxidase) and electron transport Fe–S clusters. Crucially,</w:t>
      </w:r>
      <w:r>
        <w:t xml:space="preserve"> </w:t>
      </w:r>
      <w:r>
        <w:rPr>
          <w:b/>
          <w:bCs/>
        </w:rPr>
        <w:t xml:space="preserve">supplementation with chelated iron (Fe-EDTA) or foliar iron sprays successfully rescues hypomagnetic chlorosis in ground experiments</w:t>
      </w:r>
      <w:r>
        <w:t xml:space="preserve"> </w:t>
      </w:r>
      <w:r>
        <w:t xml:space="preserve">[53], establishing an actionable, low-cost operational countermeasure for lunar flight payloads without requiring genetic modification.</w:t>
      </w:r>
      <w:r>
        <w:t xml:space="preserve"> </w:t>
      </w:r>
      <w:r>
        <w:t xml:space="preserve">-</w:t>
      </w:r>
      <w:r>
        <w:t xml:space="preserve"> </w:t>
      </w:r>
      <w:r>
        <w:rPr>
          <w:b/>
          <w:bCs/>
        </w:rPr>
        <w:t xml:space="preserve">Tier 4 (Systemic Hormonal Readouts):</w:t>
      </w:r>
      <w:r>
        <w:t xml:space="preserve"> </w:t>
      </w:r>
      <w:r>
        <w:t xml:space="preserve">Downstream shifts in GA, ABA, and auxin signaling. Hormonal imbalances represent the integrated whole-organism manifestation of disrupted organellar redox and cryptochrome signaling [35,36].</w:t>
      </w:r>
    </w:p>
    <w:p>
      <w:r>
        <w:pict>
          <v:rect style="width:0;height:1.5pt" o:hralign="center" o:hrstd="t" o:hr="t"/>
        </w:pict>
      </w:r>
    </w:p>
    <w:bookmarkEnd w:id="32"/>
    <w:bookmarkEnd w:id="33"/>
    <w:bookmarkStart w:id="38" w:name="X02a9b06c6b4373f75ab42fb7113307e65fb3bd2"/>
    <w:p>
      <w:pPr>
        <w:pStyle w:val="Heading2"/>
      </w:pPr>
      <w:r>
        <w:t xml:space="preserve">4. Quantum Molecular Biology of the 0–5 Day Window: The Quantum Biology Atlas Perspective</w:t>
      </w:r>
    </w:p>
    <w:p>
      <w:pPr>
        <w:pStyle w:val="FirstParagraph"/>
      </w:pPr>
      <w:r>
        <w:drawing>
          <wp:inline>
            <wp:extent cx="5334000" cy="4530201"/>
            <wp:effectExtent b="0" l="0" r="0" t="0"/>
            <wp:docPr descr="Figure 4" title="" id="35" name="Picture"/>
            <a:graphic>
              <a:graphicData uri="http://schemas.openxmlformats.org/drawingml/2006/picture">
                <pic:pic>
                  <pic:nvPicPr>
                    <pic:cNvPr descr="/Users/drb_laptop/Documents/NMF_review/figures/Fig4_quantum_biology_0to5day_pathways.png" id="36" name="Picture"/>
                    <pic:cNvPicPr>
                      <a:picLocks noChangeArrowheads="1" noChangeAspect="1"/>
                    </pic:cNvPicPr>
                  </pic:nvPicPr>
                  <pic:blipFill>
                    <a:blip r:embed="rId34"/>
                    <a:stretch>
                      <a:fillRect/>
                    </a:stretch>
                  </pic:blipFill>
                  <pic:spPr bwMode="auto">
                    <a:xfrm>
                      <a:off x="0" y="0"/>
                      <a:ext cx="5334000" cy="4530201"/>
                    </a:xfrm>
                    <a:prstGeom prst="rect">
                      <a:avLst/>
                    </a:prstGeom>
                    <a:noFill/>
                    <a:ln w="9525">
                      <a:noFill/>
                      <a:headEnd/>
                      <a:tailEnd/>
                    </a:ln>
                  </pic:spPr>
                </pic:pic>
              </a:graphicData>
            </a:graphic>
          </wp:inline>
        </w:drawing>
      </w:r>
      <w:r>
        <w:t xml:space="preserve"> </w:t>
      </w:r>
      <w:r>
        <w:rPr>
          <w:b/>
          <w:bCs/>
        </w:rPr>
        <w:t xml:space="preserve">Figure 4 | Quantum molecular biology of early seedling establishment (Days 0–5).</w:t>
      </w:r>
      <w:r>
        <w:br/>
      </w:r>
      <w:r>
        <w:rPr>
          <w:b/>
          <w:bCs/>
        </w:rPr>
        <w:t xml:space="preserve">(a) QBM-06 Pathway Map: Seed Germination Before Photosynthesis:</w:t>
      </w:r>
      <w:r>
        <w:t xml:space="preserve"> </w:t>
      </w:r>
      <w:r>
        <w:t xml:space="preserve">Systems Biology Graphical Notation (SBGN) pathway map of the 0–72 h heterotrophic energy bottleneck from the Quantum Biology Atlas (model</w:t>
      </w:r>
      <w:r>
        <w:t xml:space="preserve"> </w:t>
      </w:r>
      <w:r>
        <w:rPr>
          <w:rStyle w:val="VerbatimChar"/>
        </w:rPr>
        <w:t xml:space="preserve">QBM-06</w:t>
      </w:r>
      <w:r>
        <w:t xml:space="preserve">, version</w:t>
      </w:r>
      <w:r>
        <w:t xml:space="preserve"> </w:t>
      </w:r>
      <w:r>
        <w:rPr>
          <w:rStyle w:val="VerbatimChar"/>
        </w:rPr>
        <w:t xml:space="preserve">v2.4</w:t>
      </w:r>
      <w:r>
        <w:t xml:space="preserve">, Zenodo DOI:</w:t>
      </w:r>
      <w:r>
        <w:t xml:space="preserve"> </w:t>
      </w:r>
      <w:r>
        <w:rPr>
          <w:rStyle w:val="VerbatimChar"/>
        </w:rPr>
        <w:t xml:space="preserve">10.5281/zenodo.1082026</w:t>
      </w:r>
      <w:r>
        <w:t xml:space="preserve">) [55]. Four horizontal compartments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[T2], Cytochrome</w:t>
      </w:r>
      <w:r>
        <w:t xml:space="preserve"> </w:t>
      </w:r>
      <m:oMath>
        <m:r>
          <m:t>c</m:t>
        </m:r>
      </m:oMath>
      <w:r>
        <w:t xml:space="preserve"> </w:t>
      </w:r>
      <w:r>
        <w:t xml:space="preserve">release modulating ABI4 retrograde signaling [T4]); and Organism Endpoint (Radicle Emergence at 0–72 h).</w:t>
      </w:r>
      <w:r>
        <w:br/>
      </w:r>
      <w:r>
        <w:rPr>
          <w:b/>
          <w:bCs/>
        </w:rPr>
        <w:t xml:space="preserve">(b) Evidentiary Tier Hierarchy &amp; Physical Timescale Matching:</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Electron Larmor precession frequency scales as</w:t>
      </w:r>
      <w:r>
        <w:t xml:space="preserve"> </w:t>
      </w:r>
      <m:oMath>
        <m:sSub>
          <m:e>
            <m:r>
              <m:t>ν</m:t>
            </m:r>
          </m:e>
          <m:sub>
            <m:r>
              <m:t>L</m:t>
            </m:r>
          </m:sub>
        </m:sSub>
        <m:r>
          <m:rPr>
            <m:sty m:val="p"/>
          </m:rPr>
          <m:t>=</m:t>
        </m:r>
        <m:f>
          <m:fPr>
            <m:type m:val="bar"/>
          </m:fPr>
          <m:num>
            <m:sSub>
              <m:e>
                <m:r>
                  <m:t>γ</m:t>
                </m:r>
              </m:e>
              <m:sub>
                <m:r>
                  <m:t>e</m:t>
                </m:r>
              </m:sub>
            </m:sSub>
            <m:r>
              <m:t>B</m:t>
            </m:r>
          </m:num>
          <m:den>
            <m:r>
              <m:t>2</m:t>
            </m:r>
            <m:r>
              <m:t>π</m:t>
            </m:r>
          </m:den>
        </m:f>
        <m:r>
          <m:rPr>
            <m:sty m:val="p"/>
          </m:rPr>
          <m:t>≈</m:t>
        </m:r>
        <m:r>
          <m:t>28.025</m:t>
        </m:r>
        <m:r>
          <m:rPr>
            <m:nor/>
            <m:sty m:val="p"/>
          </m:rPr>
          <m:t> Hz/nT</m:t>
        </m:r>
        <m:r>
          <m:rPr>
            <m:sty m:val="p"/>
          </m:rPr>
          <m:t>×</m:t>
        </m:r>
        <m:r>
          <m:t>B</m:t>
        </m:r>
      </m:oMath>
      <w:r>
        <w:t xml:space="preserve">. At</w:t>
      </w:r>
      <w:r>
        <w:t xml:space="preserve"> </w:t>
      </w:r>
      <m:oMath>
        <m:r>
          <m:t>50</m:t>
        </m:r>
        <m:r>
          <m:t> </m:t>
        </m:r>
        <m:r>
          <m:t>μ</m:t>
        </m:r>
        <m:r>
          <m:rPr>
            <m:nor/>
            <m:sty m:val="p"/>
          </m:rPr>
          <m:t>T</m:t>
        </m:r>
      </m:oMath>
      <w:r>
        <w:t xml:space="preserve"> </w:t>
      </w:r>
      <w:r>
        <w:t xml:space="preserve">GMF,</w:t>
      </w:r>
      <w:r>
        <w:t xml:space="preserve"> </w:t>
      </w:r>
      <m:oMath>
        <m:sSub>
          <m:e>
            <m:r>
              <m:t>ν</m:t>
            </m:r>
          </m:e>
          <m:sub>
            <m:r>
              <m:t>L</m:t>
            </m:r>
          </m:sub>
        </m:sSub>
        <m:r>
          <m:rPr>
            <m:sty m:val="p"/>
          </m:rPr>
          <m:t>≈</m:t>
        </m:r>
        <m:r>
          <m:t>1.401</m:t>
        </m:r>
        <m:r>
          <m:rPr>
            <m:nor/>
            <m:sty m:val="p"/>
          </m:rPr>
          <m:t> MHz</m:t>
        </m:r>
      </m:oMath>
      <w:r>
        <w:t xml:space="preserve"> </w:t>
      </w:r>
      <w:r>
        <w:t xml:space="preserve">(</w:t>
      </w:r>
      <m:oMath>
        <m:sSub>
          <m:e>
            <m:r>
              <m:t>τ</m:t>
            </m:r>
          </m:e>
          <m:sub>
            <m:r>
              <m:t>L</m:t>
            </m:r>
          </m:sub>
        </m:sSub>
        <m:r>
          <m:rPr>
            <m:sty m:val="p"/>
          </m:rPr>
          <m:t>≈</m:t>
        </m:r>
        <m:r>
          <m:t>714</m:t>
        </m:r>
        <m:r>
          <m:rPr>
            <m:nor/>
            <m:sty m:val="p"/>
          </m:rPr>
          <m:t> ns</m:t>
        </m:r>
      </m:oMath>
      <w:r>
        <w:t xml:space="preserve">), matching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NNMF (</w:t>
      </w:r>
      <m:oMath>
        <m:r>
          <m:t>1</m:t>
        </m:r>
        <m:r>
          <m:rPr>
            <m:nor/>
            <m:sty m:val="p"/>
          </m:rPr>
          <m:t> nT</m:t>
        </m:r>
      </m:oMath>
      <w:r>
        <w:t xml:space="preserve">),</w:t>
      </w:r>
      <w:r>
        <w:t xml:space="preserve"> </w:t>
      </w:r>
      <m:oMath>
        <m:sSub>
          <m:e>
            <m:r>
              <m:t>ν</m:t>
            </m:r>
          </m:e>
          <m:sub>
            <m:r>
              <m:t>L</m:t>
            </m:r>
          </m:sub>
        </m:sSub>
        <m:r>
          <m:rPr>
            <m:sty m:val="p"/>
          </m:rPr>
          <m:t>≈</m:t>
        </m:r>
        <m:r>
          <m:t>28</m:t>
        </m:r>
        <m:r>
          <m:rPr>
            <m:nor/>
            <m:sty m:val="p"/>
          </m:rPr>
          <m:t> Hz</m:t>
        </m:r>
      </m:oMath>
      <w:r>
        <w:t xml:space="preserve"> </w:t>
      </w:r>
      <w:r>
        <w:t xml:space="preserve">(</w:t>
      </w:r>
      <m:oMath>
        <m:sSub>
          <m:e>
            <m:r>
              <m:t>τ</m:t>
            </m:r>
          </m:e>
          <m:sub>
            <m:r>
              <m:t>L</m:t>
            </m:r>
          </m:sub>
        </m:sSub>
        <m:r>
          <m:rPr>
            <m:sty m:val="p"/>
          </m:rPr>
          <m:t>≈</m:t>
        </m:r>
        <m:r>
          <m:t>35.7</m:t>
        </m:r>
        <m:r>
          <m:rPr>
            <m:nor/>
            <m:sty m:val="p"/>
          </m:rPr>
          <m:t> ms</m:t>
        </m:r>
      </m:oMath>
      <w:r>
        <w:t xml:space="preserve">), completely decoupling external Zeeman mixing from radical-pair lifetimes by</w:t>
      </w:r>
      <w:r>
        <w:t xml:space="preserve"> </w:t>
      </w:r>
      <m:oMath>
        <m:r>
          <m:rPr>
            <m:sty m:val="p"/>
          </m:rPr>
          <m:t>&gt;</m:t>
        </m:r>
        <m:r>
          <m:t>4</m:t>
        </m:r>
      </m:oMath>
      <w:r>
        <w:t xml:space="preserve"> </w:t>
      </w:r>
      <w:r>
        <w:t xml:space="preserve">orders of magnitude.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37" w:name="X46f8c9260347232ed32876f47d46403b2d61043"/>
    <w:p>
      <w:pPr>
        <w:pStyle w:val="Heading3"/>
      </w:pPr>
      <w:r>
        <w:t xml:space="preserve">4.1 Physical Basis of Larmor Frequency Scaling in Lunar Fields</w:t>
      </w:r>
    </w:p>
    <w:p>
      <w:pPr>
        <w:pStyle w:val="FirstParagraph"/>
      </w:pPr>
      <w:r>
        <w:t xml:space="preserve">The fundamental physical interaction between an external magnetic field</w:t>
      </w:r>
      <w:r>
        <w:t xml:space="preserve"> </w:t>
      </w:r>
      <m:oMath>
        <m:r>
          <m:rPr>
            <m:sty m:val="bi"/>
          </m:rPr>
          <m:t>B</m:t>
        </m:r>
      </m:oMath>
      <w:r>
        <w:t xml:space="preserve"> </w:t>
      </w:r>
      <w:r>
        <w:t xml:space="preserve">and an unpaired electron spin is governed by the Zeeman Hamiltonian</w:t>
      </w:r>
      <w:r>
        <w:t xml:space="preserve"> </w:t>
      </w:r>
      <m:oMath>
        <m:sSub>
          <m:e>
            <m:acc>
              <m:accPr>
                <m:chr m:val="̂"/>
              </m:accPr>
              <m:e>
                <m:r>
                  <m:t>H</m:t>
                </m:r>
              </m:e>
            </m:acc>
          </m:e>
          <m:sub>
            <m:r>
              <m:t>Z</m:t>
            </m:r>
          </m:sub>
        </m:sSub>
        <m:r>
          <m:rPr>
            <m:sty m:val="p"/>
          </m:rPr>
          <m:t>=</m:t>
        </m:r>
        <m:sSub>
          <m:e>
            <m:r>
              <m:t>γ</m:t>
            </m:r>
          </m:e>
          <m:sub>
            <m:r>
              <m:t>e</m:t>
            </m:r>
          </m:sub>
        </m:sSub>
        <m:r>
          <m:rPr>
            <m:sty m:val="bi"/>
          </m:rPr>
          <m:t>B</m:t>
        </m:r>
        <m:r>
          <m:rPr>
            <m:sty m:val="p"/>
          </m:rPr>
          <m:t>⋅</m:t>
        </m:r>
        <m:acc>
          <m:accPr>
            <m:chr m:val="̂"/>
          </m:accPr>
          <m:e>
            <m:r>
              <m:rPr>
                <m:sty m:val="bi"/>
              </m:rPr>
              <m:t>S</m:t>
            </m:r>
          </m:e>
        </m:acc>
      </m:oMath>
      <w:r>
        <w:t xml:space="preserve">, where</w:t>
      </w:r>
      <w:r>
        <w:t xml:space="preserve"> </w:t>
      </w:r>
      <m:oMath>
        <m:sSub>
          <m:e>
            <m:r>
              <m:t>γ</m:t>
            </m:r>
          </m:e>
          <m:sub>
            <m:r>
              <m:t>e</m:t>
            </m:r>
          </m:sub>
        </m:sSub>
        <m:r>
          <m:rPr>
            <m:sty m:val="p"/>
          </m:rPr>
          <m:t>=</m:t>
        </m:r>
        <m:r>
          <m:t>1.7608</m:t>
        </m:r>
        <m:r>
          <m:rPr>
            <m:sty m:val="p"/>
          </m:rPr>
          <m:t>×</m:t>
        </m:r>
        <m:sSup>
          <m:e>
            <m:r>
              <m:t>10</m:t>
            </m:r>
          </m:e>
          <m:sup>
            <m:r>
              <m:t>11</m:t>
            </m:r>
          </m:sup>
        </m:sSup>
        <m:sSup>
          <m:e>
            <m:r>
              <m:rPr>
                <m:nor/>
                <m:sty m:val="p"/>
              </m:rPr>
              <m:t> rad s</m:t>
            </m:r>
          </m:e>
          <m:sup>
            <m:r>
              <m:rPr>
                <m:sty m:val="p"/>
              </m:rPr>
              <m:t>−</m:t>
            </m:r>
            <m:r>
              <m:t>1</m:t>
            </m:r>
          </m:sup>
        </m:sSup>
        <m:sSup>
          <m:e>
            <m:r>
              <m:rPr>
                <m:nor/>
                <m:sty m:val="p"/>
              </m:rPr>
              <m:t> T</m:t>
            </m:r>
          </m:e>
          <m:sup>
            <m:r>
              <m:rPr>
                <m:sty m:val="p"/>
              </m:rPr>
              <m:t>−</m:t>
            </m:r>
            <m:r>
              <m:t>1</m:t>
            </m:r>
          </m:sup>
        </m:sSup>
      </m:oMath>
      <w:r>
        <w:t xml:space="preserve"> </w:t>
      </w:r>
      <w:r>
        <w:t xml:space="preserve">is the electron gyromagnetic ratio. The corresponding cyclic Larmor precession frequency is:</w:t>
      </w:r>
    </w:p>
    <w:p>
      <w:pPr>
        <w:pStyle w:val="BodyText"/>
      </w:pPr>
      <m:oMathPara>
        <m:oMathParaPr>
          <m:jc m:val="center"/>
        </m:oMathParaPr>
        <m:oMath>
          <m:sSub>
            <m:e>
              <m:r>
                <m:t>ν</m:t>
              </m:r>
            </m:e>
            <m:sub>
              <m:r>
                <m:t>L</m:t>
              </m:r>
            </m:sub>
          </m:sSub>
          <m:r>
            <m:rPr>
              <m:sty m:val="p"/>
            </m:rPr>
            <m:t>=</m:t>
          </m:r>
          <m:f>
            <m:fPr>
              <m:type m:val="bar"/>
            </m:fPr>
            <m:num>
              <m:sSub>
                <m:e>
                  <m:r>
                    <m:t>γ</m:t>
                  </m:r>
                </m:e>
                <m:sub>
                  <m:r>
                    <m:t>e</m:t>
                  </m:r>
                </m:sub>
              </m:sSub>
              <m:r>
                <m:rPr>
                  <m:sty m:val="p"/>
                </m:rPr>
                <m:t>|</m:t>
              </m:r>
              <m:r>
                <m:rPr>
                  <m:sty m:val="bi"/>
                </m:rPr>
                <m:t>B</m:t>
              </m:r>
              <m:r>
                <m:rPr>
                  <m:sty m:val="p"/>
                </m:rPr>
                <m:t>|</m:t>
              </m:r>
            </m:num>
            <m:den>
              <m:r>
                <m:t>2</m:t>
              </m:r>
              <m:r>
                <m:t>π</m:t>
              </m:r>
            </m:den>
          </m:f>
          <m:r>
            <m:rPr>
              <m:sty m:val="p"/>
            </m:rPr>
            <m:t>≈</m:t>
          </m:r>
          <m:r>
            <m:t>28.025</m:t>
          </m:r>
          <m:r>
            <m:rPr>
              <m:nor/>
              <m:sty m:val="p"/>
            </m:rPr>
            <m:t> Hz / nT</m:t>
          </m:r>
          <m:r>
            <m:rPr>
              <m:sty m:val="p"/>
            </m:rPr>
            <m:t>×</m:t>
          </m:r>
          <m:r>
            <m:rPr>
              <m:sty m:val="p"/>
            </m:rPr>
            <m:t>|</m:t>
          </m:r>
          <m:r>
            <m:rPr>
              <m:sty m:val="bi"/>
            </m:rPr>
            <m:t>B</m:t>
          </m:r>
          <m:r>
            <m:rPr>
              <m:sty m:val="p"/>
            </m:rPr>
            <m:t>|</m:t>
          </m:r>
        </m:oMath>
      </m:oMathPara>
    </w:p>
    <w:p>
      <w:pPr>
        <w:pStyle w:val="FirstParagraph"/>
      </w:pPr>
      <w:r>
        <w:t xml:space="preserve">and the characteristic precession period is</w:t>
      </w:r>
      <w:r>
        <w:t xml:space="preserve"> </w:t>
      </w:r>
      <m:oMath>
        <m:sSub>
          <m:e>
            <m:r>
              <m:t>τ</m:t>
            </m:r>
          </m:e>
          <m:sub>
            <m:r>
              <m:t>L</m:t>
            </m:r>
          </m:sub>
        </m:sSub>
        <m:r>
          <m:rPr>
            <m:sty m:val="p"/>
          </m:rPr>
          <m:t>=</m:t>
        </m:r>
        <m:r>
          <m:t>1</m:t>
        </m:r>
        <m:r>
          <m:rPr>
            <m:sty m:val="p"/>
          </m:rPr>
          <m:t>/</m:t>
        </m:r>
        <m:sSub>
          <m:e>
            <m:r>
              <m:t>ν</m:t>
            </m:r>
          </m:e>
          <m:sub>
            <m:r>
              <m:t>L</m:t>
            </m:r>
          </m:sub>
        </m:sSub>
      </m:oMath>
      <w:r>
        <w:t xml:space="preserve">:</w:t>
      </w:r>
      <w:r>
        <w:t xml:space="preserve"> </w:t>
      </w:r>
      <w:r>
        <w:t xml:space="preserve">1.</w:t>
      </w:r>
      <w:r>
        <w:t xml:space="preserve"> </w:t>
      </w:r>
      <w:r>
        <w:rPr>
          <w:b/>
          <w:bCs/>
        </w:rPr>
        <w:t xml:space="preserve">Terrestrial Geomagnetic Field (</w:t>
      </w:r>
      <m:oMath>
        <m:r>
          <m:t>50</m:t>
        </m:r>
        <m:r>
          <m:t> </m:t>
        </m:r>
        <m:r>
          <m:t>μ</m:t>
        </m:r>
        <m:r>
          <m:rPr>
            <m:nor/>
            <m:sty m:val="p"/>
          </m:rPr>
          <m:t>T</m:t>
        </m:r>
        <m:r>
          <m:rPr>
            <m:sty m:val="p"/>
          </m:rPr>
          <m:t>=</m:t>
        </m:r>
        <m:r>
          <m:t>50</m:t>
        </m:r>
        <m:r>
          <m:rPr>
            <m:sty m:val="p"/>
          </m:rPr>
          <m:t>,</m:t>
        </m:r>
        <m:r>
          <m:t>000</m:t>
        </m:r>
        <m:r>
          <m:rPr>
            <m:nor/>
            <m:sty m:val="p"/>
          </m:rPr>
          <m:t> nT</m:t>
        </m:r>
      </m:oMath>
      <w:r>
        <w:rPr>
          <w:b/>
          <w:bCs/>
        </w:rPr>
        <w:t xml:space="preserve">):</w:t>
      </w:r>
    </w:p>
    <w:p>
      <w:pPr>
        <w:pStyle w:val="BodyText"/>
      </w:pPr>
      <m:oMathPara>
        <m:oMathParaPr>
          <m:jc m:val="center"/>
        </m:oMathParaPr>
        <m:oMath>
          <m:sSub>
            <m:e>
              <m:r>
                <m:t>ν</m:t>
              </m:r>
            </m:e>
            <m:sub>
              <m:r>
                <m:t>L</m:t>
              </m:r>
            </m:sub>
          </m:sSub>
          <m:r>
            <m:rPr>
              <m:sty m:val="p"/>
            </m:rPr>
            <m:t>≈</m:t>
          </m:r>
          <m:r>
            <m:t>1.401</m:t>
          </m:r>
          <m:r>
            <m:rPr>
              <m:nor/>
              <m:sty m:val="p"/>
            </m:rPr>
            <m:t> MHz</m:t>
          </m:r>
          <m:r>
            <m:rPr>
              <m:sty m:val="p"/>
            </m:rPr>
            <m:t>,</m:t>
          </m:r>
          <m:r>
            <m:t> </m:t>
          </m:r>
          <m:sSub>
            <m:e>
              <m:r>
                <m:t>τ</m:t>
              </m:r>
            </m:e>
            <m:sub>
              <m:r>
                <m:t>L</m:t>
              </m:r>
            </m:sub>
          </m:sSub>
          <m:r>
            <m:rPr>
              <m:sty m:val="p"/>
            </m:rPr>
            <m:t>≈</m:t>
          </m:r>
          <m:r>
            <m:t>714</m:t>
          </m:r>
          <m:r>
            <m:rPr>
              <m:nor/>
              <m:sty m:val="p"/>
            </m:rPr>
            <m:t> ns</m:t>
          </m:r>
        </m:oMath>
      </m:oMathPara>
    </w:p>
    <w:p>
      <w:pPr>
        <w:pStyle w:val="FirstParagraph"/>
      </w:pPr>
      <w:r>
        <w:t xml:space="preserve">Crucially, this sub-microsecond timescale (</w:t>
      </w:r>
      <m:oMath>
        <m:sSub>
          <m:e>
            <m:r>
              <m:t>τ</m:t>
            </m:r>
          </m:e>
          <m:sub>
            <m:r>
              <m:t>L</m:t>
            </m:r>
          </m:sub>
        </m:sSub>
        <m:r>
          <m:rPr>
            <m:sty m:val="p"/>
          </m:rPr>
          <m:t>≈</m:t>
        </m:r>
        <m:r>
          <m:t>0.71</m:t>
        </m:r>
        <m:r>
          <m:t> </m:t>
        </m:r>
        <m:r>
          <m:t>μ</m:t>
        </m:r>
        <m:r>
          <m:rPr>
            <m:nor/>
            <m:sty m:val="p"/>
          </m:rPr>
          <m:t>s</m:t>
        </m:r>
      </m:oMath>
      <w:r>
        <w:t xml:space="preserve">) is directly resonant with the spin coherence lifetime of biological radical pairs (</w:t>
      </w:r>
      <m:oMath>
        <m:sSub>
          <m:e>
            <m:r>
              <m:t>τ</m:t>
            </m:r>
          </m:e>
          <m:sub>
            <m:r>
              <m:rPr>
                <m:nor/>
                <m:sty m:val="p"/>
              </m:rPr>
              <m:t>coh</m:t>
            </m:r>
          </m:sub>
        </m:sSub>
        <m:r>
          <m:rPr>
            <m:sty m:val="p"/>
          </m:rPr>
          <m:t>∼</m:t>
        </m:r>
        <m:r>
          <m:t>1</m:t>
        </m:r>
        <m:r>
          <m:t> </m:t>
        </m:r>
        <m:r>
          <m:t>μ</m:t>
        </m:r>
        <m:r>
          <m:rPr>
            <m:nor/>
            <m:sty m:val="p"/>
          </m:rPr>
          <m:t>s</m:t>
        </m:r>
      </m:oMath>
      <w:r>
        <w:t xml:space="preserve">) in proteins like cryptochrome, allowing Earth’s geomagnetic field to compete effectively with nuclear hyperfine interactions (</w:t>
      </w:r>
      <m:oMath>
        <m:sSub>
          <m:e>
            <m:r>
              <m:t>a</m:t>
            </m:r>
          </m:e>
          <m:sub>
            <m:r>
              <m:rPr>
                <m:nor/>
                <m:sty m:val="p"/>
              </m:rPr>
              <m:t>hf</m:t>
            </m:r>
          </m:sub>
        </m:sSub>
        <m:r>
          <m:rPr>
            <m:sty m:val="p"/>
          </m:rPr>
          <m:t>∼</m:t>
        </m:r>
        <m:r>
          <m:t>1</m:t>
        </m:r>
        <m:r>
          <m:rPr>
            <m:nor/>
            <m:sty m:val="p"/>
          </m:rPr>
          <m:t>–</m:t>
        </m:r>
        <m:r>
          <m:t>10</m:t>
        </m:r>
        <m:r>
          <m:rPr>
            <m:nor/>
            <m:sty m:val="p"/>
          </m:rPr>
          <m:t> G</m:t>
        </m:r>
        <m:r>
          <m:rPr>
            <m:sty m:val="p"/>
          </m:rPr>
          <m:t>≈</m:t>
        </m:r>
        <m:r>
          <m:t>0.1</m:t>
        </m:r>
        <m:r>
          <m:rPr>
            <m:nor/>
            <m:sty m:val="p"/>
          </m:rPr>
          <m:t>–</m:t>
        </m:r>
        <m:r>
          <m:t>1</m:t>
        </m:r>
        <m:r>
          <m:rPr>
            <m:nor/>
            <m:sty m:val="p"/>
          </m:rPr>
          <m:t> mT</m:t>
        </m:r>
      </m:oMath>
      <w:r>
        <w:t xml:space="preserve">) and modulate singlet-triplet interconversion (</w:t>
      </w:r>
      <m:oMath>
        <m:r>
          <m:t>S</m:t>
        </m:r>
        <m:r>
          <m:rPr>
            <m:sty m:val="p"/>
          </m:rPr>
          <m:t>↔</m:t>
        </m:r>
        <m:r>
          <m:t>T</m:t>
        </m:r>
      </m:oMath>
      <w:r>
        <w:t xml:space="preserve">) [49,50].</w:t>
      </w:r>
      <w:r>
        <w:t xml:space="preserve"> </w:t>
      </w:r>
      <w:r>
        <w:t xml:space="preserve">2.</w:t>
      </w:r>
      <w:r>
        <w:t xml:space="preserve"> </w:t>
      </w:r>
      <w:r>
        <w:rPr>
          <w:b/>
          <w:bCs/>
        </w:rPr>
        <w:t xml:space="preserve">Lunar Deep Near-Null Field (</w:t>
      </w:r>
      <m:oMath>
        <m:r>
          <m:t>1</m:t>
        </m:r>
        <m:r>
          <m:rPr>
            <m:nor/>
            <m:sty m:val="p"/>
          </m:rPr>
          <m:t> nT</m:t>
        </m:r>
      </m:oMath>
      <w:r>
        <w:rPr>
          <w:b/>
          <w:bCs/>
        </w:rPr>
        <w:t xml:space="preserve">):</w:t>
      </w:r>
    </w:p>
    <w:p>
      <w:pPr>
        <w:pStyle w:val="BodyText"/>
      </w:pPr>
      <m:oMathPara>
        <m:oMathParaPr>
          <m:jc m:val="center"/>
        </m:oMathParaPr>
        <m:oMath>
          <m:sSub>
            <m:e>
              <m:r>
                <m:t>ν</m:t>
              </m:r>
            </m:e>
            <m:sub>
              <m:r>
                <m:t>L</m:t>
              </m:r>
            </m:sub>
          </m:sSub>
          <m:r>
            <m:rPr>
              <m:sty m:val="p"/>
            </m:rPr>
            <m:t>≈</m:t>
          </m:r>
          <m:r>
            <m:t>28.02</m:t>
          </m:r>
          <m:r>
            <m:rPr>
              <m:nor/>
              <m:sty m:val="p"/>
            </m:rPr>
            <m:t> Hz</m:t>
          </m:r>
          <m:r>
            <m:rPr>
              <m:sty m:val="p"/>
            </m:rPr>
            <m:t>,</m:t>
          </m:r>
          <m:r>
            <m:t> </m:t>
          </m:r>
          <m:sSub>
            <m:e>
              <m:r>
                <m:t>τ</m:t>
              </m:r>
            </m:e>
            <m:sub>
              <m:r>
                <m:t>L</m:t>
              </m:r>
            </m:sub>
          </m:sSub>
          <m:r>
            <m:rPr>
              <m:sty m:val="p"/>
            </m:rPr>
            <m:t>≈</m:t>
          </m:r>
          <m:r>
            <m:t>35.7</m:t>
          </m:r>
          <m:r>
            <m:rPr>
              <m:nor/>
              <m:sty m:val="p"/>
            </m:rPr>
            <m:t> ms</m:t>
          </m:r>
        </m:oMath>
      </m:oMathPara>
    </w:p>
    <w:p>
      <w:pPr>
        <w:pStyle w:val="FirstParagraph"/>
      </w:pPr>
      <w:r>
        <w:t xml:space="preserve">3.</w:t>
      </w:r>
      <w:r>
        <w:t xml:space="preserve"> </w:t>
      </w:r>
      <w:r>
        <w:rPr>
          <w:b/>
          <w:bCs/>
        </w:rPr>
        <w:t xml:space="preserve">Moderate Shielded Laboratory Field (</w:t>
      </w:r>
      <m:oMath>
        <m:r>
          <m:t>10</m:t>
        </m:r>
        <m:r>
          <m:rPr>
            <m:nor/>
            <m:sty m:val="p"/>
          </m:rPr>
          <m:t> nT</m:t>
        </m:r>
      </m:oMath>
      <w:r>
        <w:rPr>
          <w:b/>
          <w:bCs/>
        </w:rPr>
        <w:t xml:space="preserve">):</w:t>
      </w:r>
    </w:p>
    <w:p>
      <w:pPr>
        <w:pStyle w:val="BodyText"/>
      </w:pPr>
      <m:oMathPara>
        <m:oMathParaPr>
          <m:jc m:val="center"/>
        </m:oMathParaPr>
        <m:oMath>
          <m:sSub>
            <m:e>
              <m:r>
                <m:t>ν</m:t>
              </m:r>
            </m:e>
            <m:sub>
              <m:r>
                <m:t>L</m:t>
              </m:r>
            </m:sub>
          </m:sSub>
          <m:r>
            <m:rPr>
              <m:sty m:val="p"/>
            </m:rPr>
            <m:t>≈</m:t>
          </m:r>
          <m:r>
            <m:t>280.2</m:t>
          </m:r>
          <m:r>
            <m:rPr>
              <m:nor/>
              <m:sty m:val="p"/>
            </m:rPr>
            <m:t> Hz</m:t>
          </m:r>
          <m:r>
            <m:rPr>
              <m:sty m:val="p"/>
            </m:rPr>
            <m:t>,</m:t>
          </m:r>
          <m:r>
            <m:t> </m:t>
          </m:r>
          <m:sSub>
            <m:e>
              <m:r>
                <m:t>τ</m:t>
              </m:r>
            </m:e>
            <m:sub>
              <m:r>
                <m:t>L</m:t>
              </m:r>
            </m:sub>
          </m:sSub>
          <m:r>
            <m:rPr>
              <m:sty m:val="p"/>
            </m:rPr>
            <m:t>≈</m:t>
          </m:r>
          <m:r>
            <m:t>3.57</m:t>
          </m:r>
          <m:r>
            <m:rPr>
              <m:nor/>
              <m:sty m:val="p"/>
            </m:rPr>
            <m:t> ms</m:t>
          </m:r>
        </m:oMath>
      </m:oMathPara>
    </w:p>
    <w:p>
      <w:pPr>
        <w:pStyle w:val="FirstParagraph"/>
      </w:pPr>
      <w:r>
        <w:t xml:space="preserve">This rigorous calculation demonstrates that in a</w:t>
      </w:r>
      <w:r>
        <w:t xml:space="preserve"> </w:t>
      </w:r>
      <m:oMath>
        <m:r>
          <m:t>1</m:t>
        </m:r>
        <m:r>
          <m:rPr>
            <m:nor/>
            <m:sty m:val="p"/>
          </m:rPr>
          <m:t> nT</m:t>
        </m:r>
      </m:oMath>
      <w:r>
        <w:t xml:space="preserve"> </w:t>
      </w:r>
      <w:r>
        <w:t xml:space="preserve">lunar near-null field, the Larmor precession period (</w:t>
      </w:r>
      <m:oMath>
        <m:sSub>
          <m:e>
            <m:r>
              <m:t>τ</m:t>
            </m:r>
          </m:e>
          <m:sub>
            <m:r>
              <m:t>L</m:t>
            </m:r>
          </m:sub>
        </m:sSub>
        <m:r>
          <m:rPr>
            <m:sty m:val="p"/>
          </m:rPr>
          <m:t>≈</m:t>
        </m:r>
        <m:r>
          <m:t>35.7</m:t>
        </m:r>
        <m:r>
          <m:rPr>
            <m:nor/>
            <m:sty m:val="p"/>
          </m:rPr>
          <m:t> ms</m:t>
        </m:r>
      </m:oMath>
      <w:r>
        <w:t xml:space="preserve">) is</w:t>
      </w:r>
      <w:r>
        <w:t xml:space="preserve"> </w:t>
      </w:r>
      <w:r>
        <w:rPr>
          <w:b/>
          <w:bCs/>
        </w:rPr>
        <w:t xml:space="preserve">more than four orders of magnitude (</w:t>
      </w:r>
      <m:oMath>
        <m:r>
          <m:rPr>
            <m:sty m:val="p"/>
          </m:rPr>
          <m:t>&gt;</m:t>
        </m:r>
        <m:r>
          <m:t>35</m:t>
        </m:r>
        <m:r>
          <m:rPr>
            <m:sty m:val="p"/>
          </m:rPr>
          <m:t>,</m:t>
        </m:r>
        <m:r>
          <m:t>000</m:t>
        </m:r>
        <m:r>
          <m:rPr>
            <m:sty m:val="p"/>
          </m:rPr>
          <m:t>×</m:t>
        </m:r>
      </m:oMath>
      <w:r>
        <w:rPr>
          <w:b/>
          <w:bCs/>
        </w:rPr>
        <w:t xml:space="preserve">) slower</w:t>
      </w:r>
      <w:r>
        <w:t xml:space="preserve"> </w:t>
      </w:r>
      <w:r>
        <w:t xml:space="preserve">than the lifetime of typical transient radical pairs (</w:t>
      </w:r>
      <m:oMath>
        <m:r>
          <m:rPr>
            <m:sty m:val="p"/>
          </m:rPr>
          <m:t>∼</m:t>
        </m:r>
        <m:r>
          <m:t>1</m:t>
        </m:r>
        <m:r>
          <m:t> </m:t>
        </m:r>
        <m:r>
          <m:t>μ</m:t>
        </m:r>
        <m:r>
          <m:rPr>
            <m:nor/>
            <m:sty m:val="p"/>
          </m:rPr>
          <m:t>s</m:t>
        </m:r>
      </m:oMath>
      <w:r>
        <w:t xml:space="preserve">). Consequently, external magnetic field-induced Zeeman mixing is completely shut down. The radical pair behaves as if operating in a pure magnetic void, governed entirely by local isotropic hyperfine couplings. This biophysical threshold formally justifies our a priori classification of fields below</w:t>
      </w:r>
      <w:r>
        <w:t xml:space="preserve"> </w:t>
      </w:r>
      <m:oMath>
        <m:r>
          <m:t>1</m:t>
        </m:r>
        <m:r>
          <m:rPr>
            <m:nor/>
            <m:sty m:val="p"/>
          </m:rPr>
          <m:t> nT</m:t>
        </m:r>
      </m:oMath>
      <w:r>
        <w:t xml:space="preserve"> </w:t>
      </w:r>
      <w:r>
        <w:t xml:space="preserve">as the</w:t>
      </w:r>
      <w:r>
        <w:t xml:space="preserve"> </w:t>
      </w:r>
      <w:r>
        <w:rPr>
          <w:b/>
          <w:bCs/>
        </w:rPr>
        <w:t xml:space="preserve">Deep Near-Null</w:t>
      </w:r>
      <w:r>
        <w:t xml:space="preserve"> </w:t>
      </w:r>
      <w:r>
        <w:t xml:space="preserve">regime.</w:t>
      </w:r>
    </w:p>
    <w:p>
      <w:r>
        <w:pict>
          <v:rect style="width:0;height:1.5pt" o:hralign="center" o:hrstd="t" o:hr="t"/>
        </w:pict>
      </w:r>
    </w:p>
    <w:bookmarkEnd w:id="37"/>
    <w:bookmarkEnd w:id="38"/>
    <w:bookmarkStart w:id="45" w:name="X915f1a2d9830eb72a477455a9e4294d4334108e"/>
    <w:p>
      <w:pPr>
        <w:pStyle w:val="Heading2"/>
      </w:pPr>
      <w:r>
        <w:t xml:space="preserve">5.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5a).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(Figure 5).</w:t>
      </w:r>
    </w:p>
    <w:p>
      <w:pPr>
        <w:pStyle w:val="BodyText"/>
      </w:pPr>
      <w:r>
        <w:drawing>
          <wp:inline>
            <wp:extent cx="5334000" cy="4362466"/>
            <wp:effectExtent b="0" l="0" r="0" t="0"/>
            <wp:docPr descr="Figure 5" title="" id="40" name="Picture"/>
            <a:graphic>
              <a:graphicData uri="http://schemas.openxmlformats.org/drawingml/2006/picture">
                <pic:pic>
                  <pic:nvPicPr>
                    <pic:cNvPr descr="/Users/drb_laptop/Documents/NMF_review/figures/Fig5_multistressor_co2_o2_ros_nexus.png" id="41" name="Picture"/>
                    <pic:cNvPicPr>
                      <a:picLocks noChangeArrowheads="1" noChangeAspect="1"/>
                    </pic:cNvPicPr>
                  </pic:nvPicPr>
                  <pic:blipFill>
                    <a:blip r:embed="rId39"/>
                    <a:stretch>
                      <a:fillRect/>
                    </a:stretch>
                  </pic:blipFill>
                  <pic:spPr bwMode="auto">
                    <a:xfrm>
                      <a:off x="0" y="0"/>
                      <a:ext cx="5334000" cy="4362466"/>
                    </a:xfrm>
                    <a:prstGeom prst="rect">
                      <a:avLst/>
                    </a:prstGeom>
                    <a:noFill/>
                    <a:ln w="9525">
                      <a:noFill/>
                      <a:headEnd/>
                      <a:tailEnd/>
                    </a:ln>
                  </pic:spPr>
                </pic:pic>
              </a:graphicData>
            </a:graphic>
          </wp:inline>
        </w:drawing>
      </w:r>
      <w:r>
        <w:t xml:space="preserve"> </w:t>
      </w:r>
      <w:r>
        <w:rPr>
          <w:b/>
          <w:bCs/>
        </w:rPr>
        <w:t xml:space="preserve">Figure 5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0.82</m:t>
        </m:r>
        <m:r>
          <m:rPr>
            <m:nor/>
            <m:sty m:val="p"/>
          </m:rPr>
          <m:t> nT</m:t>
        </m:r>
      </m:oMath>
      <w:r>
        <w:t xml:space="preserve"> </w:t>
      </w:r>
      <w:r>
        <w:t xml:space="preserve">lunar crustal void, and decoupled radiation regimes: chronic GCR background</w:t>
      </w:r>
      <w:r>
        <w:t xml:space="preserve"> </w:t>
      </w:r>
      <m:oMath>
        <m:r>
          <m:t>60</m:t>
        </m:r>
        <m:r>
          <m:rPr>
            <m:nor/>
            <m:sty m:val="p"/>
          </m:rPr>
          <m:t>–</m:t>
        </m:r>
        <m:r>
          <m:t>100</m:t>
        </m:r>
        <m:r>
          <m:rPr>
            <m:nor/>
            <m:sty m:val="p"/>
          </m:rPr>
          <m:t> mGy/year</m:t>
        </m:r>
      </m:oMath>
      <w:r>
        <w:t xml:space="preserve"> </w:t>
      </w:r>
      <w:r>
        <w:t xml:space="preserve">vs acute SPE events</w:t>
      </w:r>
      <w:r>
        <w:t xml:space="preserve"> </w:t>
      </w:r>
      <m:oMath>
        <m:r>
          <m:t>0.5</m:t>
        </m:r>
        <m:r>
          <m:rPr>
            <m:nor/>
            <m:sty m:val="p"/>
          </m:rPr>
          <m:t>–</m:t>
        </m:r>
        <m:r>
          <m:t>2</m:t>
        </m:r>
        <m:r>
          <m:rPr>
            <m:nor/>
            <m:sty m:val="p"/>
          </m:rPr>
          <m:t> Gy</m:t>
        </m:r>
      </m:oMath>
      <w:r>
        <w:t xml:space="preserve">).</w:t>
      </w:r>
      <w:r>
        <w:br/>
      </w:r>
      <w:r>
        <w:rPr>
          <w:b/>
          <w:bCs/>
        </w:rPr>
        <w:t xml:space="preserve">(b) The Time-Gated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organellar pathways across developmental stages: Phase I (0–72 h Heterotrophic: RuBisCO dormant, mitochondrial TCA dark respiration dominates); Phase II (72–120 h Greening: RuBisCO activates).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during peak operational stress response windows (24–72 h)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da Silveira et al. [67]), linking plant bioenergetics directly to crew health and food security.</w:t>
      </w:r>
    </w:p>
    <w:bookmarkStart w:id="42" w:name="X13967509b9e9ca182013849e15c5f68d15ad3b5"/>
    <w:p>
      <w:pPr>
        <w:pStyle w:val="Heading3"/>
      </w:pPr>
      <w:r>
        <w:t xml:space="preserve">5.1 Time-Gated Bioenergetics: Phase I (0–72 h) vs. Phase II (72–120 h)</w:t>
      </w:r>
    </w:p>
    <w:p>
      <w:pPr>
        <w:pStyle w:val="FirstParagraph"/>
      </w:pPr>
      <w:r>
        <w:t xml:space="preserve">To understand how atmospheric gas composition interacts with magnetic stress, physiological arguments must be strictly time-gated by developmental phase:</w:t>
      </w:r>
      <w:r>
        <w:t xml:space="preserve"> </w:t>
      </w:r>
      <w:r>
        <w:t xml:space="preserve">-</w:t>
      </w:r>
      <w:r>
        <w:t xml:space="preserve"> </w:t>
      </w:r>
      <w:r>
        <w:rPr>
          <w:b/>
          <w:bCs/>
        </w:rPr>
        <w:t xml:space="preserve">Phase I (0–72 h Post-Imbibition, Heterotrophic Energy Window):</w:t>
      </w:r>
      <w:r>
        <w:t xml:space="preserve"> </w:t>
      </w:r>
      <w:r>
        <w:t xml:space="preserve">During seed imbibition, reserve mobilization, and initial radicle protrusion, chloroplasts are completely absent and the photosynthetic enzyme RuBisCO is inactive. Here, elevated cabin</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cannot act via photorespiratory suppression. Instead,</w:t>
      </w:r>
      <w:r>
        <w:t xml:space="preserve"> </w:t>
      </w:r>
      <m:oMath>
        <m:sSub>
          <m:e>
            <m:r>
              <m:rPr>
                <m:nor/>
                <m:sty m:val="p"/>
              </m:rPr>
              <m:t>CO</m:t>
            </m:r>
          </m:e>
          <m:sub>
            <m:r>
              <m:t>2</m:t>
            </m:r>
          </m:sub>
        </m:sSub>
      </m:oMath>
      <w:r>
        <w:t xml:space="preserve"> </w:t>
      </w:r>
      <w:r>
        <w:t xml:space="preserve">acts via mitochondrial anaplerotic carboxylation (phosphoenolpyruvate carboxylase, PEPC) and tissue dark respiration, while hypobaric total pressure (</w:t>
      </w:r>
      <m:oMath>
        <m:r>
          <m:t>56.5</m:t>
        </m:r>
        <m:r>
          <m:rPr>
            <m:nor/>
            <m:sty m:val="p"/>
          </m:rPr>
          <m:t> kPa</m:t>
        </m:r>
      </m:oMath>
      <w:r>
        <w:t xml:space="preserve">) accelerates oxygen gas diffusivity through dense seed coats [8,66].</w:t>
      </w:r>
      <w:r>
        <w:t xml:space="preserve"> </w:t>
      </w:r>
      <w:r>
        <w:t xml:space="preserve">-</w:t>
      </w:r>
      <w:r>
        <w:t xml:space="preserve"> </w:t>
      </w:r>
      <w:r>
        <w:rPr>
          <w:b/>
          <w:bCs/>
        </w:rPr>
        <w:t xml:space="preserve">Phase II (72–120 h Post-Imbibition, Photomorphogenic Greening Window):</w:t>
      </w:r>
      <w:r>
        <w:t xml:space="preserve"> </w:t>
      </w:r>
      <w:r>
        <w:t xml:space="preserve">Once seedlings de-etiolate in the canopy light field, RuBisCO is synthesized in developing chloroplasts. In this phase, elevated</w:t>
      </w:r>
      <w:r>
        <w:t xml:space="preserve"> </w:t>
      </w:r>
      <m:oMath>
        <m:sSub>
          <m:e>
            <m:r>
              <m:rPr>
                <m:nor/>
                <m:sty m:val="p"/>
              </m:rPr>
              <m:t>CO</m:t>
            </m:r>
          </m:e>
          <m:sub>
            <m:r>
              <m:t>2</m:t>
            </m:r>
          </m:sub>
        </m:sSub>
      </m:oMath>
      <w:r>
        <w:t xml:space="preserve"> </w:t>
      </w:r>
      <w:r>
        <w:t xml:space="preserve">competitively inhibits RuBisCO oxygenase activity, drastically suppressing peroxisomal glycolate oxidase flux and cutting photorespiratory</w:t>
      </w:r>
      <w:r>
        <w:t xml:space="preserve"> </w:t>
      </w:r>
      <m:oMath>
        <m:sSub>
          <m:e>
            <m:r>
              <m:rPr>
                <m:nor/>
                <m:sty m:val="p"/>
              </m:rPr>
              <m:t>H</m:t>
            </m:r>
          </m:e>
          <m:sub>
            <m:r>
              <m:t>2</m:t>
            </m:r>
          </m:sub>
        </m:sSub>
        <m:sSub>
          <m:e>
            <m:r>
              <m:rPr>
                <m:nor/>
                <m:sty m:val="p"/>
              </m:rPr>
              <m:t>O</m:t>
            </m:r>
          </m:e>
          <m:sub>
            <m:r>
              <m:t>2</m:t>
            </m:r>
          </m:sub>
        </m:sSub>
      </m:oMath>
      <w:r>
        <w:t xml:space="preserve"> </w:t>
      </w:r>
      <w:r>
        <w:t xml:space="preserve">generation by</w:t>
      </w:r>
      <w:r>
        <w:t xml:space="preserve"> </w:t>
      </w:r>
      <m:oMath>
        <m:r>
          <m:rPr>
            <m:sty m:val="p"/>
          </m:rPr>
          <m:t>&gt;</m:t>
        </m:r>
        <m:r>
          <m:t>60</m:t>
        </m:r>
        <m:r>
          <m:rPr>
            <m:sty m:val="p"/>
          </m:rPr>
          <m:t>%</m:t>
        </m:r>
      </m:oMath>
      <w:r>
        <w:t xml:space="preserve"> </w:t>
      </w:r>
      <w:r>
        <w:t xml:space="preserve">[40,68]. Concurrently, mitochondria balance cytochrome</w:t>
      </w:r>
      <w:r>
        <w:t xml:space="preserve"> </w:t>
      </w:r>
      <m:oMath>
        <m:r>
          <m:t>c</m:t>
        </m:r>
      </m:oMath>
      <w:r>
        <w:t xml:space="preserve"> </w:t>
      </w:r>
      <w:r>
        <w:t xml:space="preserve">oxidase (COX) against Alternative Oxidase (AOX).</w:t>
      </w:r>
    </w:p>
    <w:bookmarkEnd w:id="42"/>
    <w:bookmarkStart w:id="43" w:name="X8bd8d9c8bf40fe763e50c27a4e3a434e76cac49"/>
    <w:p>
      <w:pPr>
        <w:pStyle w:val="Heading3"/>
      </w:pPr>
      <w:r>
        <w:t xml:space="preserve">5.2 Decoupling Chronic GCR from Acute SPE Radiation Regimes</w:t>
      </w:r>
    </w:p>
    <w:p>
      <w:pPr>
        <w:pStyle w:val="FirstParagraph"/>
      </w:pPr>
      <w:r>
        <w:t xml:space="preserve">A critical distinction must be drawn between chronic deep-space radiation background and acute solar events:</w:t>
      </w:r>
      <w:r>
        <w:t xml:space="preserve"> </w:t>
      </w:r>
      <w:r>
        <w:t xml:space="preserve">1.</w:t>
      </w:r>
      <w:r>
        <w:t xml:space="preserve"> </w:t>
      </w:r>
      <w:r>
        <w:rPr>
          <w:b/>
          <w:bCs/>
        </w:rPr>
        <w:t xml:space="preserve">Chronic Galactic Cosmic Radiation (GCR):</w:t>
      </w:r>
      <w:r>
        <w:t xml:space="preserve"> </w:t>
      </w:r>
      <w:r>
        <w:t xml:space="preserve">Comprising relativistic protons and high-Z, high-energy (HZE) nuclei, GCR background rates on the lunar surface range between</w:t>
      </w:r>
      <w:r>
        <w:t xml:space="preserve"> </w:t>
      </w:r>
      <m:oMath>
        <m:r>
          <m:t>60</m:t>
        </m:r>
        <m:r>
          <m:rPr>
            <m:nor/>
            <m:sty m:val="p"/>
          </m:rPr>
          <m:t> and </m:t>
        </m:r>
        <m:r>
          <m:t>100</m:t>
        </m:r>
        <m:r>
          <m:rPr>
            <m:nor/>
            <m:sty m:val="p"/>
          </m:rPr>
          <m:t> mGy/year</m:t>
        </m:r>
      </m:oMath>
      <w:r>
        <w:t xml:space="preserve"> </w:t>
      </w:r>
      <w:r>
        <w:t xml:space="preserve">(approximately</w:t>
      </w:r>
      <w:r>
        <w:t xml:space="preserve"> </w:t>
      </w:r>
      <m:oMath>
        <m:r>
          <m:t>0.16</m:t>
        </m:r>
        <m:r>
          <m:rPr>
            <m:nor/>
            <m:sty m:val="p"/>
          </m:rPr>
          <m:t> to </m:t>
        </m:r>
        <m:r>
          <m:t>0.27</m:t>
        </m:r>
        <m:r>
          <m:rPr>
            <m:nor/>
            <m:sty m:val="p"/>
          </m:rPr>
          <m:t> mGy/day</m:t>
        </m:r>
      </m:oMath>
      <w:r>
        <w:t xml:space="preserve">) [71,72]. Over a 5-day seed germination window (</w:t>
      </w:r>
      <m:oMath>
        <m:r>
          <m:t>120</m:t>
        </m:r>
        <m:r>
          <m:rPr>
            <m:nor/>
            <m:sty m:val="p"/>
          </m:rPr>
          <m:t> h</m:t>
        </m:r>
      </m:oMath>
      <w:r>
        <w:t xml:space="preserve">), cumulative GCR exposure is less than</w:t>
      </w:r>
      <w:r>
        <w:t xml:space="preserve"> </w:t>
      </w:r>
      <m:oMath>
        <m:r>
          <m:t>1.5</m:t>
        </m:r>
        <m:r>
          <m:rPr>
            <m:nor/>
            <m:sty m:val="p"/>
          </m:rPr>
          <m:t> mGy</m:t>
        </m:r>
      </m:oMath>
      <w:r>
        <w:t xml:space="preserve">. Radiobiological benchmarks demonstrate that this micro-dose imparts negligible cell death, minimal DNA double-strand breaks, and no detectable impact on seed germination speed or vegetative biomass [7,71].</w:t>
      </w:r>
      <w:r>
        <w:t xml:space="preserve"> </w:t>
      </w:r>
      <w:r>
        <w:t xml:space="preserve">2.</w:t>
      </w:r>
      <w:r>
        <w:t xml:space="preserve"> </w:t>
      </w:r>
      <w:r>
        <w:rPr>
          <w:b/>
          <w:bCs/>
        </w:rPr>
        <w:t xml:space="preserve">Acute Solar Particle Events (SPE):</w:t>
      </w:r>
      <w:r>
        <w:t xml:space="preserve"> </w:t>
      </w:r>
      <w:r>
        <w:t xml:space="preserve">In stark contrast, episodic coronal mass ejections deliver acute, high-flux proton doses ranging from</w:t>
      </w:r>
      <w:r>
        <w:t xml:space="preserve"> </w:t>
      </w:r>
      <m:oMath>
        <m:r>
          <m:t>0.5</m:t>
        </m:r>
        <m:r>
          <m:rPr>
            <m:nor/>
            <m:sty m:val="p"/>
          </m:rPr>
          <m:t> to </m:t>
        </m:r>
        <m:r>
          <m:t>2.0</m:t>
        </m:r>
        <m:r>
          <m:rPr>
            <m:nor/>
            <m:sty m:val="p"/>
          </m:rPr>
          <m:t> Gy</m:t>
        </m:r>
      </m:oMath>
      <w:r>
        <w:t xml:space="preserve"> </w:t>
      </w:r>
      <w:r>
        <w:t xml:space="preserve">within hours to days. Doses above</w:t>
      </w:r>
      <w:r>
        <w:t xml:space="preserve"> </w:t>
      </w:r>
      <m:oMath>
        <m:r>
          <m:t>0.5</m:t>
        </m:r>
        <m:r>
          <m:rPr>
            <m:nor/>
            <m:sty m:val="p"/>
          </m:rPr>
          <m:t> Gy</m:t>
        </m:r>
      </m:oMath>
      <w:r>
        <w:t xml:space="preserve"> </w:t>
      </w:r>
      <w:r>
        <w:t xml:space="preserve">induce severe chromatin ionization, triggering phosphorylation of histone</w:t>
      </w:r>
      <w:r>
        <w:t xml:space="preserve"> </w:t>
      </w:r>
      <m:oMath>
        <m:r>
          <m:t>γ</m:t>
        </m:r>
      </m:oMath>
      <w:r>
        <w:t xml:space="preserve">-H2AX, ATM/ATR kinase activation, and catastrophic mitotic arrest in root apical meristems [71,72].</w:t>
      </w:r>
    </w:p>
    <w:p>
      <w:pPr>
        <w:pStyle w:val="BodyText"/>
      </w:pPr>
      <w:r>
        <w:t xml:space="preserve">Therefore, for nominal 5-day lunar surface missions,</w:t>
      </w:r>
      <w:r>
        <w:t xml:space="preserve"> </w:t>
      </w:r>
      <w:r>
        <w:rPr>
          <w:b/>
          <w:bCs/>
        </w:rPr>
        <w:t xml:space="preserve">the near-null magnetic field and exploration atmosphere represent the dominant continuous environmental drivers of early seedling vigor</w:t>
      </w:r>
      <w:r>
        <w:t xml:space="preserve">, while acute radiation only becomes primary during active SPE events.</w:t>
      </w:r>
    </w:p>
    <w:bookmarkEnd w:id="43"/>
    <w:bookmarkStart w:id="44" w:name="X56e355aac4a107d33e21023ac9e81967cc7776f"/>
    <w:p>
      <w:pPr>
        <w:pStyle w:val="Heading3"/>
      </w:pPr>
      <w:r>
        <w:t xml:space="preserve">5.3 Transcriptomic Overlap: Peak Operational Windows and da Silveira Convergence</w:t>
      </w:r>
    </w:p>
    <w:p>
      <w:pPr>
        <w:pStyle w:val="FirstParagraph"/>
      </w:pPr>
      <w:r>
        <w:t xml:space="preserve">When interrogating multi-omics responses across stressors, comparisons must be evaluated during biologically comparable</w:t>
      </w:r>
      <w:r>
        <w:t xml:space="preserve"> </w:t>
      </w:r>
      <w:r>
        <w:rPr>
          <w:b/>
          <w:bCs/>
        </w:rPr>
        <w:t xml:space="preserve">peak operational stress response windows (24–72 h post-exposure)</w:t>
      </w:r>
      <w:r>
        <w:t xml:space="preserve">. Interrogating NASA OSDR dataset</w:t>
      </w:r>
      <w:r>
        <w:t xml:space="preserve"> </w:t>
      </w:r>
      <w:r>
        <w:rPr>
          <w:b/>
          <w:bCs/>
        </w:rPr>
        <w:t xml:space="preserve">OSD-782</w:t>
      </w:r>
      <w:r>
        <w:t xml:space="preserve"> </w:t>
      </w:r>
      <w:r>
        <w:t xml:space="preserve">(gamma radiation, 1 Gy) against Parmagnani et al. [73] (NNMF, ~30 nT) confirms concordant induction of the mitochondrial safety valve</w:t>
      </w:r>
      <w:r>
        <w:t xml:space="preserve"> </w:t>
      </w:r>
      <w:r>
        <w:rPr>
          <w:i/>
          <w:iCs/>
        </w:rPr>
        <w:t xml:space="preserve">AOX1D</w:t>
      </w:r>
      <w:r>
        <w:t xml:space="preserve"> </w:t>
      </w:r>
      <w:r>
        <w:t xml:space="preserve">(</w:t>
      </w:r>
      <m:oMath>
        <m:r>
          <m:rPr>
            <m:sty m:val="p"/>
          </m:rPr>
          <m:t>+</m:t>
        </m:r>
        <m:r>
          <m:t>3.96</m:t>
        </m:r>
        <m:r>
          <m:t> </m:t>
        </m:r>
        <m:sSub>
          <m:e>
            <m:r>
              <m:rPr>
                <m:sty m:val="p"/>
              </m:rPr>
              <m:t>log</m:t>
            </m:r>
          </m:e>
          <m:sub>
            <m:r>
              <m:t>2</m:t>
            </m:r>
          </m:sub>
        </m:sSub>
        <m:r>
          <m:rPr>
            <m:nor/>
            <m:sty m:val="p"/>
          </m:rPr>
          <m:t>FC</m:t>
        </m:r>
      </m:oMath>
      <w:r>
        <w:t xml:space="preserve"> </w:t>
      </w:r>
      <w:r>
        <w:t xml:space="preserve">under radiation;</w:t>
      </w:r>
      <w:r>
        <w:t xml:space="preserve"> </w:t>
      </w:r>
      <m:oMath>
        <m:r>
          <m:rPr>
            <m:sty m:val="p"/>
          </m:rPr>
          <m:t>+</m:t>
        </m:r>
        <m:r>
          <m:t>0.73</m:t>
        </m:r>
        <m:r>
          <m:t> </m:t>
        </m:r>
        <m:sSub>
          <m:e>
            <m:r>
              <m:rPr>
                <m:sty m:val="p"/>
              </m:rPr>
              <m:t>log</m:t>
            </m:r>
          </m:e>
          <m:sub>
            <m:r>
              <m:t>2</m:t>
            </m:r>
          </m:sub>
        </m:sSub>
        <m:r>
          <m:rPr>
            <m:nor/>
            <m:sty m:val="p"/>
          </m:rPr>
          <m:t>FC</m:t>
        </m:r>
      </m:oMath>
      <w:r>
        <w:t xml:space="preserve"> </w:t>
      </w:r>
      <w:r>
        <w:t xml:space="preserve">under NNMF) and the peroxisomal scavenger</w:t>
      </w:r>
      <w:r>
        <w:t xml:space="preserve"> </w:t>
      </w:r>
      <w:r>
        <w:rPr>
          <w:i/>
          <w:iCs/>
        </w:rPr>
        <w:t xml:space="preserve">CAT3</w:t>
      </w:r>
      <w:r>
        <w:t xml:space="preserve"> </w:t>
      </w:r>
      <w:r>
        <w:t xml:space="preserve">(</w:t>
      </w:r>
      <m:oMath>
        <m:r>
          <m:rPr>
            <m:sty m:val="p"/>
          </m:rPr>
          <m:t>+</m:t>
        </m:r>
        <m:r>
          <m:t>0.91</m:t>
        </m:r>
        <m:r>
          <m:t> </m:t>
        </m:r>
        <m:sSub>
          <m:e>
            <m:r>
              <m:rPr>
                <m:sty m:val="p"/>
              </m:rPr>
              <m:t>log</m:t>
            </m:r>
          </m:e>
          <m:sub>
            <m:r>
              <m:t>2</m:t>
            </m:r>
          </m:sub>
        </m:sSub>
        <m:r>
          <m:rPr>
            <m:nor/>
            <m:sty m:val="p"/>
          </m:rPr>
          <m:t>FC</m:t>
        </m:r>
      </m:oMath>
      <w:r>
        <w:t xml:space="preserve"> </w:t>
      </w:r>
      <w:r>
        <w:t xml:space="preserve">under radiation;</w:t>
      </w:r>
      <w:r>
        <w:t xml:space="preserve"> </w:t>
      </w:r>
      <m:oMath>
        <m:r>
          <m:rPr>
            <m:sty m:val="p"/>
          </m:rPr>
          <m:t>+</m:t>
        </m:r>
        <m:r>
          <m:t>0.94</m:t>
        </m:r>
        <m:r>
          <m:t> </m:t>
        </m:r>
        <m:sSub>
          <m:e>
            <m:r>
              <m:rPr>
                <m:sty m:val="p"/>
              </m:rPr>
              <m:t>log</m:t>
            </m:r>
          </m:e>
          <m:sub>
            <m:r>
              <m:t>2</m:t>
            </m:r>
          </m:sub>
        </m:sSub>
        <m:r>
          <m:rPr>
            <m:nor/>
            <m:sty m:val="p"/>
          </m:rPr>
          <m:t>FC</m:t>
        </m:r>
      </m:oMath>
      <w:r>
        <w:t xml:space="preserve"> </w:t>
      </w:r>
      <w:r>
        <w:t xml:space="preserve">under NNMF) (Figure 5c).</w:t>
      </w:r>
    </w:p>
    <w:p>
      <w:pPr>
        <w:pStyle w:val="BodyText"/>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represents the universal cellular hallmark of spaceflight across all eukaryotic biology</w:t>
      </w:r>
      <w:r>
        <w:t xml:space="preserve"> </w:t>
      </w:r>
      <w:r>
        <w:t xml:space="preserve">[67,74] (Figure 5d). In their landmark multi-cohort multi-omics synthesis, da Silveira et al. [67] demonstrated that mitochondrial dysfunction, impaired oxidative phosphorylation, and excessive ROS leakage represent the primary systemic spaceflight lesion in human astronauts (NASA Twins Study). Thus, plants in a lunar growth module and astronauts in an exploration habitat share the exact same subcellular mitochondrial vulnerability.</w:t>
      </w:r>
    </w:p>
    <w:p>
      <w:r>
        <w:pict>
          <v:rect style="width:0;height:1.5pt" o:hralign="center" o:hrstd="t" o:hr="t"/>
        </w:pict>
      </w:r>
    </w:p>
    <w:bookmarkEnd w:id="44"/>
    <w:bookmarkEnd w:id="45"/>
    <w:bookmarkStart w:id="52" w:name="X010ece94745ab7bbcd058eee9e1efe2b7b58067"/>
    <w:p>
      <w:pPr>
        <w:pStyle w:val="Heading2"/>
      </w:pPr>
      <w:r>
        <w:t xml:space="preserve">6. Scientific Knowledge Gap Retirement, Ground Simulation Standards, and Flight Instrumentation Trade Space</w:t>
      </w:r>
    </w:p>
    <w:p>
      <w:pPr>
        <w:pStyle w:val="FirstParagraph"/>
      </w:pPr>
      <w:r>
        <w:drawing>
          <wp:inline>
            <wp:extent cx="5334000" cy="4428471"/>
            <wp:effectExtent b="0" l="0" r="0" t="0"/>
            <wp:docPr descr="Figure 6" title="" id="47" name="Picture"/>
            <a:graphic>
              <a:graphicData uri="http://schemas.openxmlformats.org/drawingml/2006/picture">
                <pic:pic>
                  <pic:nvPicPr>
                    <pic:cNvPr descr="/Users/drb_laptop/Documents/NMF_review/figures/Fig6_flight_validation_risk_pipeline.png" id="48" name="Picture"/>
                    <pic:cNvPicPr>
                      <a:picLocks noChangeArrowheads="1" noChangeAspect="1"/>
                    </pic:cNvPicPr>
                  </pic:nvPicPr>
                  <pic:blipFill>
                    <a:blip r:embed="rId46"/>
                    <a:stretch>
                      <a:fillRect/>
                    </a:stretch>
                  </pic:blipFill>
                  <pic:spPr bwMode="auto">
                    <a:xfrm>
                      <a:off x="0" y="0"/>
                      <a:ext cx="5334000" cy="4428471"/>
                    </a:xfrm>
                    <a:prstGeom prst="rect">
                      <a:avLst/>
                    </a:prstGeom>
                    <a:noFill/>
                    <a:ln w="9525">
                      <a:noFill/>
                      <a:headEnd/>
                      <a:tailEnd/>
                    </a:ln>
                  </pic:spPr>
                </pic:pic>
              </a:graphicData>
            </a:graphic>
          </wp:inline>
        </w:drawing>
      </w:r>
      <w:r>
        <w:t xml:space="preserve"> </w:t>
      </w:r>
      <w:r>
        <w:rPr>
          <w:b/>
          <w:bCs/>
        </w:rPr>
        <w:t xml:space="preserve">Figure 6 | Ground simulation standards, hardware self-magnetic assessment protocol, and post-flight phenotypic disambiguation framework.</w:t>
      </w:r>
      <w:r>
        <w:br/>
      </w:r>
      <w:r>
        <w:rPr>
          <w:b/>
          <w:bCs/>
        </w:rPr>
        <w:t xml:space="preserve">(a) Methodological Ground Simulation Standards (3-Chamber Parity):</w:t>
      </w:r>
      <w:r>
        <w:t xml:space="preserve"> </w:t>
      </w:r>
      <w:r>
        <w:t xml:space="preserve">Parallel three-chamber experimental architecture ensuring strict environmental parity: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active cancellation or</w:t>
      </w:r>
      <w:r>
        <w:t xml:space="preserve"> </w:t>
      </w:r>
      <m:oMath>
        <m:r>
          <m:rPr>
            <m:sty m:val="p"/>
          </m:rPr>
          <m:t>&lt;</m:t>
        </m:r>
        <m:r>
          <m:t>1</m:t>
        </m:r>
        <m:r>
          <m:rPr>
            <m:nor/>
            <m:sty m:val="p"/>
          </m:rPr>
          <m:t> nT</m:t>
        </m:r>
      </m:oMath>
      <w:r>
        <w:t xml:space="preserve"> </w:t>
      </w:r>
      <w:r>
        <w:t xml:space="preserve">shielded core); and Chamber 3 (Matched Bifilar Sham Control, carrying matched current through opposing bifilar windings to produce net zero coil vector</w:t>
      </w:r>
      <w:r>
        <w:t xml:space="preserve"> </w:t>
      </w:r>
      <m:oMath>
        <m:sSub>
          <m:e>
            <m:r>
              <m:rPr>
                <m:sty m:val="bi"/>
              </m:rPr>
              <m:t>B</m:t>
            </m:r>
          </m:e>
          <m:sub>
            <m:r>
              <m:rPr>
                <m:nor/>
                <m:sty m:val="p"/>
              </m:rPr>
              <m:t>coil</m:t>
            </m:r>
          </m:sub>
        </m:sSub>
        <m:r>
          <m:rPr>
            <m:sty m:val="p"/>
          </m:rPr>
          <m:t>≈</m:t>
        </m:r>
        <m:r>
          <m:t>0</m:t>
        </m:r>
      </m:oMath>
      <w:r>
        <w:t xml:space="preserve"> </w:t>
      </w:r>
      <w:r>
        <w:t xml:space="preserve">while retaining the ambient</w:t>
      </w:r>
      <w:r>
        <w:t xml:space="preserve"> </w:t>
      </w:r>
      <m:oMath>
        <m:r>
          <m:t>45</m:t>
        </m:r>
        <m:r>
          <m:rPr>
            <m:nor/>
            <m:sty m:val="p"/>
          </m:rPr>
          <m:t>–</m:t>
        </m:r>
        <m:r>
          <m:t>50</m:t>
        </m:r>
        <m:r>
          <m:t> </m:t>
        </m:r>
        <m:r>
          <m:t>μ</m:t>
        </m:r>
        <m:r>
          <m:rPr>
            <m:nor/>
            <m:sty m:val="p"/>
          </m:rPr>
          <m:t>T</m:t>
        </m:r>
      </m:oMath>
      <w:r>
        <w:t xml:space="preserve"> </w:t>
      </w:r>
      <w:r>
        <w:t xml:space="preserve">GMF, identically isolating ohmic Joule heat</w:t>
      </w:r>
      <w:r>
        <w:t xml:space="preserve"> </w:t>
      </w:r>
      <m:oMath>
        <m:r>
          <m:rPr>
            <m:sty m:val="p"/>
          </m:rPr>
          <m:t>Δ</m:t>
        </m:r>
        <m:r>
          <m:t>T</m:t>
        </m:r>
      </m:oMath>
      <w:r>
        <w:t xml:space="preserve">, acoustic vibration, and power ripple). Banner defines the 6-Point Ground Acceptance Checklist (</w:t>
      </w:r>
      <m:oMath>
        <m:r>
          <m:rPr>
            <m:sty m:val="p"/>
          </m:rPr>
          <m:t>±</m:t>
        </m:r>
        <m:sSup>
          <m:e>
            <m:r>
              <m:t>0.3</m:t>
            </m:r>
          </m:e>
          <m:sup>
            <m:r>
              <m:rPr>
                <m:sty m:val="p"/>
              </m:rPr>
              <m:t>∘</m:t>
            </m:r>
          </m:sup>
        </m:sSup>
        <m:r>
          <m:rPr>
            <m:nor/>
            <m:sty m:val="p"/>
          </m:rPr>
          <m:t>C</m:t>
        </m:r>
      </m:oMath>
      <w:r>
        <w:t xml:space="preserve"> </w:t>
      </w:r>
      <w:r>
        <w:t xml:space="preserve">T,</w:t>
      </w:r>
      <w:r>
        <w:t xml:space="preserve"> </w:t>
      </w:r>
      <m:oMath>
        <m:r>
          <m:rPr>
            <m:sty m:val="p"/>
          </m:rPr>
          <m:t>±</m:t>
        </m:r>
        <m:r>
          <m:t>2</m:t>
        </m:r>
        <m:r>
          <m:rPr>
            <m:sty m:val="p"/>
          </m:rPr>
          <m:t>%</m:t>
        </m:r>
      </m:oMath>
      <w:r>
        <w:t xml:space="preserve"> </w:t>
      </w:r>
      <w:r>
        <w:t xml:space="preserve">RH,</w:t>
      </w:r>
      <w:r>
        <w:t xml:space="preserve"> </w:t>
      </w:r>
      <m:oMath>
        <m:r>
          <m:rPr>
            <m:sty m:val="p"/>
          </m:rPr>
          <m:t>±</m:t>
        </m:r>
        <m:r>
          <m:t>50</m:t>
        </m:r>
        <m:sSub>
          <m:e>
            <m:r>
              <m:rPr>
                <m:nor/>
                <m:sty m:val="p"/>
              </m:rPr>
              <m:t> ppm CO</m:t>
            </m:r>
          </m:e>
          <m:sub>
            <m:r>
              <m:t>2</m:t>
            </m:r>
          </m:sub>
        </m:sSub>
      </m:oMath>
      <w:r>
        <w:t xml:space="preserve">,</w:t>
      </w:r>
      <w:r>
        <w:t xml:space="preserve"> </w:t>
      </w:r>
      <m:oMath>
        <m:r>
          <m:rPr>
            <m:sty m:val="p"/>
          </m:rPr>
          <m:t>±</m:t>
        </m:r>
        <m:r>
          <m:t>5</m:t>
        </m:r>
        <m:r>
          <m:t> </m:t>
        </m:r>
        <m:r>
          <m:t>μ</m:t>
        </m:r>
        <m:sSup>
          <m:e>
            <m:r>
              <m:rPr>
                <m:nor/>
                <m:sty m:val="p"/>
              </m:rPr>
              <m:t>mol m</m:t>
            </m:r>
          </m:e>
          <m:sup>
            <m:r>
              <m:rPr>
                <m:sty m:val="p"/>
              </m:rPr>
              <m:t>−</m:t>
            </m:r>
            <m:r>
              <m:t>2</m:t>
            </m:r>
          </m:sup>
        </m:sSup>
        <m:sSup>
          <m:e>
            <m:r>
              <m:rPr>
                <m:nor/>
                <m:sty m:val="p"/>
              </m:rPr>
              <m:t> s</m:t>
            </m:r>
          </m:e>
          <m:sup>
            <m:r>
              <m:rPr>
                <m:sty m:val="p"/>
              </m:rPr>
              <m:t>−</m:t>
            </m:r>
            <m:r>
              <m:t>1</m:t>
            </m:r>
          </m:sup>
        </m:sSup>
      </m:oMath>
      <w:r>
        <w:t xml:space="preserve"> </w:t>
      </w:r>
      <w:r>
        <w:t xml:space="preserve">PAR).</w:t>
      </w:r>
      <w:r>
        <w:br/>
      </w:r>
      <w:r>
        <w:rPr>
          <w:b/>
          <w:bCs/>
        </w:rPr>
        <w:t xml:space="preserve">(b) Payload Self-Magnetic Calibration &amp; Transfer Deconvolution:</w:t>
      </w:r>
      <w:r>
        <w:t xml:space="preserve"> </w:t>
      </w:r>
      <w:r>
        <w:t xml:space="preserve">Calibration matrix decoupling hardware self-generated magnetic fields from ambient lunar near-null void. Stepwise power sweeps quantify subsystem coupling coefficients</w:t>
      </w:r>
      <w:r>
        <w:t xml:space="preserve"> </w:t>
      </w:r>
      <m:oMath>
        <m:sSub>
          <m:e>
            <m:r>
              <m:rPr>
                <m:sty m:val="bi"/>
              </m:rPr>
              <m:t>S</m:t>
            </m:r>
          </m:e>
          <m:sub>
            <m:r>
              <m:t>k</m:t>
            </m:r>
          </m:sub>
        </m:sSub>
      </m:oMath>
      <w:r>
        <w:t xml:space="preserve"> </w:t>
      </w:r>
      <w:r>
        <w:t xml:space="preserve">(LED lighting</w:t>
      </w:r>
      <w:r>
        <w:t xml:space="preserve"> </w:t>
      </w:r>
      <m:oMath>
        <m:r>
          <m:t>2</m:t>
        </m:r>
        <m:r>
          <m:rPr>
            <m:nor/>
            <m:sty m:val="p"/>
          </m:rPr>
          <m:t>–</m:t>
        </m:r>
        <m:r>
          <m:t>15</m:t>
        </m:r>
        <m:r>
          <m:t> </m:t>
        </m:r>
        <m:r>
          <m:t>μ</m:t>
        </m:r>
        <m:r>
          <m:rPr>
            <m:nor/>
            <m:sty m:val="p"/>
          </m:rPr>
          <m:t>T</m:t>
        </m:r>
      </m:oMath>
      <w:r>
        <w:t xml:space="preserve"> </w:t>
      </w:r>
      <w:r>
        <w:t xml:space="preserve">DC, pump pulses</w:t>
      </w:r>
      <w:r>
        <w:t xml:space="preserve"> </w:t>
      </w:r>
      <m:oMath>
        <m:r>
          <m:t>8</m:t>
        </m:r>
        <m:r>
          <m:rPr>
            <m:nor/>
            <m:sty m:val="p"/>
          </m:rPr>
          <m:t>–</m:t>
        </m:r>
        <m:r>
          <m:t>35</m:t>
        </m:r>
        <m:r>
          <m:t> </m:t>
        </m:r>
        <m:r>
          <m:t>μ</m:t>
        </m:r>
        <m:r>
          <m:rPr>
            <m:nor/>
            <m:sty m:val="p"/>
          </m:rPr>
          <m:t>T</m:t>
        </m:r>
      </m:oMath>
      <w:r>
        <w:t xml:space="preserve">, thermal heaters</w:t>
      </w:r>
      <w:r>
        <w:t xml:space="preserve"> </w:t>
      </w:r>
      <m:oMath>
        <m:r>
          <m:t>12</m:t>
        </m:r>
        <m:r>
          <m:rPr>
            <m:nor/>
            <m:sty m:val="p"/>
          </m:rPr>
          <m:t>–</m:t>
        </m:r>
        <m:r>
          <m:t>48</m:t>
        </m:r>
        <m:r>
          <m:t> </m:t>
        </m:r>
        <m:r>
          <m:t>μ</m:t>
        </m:r>
        <m:r>
          <m:rPr>
            <m:nor/>
            <m:sty m:val="p"/>
          </m:rPr>
          <m:t>T</m:t>
        </m:r>
      </m:oMath>
      <w:r>
        <w:t xml:space="preserve">, and avionics buses</w:t>
      </w:r>
      <w:r>
        <w:t xml:space="preserve"> </w:t>
      </w:r>
      <m:oMath>
        <m:r>
          <m:t>0.5</m:t>
        </m:r>
        <m:r>
          <m:rPr>
            <m:nor/>
            <m:sty m:val="p"/>
          </m:rPr>
          <m:t>–</m:t>
        </m:r>
        <m:r>
          <m:t>4</m:t>
        </m:r>
        <m:r>
          <m:t> </m:t>
        </m:r>
        <m:r>
          <m:t>μ</m:t>
        </m:r>
        <m:r>
          <m:rPr>
            <m:nor/>
            <m:sty m:val="p"/>
          </m:rPr>
          <m:t>T</m:t>
        </m:r>
      </m:oMath>
      <w:r>
        <w:t xml:space="preserve">). Computational subtraction via</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sSub>
              <m:e>
                <m:r>
                  <m:rPr>
                    <m:sty m:val="bi"/>
                  </m:rPr>
                  <m:t>S</m:t>
                </m:r>
              </m:e>
              <m:sub>
                <m:r>
                  <m:t>k</m:t>
                </m:r>
              </m:sub>
            </m:sSub>
          </m:e>
        </m:nary>
        <m:r>
          <m:rPr>
            <m:sty m:val="p"/>
          </m:rPr>
          <m:t>⋅</m:t>
        </m:r>
        <m:sSub>
          <m:e>
            <m:r>
              <m:t>I</m:t>
            </m:r>
          </m:e>
          <m:sub>
            <m:r>
              <m:t>k</m:t>
            </m:r>
          </m:sub>
        </m:sSub>
        <m:r>
          <m:rPr>
            <m:sty m:val="p"/>
          </m:rPr>
          <m:t>(</m:t>
        </m:r>
        <m:r>
          <m:t>t</m:t>
        </m:r>
        <m:r>
          <m:rPr>
            <m:sty m:val="p"/>
          </m:rPr>
          <m:t>)</m:t>
        </m:r>
      </m:oMath>
      <w:r>
        <w:t xml:space="preserve"> </w:t>
      </w:r>
      <w:r>
        <w:t xml:space="preserve">achieves an uncertainty budget of</w:t>
      </w:r>
      <w:r>
        <w:t xml:space="preserve"> </w:t>
      </w:r>
      <m:oMath>
        <m:r>
          <m:rPr>
            <m:sty m:val="p"/>
          </m:rPr>
          <m:t>±</m:t>
        </m:r>
        <m:r>
          <m:t>2</m:t>
        </m:r>
        <m:r>
          <m:rPr>
            <m:nor/>
            <m:sty m:val="p"/>
          </m:rPr>
          <m:t>–</m:t>
        </m:r>
        <m:r>
          <m:t>5</m:t>
        </m:r>
        <m:r>
          <m:rPr>
            <m:nor/>
            <m:sty m:val="p"/>
          </m:rPr>
          <m:t> nT</m:t>
        </m:r>
      </m:oMath>
      <w:r>
        <w:t xml:space="preserve"> </w:t>
      </w:r>
      <w:r>
        <w:t xml:space="preserve">RMS error against 2–48</w:t>
      </w:r>
      <w:r>
        <w:t xml:space="preserve"> </w:t>
      </w:r>
      <m:oMath>
        <m:r>
          <m:t>μ</m:t>
        </m:r>
      </m:oMath>
      <w:r>
        <w:t xml:space="preserve">T DC spacecraft backgrounds without requiring mass-prohibitive active in-flight cancellation coils.</w:t>
      </w:r>
      <w:r>
        <w:br/>
      </w:r>
      <w:r>
        <w:rPr>
          <w:b/>
          <w:bCs/>
        </w:rPr>
        <w:t xml:space="preserve">(c) Post-Flight Phenotypic Risk Disambiguation Matrix:</w:t>
      </w:r>
      <w:r>
        <w:t xml:space="preserve"> </w:t>
      </w:r>
      <w:r>
        <w:t xml:space="preserve">Operational comparative decision framework translating empirical ground and flight telemetry to decouple overlapping environmental stressors in lunar agricultural payloads (Table 4), distinguishing Near-Null Magnetic Fields (&lt;1 nT; emergence lag, cryptochrome-HY5 chlorosis,</w:t>
      </w:r>
      <w:r>
        <w:t xml:space="preserve"> </w:t>
      </w:r>
      <w:r>
        <w:rPr>
          <w:i/>
          <w:iCs/>
        </w:rPr>
        <w:t xml:space="preserve">AOX1D</w:t>
      </w:r>
      <w:r>
        <w:t xml:space="preserve"> </w:t>
      </w:r>
      <w:r>
        <w:t xml:space="preserve">induction without DNA breaks; rescued by 45</w:t>
      </w:r>
      <w:r>
        <w:t xml:space="preserve"> </w:t>
      </w:r>
      <m:oMath>
        <m:r>
          <m:t>μ</m:t>
        </m:r>
      </m:oMath>
      <w:r>
        <w:t xml:space="preserve">T, 1g-insensitive) from Lunar Partial Gravity (</w:t>
      </w:r>
      <m:oMath>
        <m:r>
          <m:t>0.166</m:t>
        </m:r>
        <m:r>
          <m:t> </m:t>
        </m:r>
        <m:r>
          <m:t>g</m:t>
        </m:r>
      </m:oMath>
      <w:r>
        <w:t xml:space="preserve">; directional skewing, statolith displacement, apoplastic ROS; rescued by 1g rotor, B-insensitive) and Deep-Space Ionizing Radiation (dose-dependent cell cycle arrest, severe DNA double-strand breaks,</w:t>
      </w:r>
      <w:r>
        <w:t xml:space="preserve"> </w:t>
      </w:r>
      <m:oMath>
        <m:r>
          <m:t>γ</m:t>
        </m:r>
      </m:oMath>
      <w:r>
        <w:t xml:space="preserve">-H2AX foci; correlated with dosimeter, B- and g-independent).</w:t>
      </w:r>
    </w:p>
    <w:bookmarkStart w:id="49" w:name="X338bb884919056f45c4403fcbeabbd2da1854b0"/>
    <w:p>
      <w:pPr>
        <w:pStyle w:val="Heading3"/>
      </w:pPr>
      <w:r>
        <w:t xml:space="preserve">6.1 Ground Simulation Standards &amp; The 6-Point Acceptance Checklist</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deploy</w:t>
      </w:r>
      <w:r>
        <w:t xml:space="preserve"> </w:t>
      </w:r>
      <w:r>
        <w:rPr>
          <w:b/>
          <w:bCs/>
        </w:rPr>
        <w:t xml:space="preserve">matched-current bifilar sham coils</w:t>
      </w:r>
      <w:r>
        <w:t xml:space="preserve"> </w:t>
      </w:r>
      <w:r>
        <w:t xml:space="preserve">as an obligatory negative magnetic control [11,78] (Figure 6a).</w:t>
      </w:r>
    </w:p>
    <w:p>
      <w:pPr>
        <w:pStyle w:val="BodyText"/>
      </w:pPr>
      <w:r>
        <w:t xml:space="preserve">In a bifilar sham configuration, paired adjacent wires carry equal currents in opposite directions. The resulting magnetic fields cancel completely (</w:t>
      </w:r>
      <m:oMath>
        <m:sSub>
          <m:e>
            <m:r>
              <m:rPr>
                <m:sty m:val="bi"/>
              </m:rPr>
              <m:t>B</m:t>
            </m:r>
          </m:e>
          <m:sub>
            <m:r>
              <m:rPr>
                <m:nor/>
                <m:sty m:val="p"/>
              </m:rPr>
              <m:t>coil</m:t>
            </m:r>
          </m:sub>
        </m:sSub>
        <m:r>
          <m:rPr>
            <m:sty m:val="p"/>
          </m:rPr>
          <m:t>≈</m:t>
        </m:r>
        <m:r>
          <m:t>0</m:t>
        </m:r>
      </m:oMath>
      <w:r>
        <w:t xml:space="preserve">), leaving the ambient terrestrial geomagnetic field (</w:t>
      </w:r>
      <m:oMath>
        <m:r>
          <m:t>45</m:t>
        </m:r>
        <m:r>
          <m:rPr>
            <m:nor/>
            <m:sty m:val="p"/>
          </m:rPr>
          <m:t>–</m:t>
        </m:r>
        <m:r>
          <m:t>50</m:t>
        </m:r>
        <m:r>
          <m:t> </m:t>
        </m:r>
        <m:r>
          <m:t>μ</m:t>
        </m:r>
        <m:r>
          <m:rPr>
            <m:nor/>
            <m:sty m:val="p"/>
          </m:rPr>
          <m:t>T</m:t>
        </m:r>
      </m:oMath>
      <w:r>
        <w:t xml:space="preserve">) entirely undisturbed, while generating identical resistive Joule heat (</w:t>
      </w:r>
      <m:oMath>
        <m:r>
          <m:rPr>
            <m:sty m:val="p"/>
          </m:rPr>
          <m:t>Δ</m:t>
        </m:r>
        <m:r>
          <m:t>T</m:t>
        </m:r>
      </m:oMath>
      <w:r>
        <w:t xml:space="preserve">), electrical loads, power-supply switching ripple, and acoustic coil vibration as the active cancellation coils.</w:t>
      </w:r>
    </w:p>
    <w:p>
      <w:pPr>
        <w:pStyle w:val="BodyText"/>
      </w:pPr>
      <w:r>
        <w:t xml:space="preserve">To ensure peer-review auditability, we formulate the</w:t>
      </w:r>
      <w:r>
        <w:t xml:space="preserve"> </w:t>
      </w:r>
      <w:r>
        <w:rPr>
          <w:b/>
          <w:bCs/>
        </w:rPr>
        <w:t xml:space="preserve">6-Point Ground Simulation Acceptance Checklist</w:t>
      </w:r>
      <w:r>
        <w:t xml:space="preserve">:</w:t>
      </w:r>
      <w:r>
        <w:t xml:space="preserve"> </w:t>
      </w:r>
      <w:r>
        <w:t xml:space="preserve">1.</w:t>
      </w:r>
      <w:r>
        <w:t xml:space="preserve"> </w:t>
      </w:r>
      <w:r>
        <w:rPr>
          <w:b/>
          <w:bCs/>
        </w:rPr>
        <w:t xml:space="preserve">Three-Axis Vector Verification:</w:t>
      </w:r>
      <w:r>
        <w:t xml:space="preserve"> </w:t>
      </w:r>
      <w:r>
        <w:t xml:space="preserve">Specimen-plane magnetic vector logged continuously (</w:t>
      </w:r>
      <m:oMath>
        <m:sSub>
          <m:e>
            <m:r>
              <m:t>B</m:t>
            </m:r>
          </m:e>
          <m:sub>
            <m:r>
              <m:t>x</m:t>
            </m:r>
          </m:sub>
        </m:sSub>
        <m:r>
          <m:rPr>
            <m:sty m:val="p"/>
          </m:rPr>
          <m:t>,</m:t>
        </m:r>
        <m:sSub>
          <m:e>
            <m:r>
              <m:t>B</m:t>
            </m:r>
          </m:e>
          <m:sub>
            <m:r>
              <m:t>y</m:t>
            </m:r>
          </m:sub>
        </m:sSub>
        <m:r>
          <m:rPr>
            <m:sty m:val="p"/>
          </m:rPr>
          <m:t>,</m:t>
        </m:r>
        <m:sSub>
          <m:e>
            <m:r>
              <m:t>B</m:t>
            </m:r>
          </m:e>
          <m:sub>
            <m:r>
              <m:t>z</m:t>
            </m:r>
          </m:sub>
        </m:sSub>
      </m:oMath>
      <w:r>
        <w:t xml:space="preserve">) with calibrated fluxgate/AMR sensors at</w:t>
      </w:r>
      <w:r>
        <w:t xml:space="preserve"> </w:t>
      </w:r>
      <m:oMath>
        <m:r>
          <m:rPr>
            <m:sty m:val="p"/>
          </m:rPr>
          <m:t>≤</m:t>
        </m:r>
        <m:r>
          <m:rPr>
            <m:sty m:val="p"/>
          </m:rPr>
          <m:t>±</m:t>
        </m:r>
        <m:r>
          <m:t>0.1</m:t>
        </m:r>
        <m:r>
          <m:rPr>
            <m:nor/>
            <m:sty m:val="p"/>
          </m:rPr>
          <m:t> nT</m:t>
        </m:r>
      </m:oMath>
      <w:r>
        <w:t xml:space="preserve"> </w:t>
      </w:r>
      <w:r>
        <w:t xml:space="preserve">resolution.</w:t>
      </w:r>
      <w:r>
        <w:t xml:space="preserve"> </w:t>
      </w:r>
      <w:r>
        <w:t xml:space="preserve">2.</w:t>
      </w:r>
      <w:r>
        <w:t xml:space="preserve"> </w:t>
      </w:r>
      <w:r>
        <w:rPr>
          <w:b/>
          <w:bCs/>
        </w:rPr>
        <w:t xml:space="preserve">Residual Field Compliance:</w:t>
      </w:r>
      <w:r>
        <w:t xml:space="preserve"> </w:t>
      </w:r>
      <w:r>
        <w:t xml:space="preserve">Residual field at the seed tray plane confirmed strictly</w:t>
      </w:r>
      <w:r>
        <w:t xml:space="preserve"> </w:t>
      </w:r>
      <m:oMath>
        <m:r>
          <m:rPr>
            <m:sty m:val="p"/>
          </m:rPr>
          <m:t>&lt;</m:t>
        </m:r>
        <m:r>
          <m:t>10</m:t>
        </m:r>
        <m:r>
          <m:rPr>
            <m:nor/>
            <m:sty m:val="p"/>
          </m:rPr>
          <m:t> nT</m:t>
        </m:r>
      </m:oMath>
      <w:r>
        <w:t xml:space="preserve"> </w:t>
      </w:r>
      <w:r>
        <w:t xml:space="preserve">(or</w:t>
      </w:r>
      <w:r>
        <w:t xml:space="preserve"> </w:t>
      </w:r>
      <m:oMath>
        <m:r>
          <m:rPr>
            <m:sty m:val="p"/>
          </m:rPr>
          <m:t>&lt;</m:t>
        </m:r>
        <m:r>
          <m:t>1</m:t>
        </m:r>
        <m:r>
          <m:rPr>
            <m:nor/>
            <m:sty m:val="p"/>
          </m:rPr>
          <m:t> nT</m:t>
        </m:r>
      </m:oMath>
      <w:r>
        <w:t xml:space="preserve"> </w:t>
      </w:r>
      <w:r>
        <w:t xml:space="preserve">for deep near-null simulations) across 100% of the seed planting area.</w:t>
      </w:r>
      <w:r>
        <w:t xml:space="preserve"> </w:t>
      </w:r>
      <w:r>
        <w:t xml:space="preserve">3.</w:t>
      </w:r>
      <w:r>
        <w:t xml:space="preserve"> </w:t>
      </w:r>
      <w:r>
        <w:rPr>
          <w:b/>
          <w:bCs/>
        </w:rPr>
        <w:t xml:space="preserve">Thermal Parity:</w:t>
      </w:r>
      <w:r>
        <w:t xml:space="preserve"> </w:t>
      </w:r>
      <w:r>
        <w:t xml:space="preserve">Chamber temperature matched to</w:t>
      </w:r>
      <w:r>
        <w:t xml:space="preserve"> </w:t>
      </w:r>
      <m:oMath>
        <m:r>
          <m:rPr>
            <m:sty m:val="p"/>
          </m:rPr>
          <m:t>≤</m:t>
        </m:r>
        <m:r>
          <m:rPr>
            <m:sty m:val="p"/>
          </m:rPr>
          <m:t>±</m:t>
        </m:r>
        <m:sSup>
          <m:e>
            <m:r>
              <m:t>0.3</m:t>
            </m:r>
          </m:e>
          <m:sup>
            <m:r>
              <m:rPr>
                <m:sty m:val="p"/>
              </m:rPr>
              <m:t>∘</m:t>
            </m:r>
          </m:sup>
        </m:sSup>
        <m:r>
          <m:rPr>
            <m:nor/>
            <m:sty m:val="p"/>
          </m:rPr>
          <m:t>C</m:t>
        </m:r>
      </m:oMath>
      <w:r>
        <w:t xml:space="preserve"> </w:t>
      </w:r>
      <w:r>
        <w:t xml:space="preserve">between GMF, NNMF, and Sham chambers.</w:t>
      </w:r>
      <w:r>
        <w:t xml:space="preserve"> </w:t>
      </w:r>
      <w:r>
        <w:t xml:space="preserve">4.</w:t>
      </w:r>
      <w:r>
        <w:t xml:space="preserve"> </w:t>
      </w:r>
      <w:r>
        <w:rPr>
          <w:b/>
          <w:bCs/>
        </w:rPr>
        <w:t xml:space="preserve">Humidity Parity:</w:t>
      </w:r>
      <w:r>
        <w:t xml:space="preserve"> </w:t>
      </w:r>
      <w:r>
        <w:t xml:space="preserve">Relative humidity maintained within</w:t>
      </w:r>
      <w:r>
        <w:t xml:space="preserve"> </w:t>
      </w:r>
      <m:oMath>
        <m:r>
          <m:rPr>
            <m:sty m:val="p"/>
          </m:rPr>
          <m:t>≤</m:t>
        </m:r>
        <m:r>
          <m:rPr>
            <m:sty m:val="p"/>
          </m:rPr>
          <m:t>±</m:t>
        </m:r>
        <m:r>
          <m:t>2</m:t>
        </m:r>
        <m:r>
          <m:rPr>
            <m:sty m:val="p"/>
          </m:rPr>
          <m:t>%</m:t>
        </m:r>
      </m:oMath>
      <w:r>
        <w:t xml:space="preserve"> </w:t>
      </w:r>
      <w:r>
        <w:t xml:space="preserve">across all chambers.</w:t>
      </w:r>
      <w:r>
        <w:t xml:space="preserve"> </w:t>
      </w:r>
      <w:r>
        <w:t xml:space="preserve">5.</w:t>
      </w:r>
      <w:r>
        <w:t xml:space="preserve"> </w:t>
      </w:r>
      <w:r>
        <w:rPr>
          <w:b/>
          <w:bCs/>
        </w:rPr>
        <w:t xml:space="preserve">Photometric Parity:</w:t>
      </w:r>
      <w:r>
        <w:t xml:space="preserve"> </w:t>
      </w:r>
      <w:r>
        <w:t xml:space="preserve">Canopy PAR matched to</w:t>
      </w:r>
      <w:r>
        <w:t xml:space="preserve"> </w:t>
      </w:r>
      <m:oMath>
        <m:r>
          <m:rPr>
            <m:sty m:val="p"/>
          </m:rPr>
          <m:t>≤</m:t>
        </m:r>
        <m:r>
          <m:rPr>
            <m:sty m:val="p"/>
          </m:rPr>
          <m:t>±</m:t>
        </m:r>
        <m:r>
          <m:t>5</m:t>
        </m:r>
        <m:r>
          <m:t> </m:t>
        </m:r>
        <m:r>
          <m:t>μ</m:t>
        </m:r>
        <m:sSup>
          <m:e>
            <m:r>
              <m:rPr>
                <m:nor/>
                <m:sty m:val="p"/>
              </m:rPr>
              <m:t>mol m</m:t>
            </m:r>
          </m:e>
          <m:sup>
            <m:r>
              <m:rPr>
                <m:sty m:val="p"/>
              </m:rPr>
              <m:t>−</m:t>
            </m:r>
            <m:r>
              <m:t>2</m:t>
            </m:r>
          </m:sup>
        </m:sSup>
        <m:sSup>
          <m:e>
            <m:r>
              <m:rPr>
                <m:nor/>
                <m:sty m:val="p"/>
              </m:rPr>
              <m:t> s</m:t>
            </m:r>
          </m:e>
          <m:sup>
            <m:r>
              <m:rPr>
                <m:sty m:val="p"/>
              </m:rPr>
              <m:t>−</m:t>
            </m:r>
            <m:r>
              <m:t>1</m:t>
            </m:r>
          </m:sup>
        </m:sSup>
      </m:oMath>
      <w:r>
        <w:t xml:space="preserve"> </w:t>
      </w:r>
      <w:r>
        <w:t xml:space="preserve">with identical LED spectral power distributions.</w:t>
      </w:r>
      <w:r>
        <w:t xml:space="preserve"> </w:t>
      </w:r>
      <w:r>
        <w:t xml:space="preserve">6.</w:t>
      </w:r>
      <w:r>
        <w:t xml:space="preserve"> </w:t>
      </w:r>
      <w:r>
        <w:rPr>
          <w:b/>
          <w:bCs/>
        </w:rPr>
        <w:t xml:space="preserve">Carbon Dioxide &amp; Airflow Parity:</w:t>
      </w:r>
      <w:r>
        <w:t xml:space="preserve"> </w:t>
      </w:r>
      <w:r>
        <w:t xml:space="preserve">Ambient</w:t>
      </w:r>
      <w:r>
        <w:t xml:space="preserve"> </w:t>
      </w:r>
      <m:oMath>
        <m:sSub>
          <m:e>
            <m:r>
              <m:rPr>
                <m:nor/>
                <m:sty m:val="p"/>
              </m:rPr>
              <m:t>CO</m:t>
            </m:r>
          </m:e>
          <m:sub>
            <m:r>
              <m:t>2</m:t>
            </m:r>
          </m:sub>
        </m:sSub>
      </m:oMath>
      <w:r>
        <w:t xml:space="preserve"> </w:t>
      </w:r>
      <w:r>
        <w:t xml:space="preserve">matched within</w:t>
      </w:r>
      <w:r>
        <w:t xml:space="preserve"> </w:t>
      </w:r>
      <m:oMath>
        <m:r>
          <m:rPr>
            <m:sty m:val="p"/>
          </m:rPr>
          <m:t>≤</m:t>
        </m:r>
        <m:r>
          <m:rPr>
            <m:sty m:val="p"/>
          </m:rPr>
          <m:t>±</m:t>
        </m:r>
        <m:r>
          <m:t>50</m:t>
        </m:r>
        <m:r>
          <m:rPr>
            <m:nor/>
            <m:sty m:val="p"/>
          </m:rPr>
          <m:t> ppm</m:t>
        </m:r>
      </m:oMath>
      <w:r>
        <w:t xml:space="preserve"> </w:t>
      </w:r>
      <w:r>
        <w:t xml:space="preserve">and continuous horizontal ventilation maintained at</w:t>
      </w:r>
      <w:r>
        <w:t xml:space="preserve"> </w:t>
      </w:r>
      <m:oMath>
        <m:r>
          <m:t>0.3</m:t>
        </m:r>
        <m:r>
          <m:rPr>
            <m:nor/>
            <m:sty m:val="p"/>
          </m:rPr>
          <m:t>–</m:t>
        </m:r>
        <m:r>
          <m:t>0.5</m:t>
        </m:r>
        <m:r>
          <m:rPr>
            <m:nor/>
            <m:sty m:val="p"/>
          </m:rPr>
          <m:t> m/s</m:t>
        </m:r>
      </m:oMath>
      <w:r>
        <w:t xml:space="preserve"> </w:t>
      </w:r>
      <w:r>
        <w:t xml:space="preserve">(</w:t>
      </w:r>
      <m:oMath>
        <m:r>
          <m:rPr>
            <m:sty m:val="p"/>
          </m:rPr>
          <m:t>±</m:t>
        </m:r>
        <m:r>
          <m:t>0.05</m:t>
        </m:r>
        <m:r>
          <m:rPr>
            <m:nor/>
            <m:sty m:val="p"/>
          </m:rPr>
          <m:t> m/s</m:t>
        </m:r>
      </m:oMath>
      <w:r>
        <w:t xml:space="preserve">) to eliminate boundary layer and ethylene artifacts [7,40].</w:t>
      </w:r>
    </w:p>
    <w:bookmarkEnd w:id="49"/>
    <w:bookmarkStart w:id="50" w:name="Xc7c961386457c1f7f541608cecf357d2555e314"/>
    <w:p>
      <w:pPr>
        <w:pStyle w:val="Heading3"/>
      </w:pPr>
      <w:r>
        <w:t xml:space="preserve">6.2 Hardware Self-Magnetic Assessment Protocol &amp; Current Deconvolution</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(2 to 48 µT) that vary continuously with subsystem operational power settings (Figure 6b).</w:t>
      </w:r>
    </w:p>
    <w:p>
      <w:pPr>
        <w:pStyle w:val="BodyText"/>
      </w:pPr>
      <w:r>
        <w:t xml:space="preserve">To decouple these hardware self-fields from the ambient lunar near-null environment without requiring mass-prohibitive magnetic shielding, engineering teams should execute a pre-flight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Subsystem Current Sweeps:</w:t>
      </w:r>
      <w:r>
        <w:t xml:space="preserve"> </w:t>
      </w:r>
      <w:r>
        <w:t xml:space="preserve">Stepwise calibrate each subsystem independently across its dynamic range, extracting the 3-axis empirical coupling sensitivity tensor</w:t>
      </w:r>
      <w:r>
        <w:t xml:space="preserve"> </w:t>
      </w:r>
      <m:oMath>
        <m:sSub>
          <m:e>
            <m:r>
              <m:rPr>
                <m:sty m:val="bi"/>
              </m:rPr>
              <m:t>S</m:t>
            </m:r>
          </m:e>
          <m:sub>
            <m:r>
              <m:t>k</m:t>
            </m:r>
          </m:sub>
        </m:sSub>
      </m:oMath>
      <w:r>
        <w:t xml:space="preserve"> </w:t>
      </w:r>
      <w:r>
        <w:t xml:space="preserve">(</w:t>
      </w:r>
      <m:oMath>
        <m:r>
          <m:rPr>
            <m:nor/>
            <m:sty m:val="p"/>
          </m:rPr>
          <m:t>nT / A</m:t>
        </m:r>
      </m:oMath>
      <w:r>
        <w:t xml:space="preserve">):</w:t>
      </w:r>
      <w:r>
        <w:t xml:space="preserve"> </w:t>
      </w:r>
      <w:r>
        <w:t xml:space="preserve">-</w:t>
      </w:r>
      <w:r>
        <w:t xml:space="preserve"> </w:t>
      </w:r>
      <w:r>
        <w:rPr>
          <w:i/>
          <w:iCs/>
        </w:rPr>
        <w:t xml:space="preserve">LED PAR Array:</w:t>
      </w:r>
      <w:r>
        <w:t xml:space="preserve"> </w:t>
      </w:r>
      <m:oMath>
        <m:r>
          <m:t>0</m:t>
        </m:r>
        <m:r>
          <m:rPr>
            <m:nor/>
            <m:sty m:val="p"/>
          </m:rPr>
          <m:t>–</m:t>
        </m:r>
        <m:r>
          <m:t>25</m:t>
        </m:r>
        <m:r>
          <m:rPr>
            <m:nor/>
            <m:sty m:val="p"/>
          </m:rPr>
          <m:t> W</m:t>
        </m:r>
      </m:oMath>
      <w:r>
        <w:t xml:space="preserve"> </w:t>
      </w:r>
      <w:r>
        <w:t xml:space="preserve">(</w:t>
      </w:r>
      <m:oMath>
        <m:r>
          <m:t>0.1</m:t>
        </m:r>
        <m:r>
          <m:rPr>
            <m:nor/>
            <m:sty m:val="p"/>
          </m:rPr>
          <m:t>–</m:t>
        </m:r>
        <m:r>
          <m:t>1.8</m:t>
        </m:r>
        <m:r>
          <m:rPr>
            <m:nor/>
            <m:sty m:val="p"/>
          </m:rPr>
          <m:t> A</m:t>
        </m:r>
      </m:oMath>
      <w:r>
        <w:t xml:space="preserve"> </w:t>
      </w:r>
      <w:r>
        <w:t xml:space="preserve">DC), measuring</w:t>
      </w:r>
      <w:r>
        <w:t xml:space="preserve"> </w:t>
      </w:r>
      <m:oMath>
        <m:sSub>
          <m:e>
            <m:r>
              <m:rPr>
                <m:sty m:val="bi"/>
              </m:rPr>
              <m:t>S</m:t>
            </m:r>
          </m:e>
          <m:sub>
            <m:r>
              <m:rPr>
                <m:sty m:val="p"/>
              </m:rPr>
              <m:t>L</m:t>
            </m:r>
            <m:r>
              <m:rPr>
                <m:sty m:val="p"/>
              </m:rPr>
              <m:t>E</m:t>
            </m:r>
            <m:r>
              <m:rPr>
                <m:sty m:val="p"/>
              </m:rPr>
              <m:t>D</m:t>
            </m:r>
          </m:sub>
        </m:sSub>
        <m:r>
          <m:rPr>
            <m:sty m:val="p"/>
          </m:rPr>
          <m:t>≈</m:t>
        </m:r>
        <m:r>
          <m:t>8.3</m:t>
        </m:r>
        <m:r>
          <m:t> </m:t>
        </m:r>
        <m:r>
          <m:t>μ</m:t>
        </m:r>
        <m:r>
          <m:rPr>
            <m:nor/>
            <m:sty m:val="p"/>
          </m:rPr>
          <m:t>T/A</m:t>
        </m:r>
      </m:oMath>
      <w:r>
        <w:t xml:space="preserve">.</w:t>
      </w:r>
      <w:r>
        <w:t xml:space="preserve"> </w:t>
      </w:r>
      <w:r>
        <w:t xml:space="preserve">-</w:t>
      </w:r>
      <w:r>
        <w:t xml:space="preserve"> </w:t>
      </w:r>
      <w:r>
        <w:rPr>
          <w:i/>
          <w:iCs/>
        </w:rPr>
        <w:t xml:space="preserve">Fluidic Pumps:</w:t>
      </w:r>
      <w:r>
        <w:t xml:space="preserve"> </w:t>
      </w:r>
      <m:oMath>
        <m:r>
          <m:t>0</m:t>
        </m:r>
        <m:r>
          <m:rPr>
            <m:nor/>
            <m:sty m:val="p"/>
          </m:rPr>
          <m:t>–</m:t>
        </m:r>
        <m:r>
          <m:t>8</m:t>
        </m:r>
        <m:r>
          <m:rPr>
            <m:nor/>
            <m:sty m:val="p"/>
          </m:rPr>
          <m:t> W</m:t>
        </m:r>
      </m:oMath>
      <w:r>
        <w:t xml:space="preserve"> </w:t>
      </w:r>
      <w:r>
        <w:t xml:space="preserve">(</w:t>
      </w:r>
      <m:oMath>
        <m:r>
          <m:t>0.5</m:t>
        </m:r>
        <m:r>
          <m:rPr>
            <m:nor/>
            <m:sty m:val="p"/>
          </m:rPr>
          <m:t>–</m:t>
        </m:r>
        <m:r>
          <m:t>1.5</m:t>
        </m:r>
        <m:r>
          <m:rPr>
            <m:nor/>
            <m:sty m:val="p"/>
          </m:rPr>
          <m:t> A</m:t>
        </m:r>
      </m:oMath>
      <w:r>
        <w:t xml:space="preserve"> </w:t>
      </w:r>
      <w:r>
        <w:t xml:space="preserve">pulsed), measuring</w:t>
      </w:r>
      <w:r>
        <w:t xml:space="preserve"> </w:t>
      </w:r>
      <m:oMath>
        <m:sSub>
          <m:e>
            <m:r>
              <m:rPr>
                <m:sty m:val="bi"/>
              </m:rPr>
              <m:t>S</m:t>
            </m:r>
          </m:e>
          <m:sub>
            <m:r>
              <m:rPr>
                <m:sty m:val="p"/>
              </m:rPr>
              <m:t>p</m:t>
            </m:r>
            <m:r>
              <m:rPr>
                <m:sty m:val="p"/>
              </m:rPr>
              <m:t>u</m:t>
            </m:r>
            <m:r>
              <m:rPr>
                <m:sty m:val="p"/>
              </m:rPr>
              <m:t>m</m:t>
            </m:r>
            <m:r>
              <m:rPr>
                <m:sty m:val="p"/>
              </m:rPr>
              <m:t>p</m:t>
            </m:r>
          </m:sub>
        </m:sSub>
        <m:r>
          <m:rPr>
            <m:sty m:val="p"/>
          </m:rPr>
          <m:t>≈</m:t>
        </m:r>
        <m:r>
          <m:t>23.3</m:t>
        </m:r>
        <m:r>
          <m:t> </m:t>
        </m:r>
        <m:r>
          <m:t>μ</m:t>
        </m:r>
        <m:r>
          <m:rPr>
            <m:nor/>
            <m:sty m:val="p"/>
          </m:rPr>
          <m:t>T/A</m:t>
        </m:r>
      </m:oMath>
      <w:r>
        <w:t xml:space="preserve">.</w:t>
      </w:r>
      <w:r>
        <w:t xml:space="preserve"> </w:t>
      </w:r>
      <w:r>
        <w:t xml:space="preserve">-</w:t>
      </w:r>
      <w:r>
        <w:t xml:space="preserve"> </w:t>
      </w:r>
      <w:r>
        <w:rPr>
          <w:i/>
          <w:iCs/>
        </w:rPr>
        <w:t xml:space="preserve">Thermal Control:</w:t>
      </w:r>
      <w:r>
        <w:t xml:space="preserve"> </w:t>
      </w:r>
      <m:oMath>
        <m:r>
          <m:t>0</m:t>
        </m:r>
        <m:r>
          <m:rPr>
            <m:nor/>
            <m:sty m:val="p"/>
          </m:rPr>
          <m:t>–</m:t>
        </m:r>
        <m:r>
          <m:t>30</m:t>
        </m:r>
        <m:r>
          <m:rPr>
            <m:nor/>
            <m:sty m:val="p"/>
          </m:rPr>
          <m:t> W</m:t>
        </m:r>
      </m:oMath>
      <w:r>
        <w:t xml:space="preserve"> </w:t>
      </w:r>
      <w:r>
        <w:t xml:space="preserve">(</w:t>
      </w:r>
      <m:oMath>
        <m:r>
          <m:t>1.0</m:t>
        </m:r>
        <m:r>
          <m:rPr>
            <m:nor/>
            <m:sty m:val="p"/>
          </m:rPr>
          <m:t>–</m:t>
        </m:r>
        <m:r>
          <m:t>2.5</m:t>
        </m:r>
        <m:r>
          <m:rPr>
            <m:nor/>
            <m:sty m:val="p"/>
          </m:rPr>
          <m:t> A</m:t>
        </m:r>
      </m:oMath>
      <w:r>
        <w:t xml:space="preserve"> </w:t>
      </w:r>
      <w:r>
        <w:t xml:space="preserve">continuous), measuring</w:t>
      </w:r>
      <w:r>
        <w:t xml:space="preserve"> </w:t>
      </w:r>
      <m:oMath>
        <m:sSub>
          <m:e>
            <m:r>
              <m:rPr>
                <m:sty m:val="bi"/>
              </m:rPr>
              <m:t>S</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r>
          <m:t>19.2</m:t>
        </m:r>
        <m:r>
          <m:t> </m:t>
        </m:r>
        <m:r>
          <m:t>μ</m:t>
        </m:r>
        <m:r>
          <m:rPr>
            <m:nor/>
            <m:sty m:val="p"/>
          </m:rPr>
          <m:t>T/A</m:t>
        </m:r>
      </m:oMath>
      <w:r>
        <w:t xml:space="preserve">.</w:t>
      </w:r>
      <w:r>
        <w:t xml:space="preserve"> </w:t>
      </w:r>
      <w:r>
        <w:t xml:space="preserve">-</w:t>
      </w:r>
      <w:r>
        <w:t xml:space="preserve"> </w:t>
      </w:r>
      <w:r>
        <w:rPr>
          <w:i/>
          <w:iCs/>
        </w:rPr>
        <w:t xml:space="preserve">Avionics Bus:</w:t>
      </w:r>
      <w:r>
        <w:t xml:space="preserve"> </w:t>
      </w:r>
      <m:oMath>
        <m:r>
          <m:t>3</m:t>
        </m:r>
        <m:r>
          <m:rPr>
            <m:nor/>
            <m:sty m:val="p"/>
          </m:rPr>
          <m:t>–</m:t>
        </m:r>
        <m:r>
          <m:t>12</m:t>
        </m:r>
        <m:r>
          <m:rPr>
            <m:nor/>
            <m:sty m:val="p"/>
          </m:rPr>
          <m:t> W</m:t>
        </m:r>
      </m:oMath>
      <w:r>
        <w:t xml:space="preserve"> </w:t>
      </w:r>
      <w:r>
        <w:t xml:space="preserve">(</w:t>
      </w:r>
      <m:oMath>
        <m:r>
          <m:t>0.2</m:t>
        </m:r>
        <m:r>
          <m:rPr>
            <m:nor/>
            <m:sty m:val="p"/>
          </m:rPr>
          <m:t>–</m:t>
        </m:r>
        <m:r>
          <m:t>0.8</m:t>
        </m:r>
        <m:r>
          <m:rPr>
            <m:nor/>
            <m:sty m:val="p"/>
          </m:rPr>
          <m:t> A</m:t>
        </m:r>
      </m:oMath>
      <w:r>
        <w:t xml:space="preserve"> </w:t>
      </w:r>
      <w:r>
        <w:t xml:space="preserve">baseline), measuring</w:t>
      </w:r>
      <w:r>
        <w:t xml:space="preserve"> </w:t>
      </w:r>
      <m:oMath>
        <m:sSub>
          <m:e>
            <m:r>
              <m:rPr>
                <m:sty m:val="bi"/>
              </m:rPr>
              <m:t>S</m:t>
            </m:r>
          </m:e>
          <m:sub>
            <m:r>
              <m:rPr>
                <m:sty m:val="p"/>
              </m:rPr>
              <m:t>b</m:t>
            </m:r>
            <m:r>
              <m:rPr>
                <m:sty m:val="p"/>
              </m:rPr>
              <m:t>u</m:t>
            </m:r>
            <m:r>
              <m:rPr>
                <m:sty m:val="p"/>
              </m:rPr>
              <m:t>s</m:t>
            </m:r>
          </m:sub>
        </m:sSub>
        <m:r>
          <m:rPr>
            <m:sty m:val="p"/>
          </m:rPr>
          <m:t>≈</m:t>
        </m:r>
        <m:r>
          <m:t>5.0</m:t>
        </m:r>
        <m:r>
          <m:t> </m:t>
        </m:r>
        <m:r>
          <m:t>μ</m:t>
        </m:r>
        <m:r>
          <m:rPr>
            <m:nor/>
            <m:sty m:val="p"/>
          </m:rPr>
          <m:t>T/A</m:t>
        </m:r>
      </m:oMath>
      <w:r>
        <w:t xml:space="preserve">.</w:t>
      </w:r>
      <w:r>
        <w:t xml:space="preserve"> </w:t>
      </w:r>
      <w:r>
        <w:t xml:space="preserve">2.</w:t>
      </w:r>
      <w:r>
        <w:t xml:space="preserve"> </w:t>
      </w:r>
      <w:r>
        <w:rPr>
          <w:b/>
          <w:bCs/>
        </w:rPr>
        <w:t xml:space="preserve">Current-Parameterized Computational Deconvolution:</w:t>
      </w:r>
      <w:r>
        <w:t xml:space="preserve"> </w:t>
      </w:r>
      <w:r>
        <w:t xml:space="preserve">By logging subsystem current telemetry (</w:t>
      </w:r>
      <m:oMath>
        <m:sSub>
          <m:e>
            <m:r>
              <m:t>I</m:t>
            </m:r>
          </m:e>
          <m:sub>
            <m:r>
              <m:t>k</m:t>
            </m:r>
          </m:sub>
        </m:sSub>
        <m:r>
          <m:rPr>
            <m:sty m:val="p"/>
          </m:rPr>
          <m:t>(</m:t>
        </m:r>
        <m:r>
          <m:t>t</m:t>
        </m:r>
        <m:r>
          <m:rPr>
            <m:sty m:val="p"/>
          </m:rPr>
          <m:t>)</m:t>
        </m:r>
      </m:oMath>
      <w:r>
        <w:t xml:space="preserve">) alongside the 3-axis canopy magnetometer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reconstructed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sSub>
                <m:e>
                  <m:r>
                    <m:rPr>
                      <m:sty m:val="bi"/>
                    </m:rPr>
                    <m:t>S</m:t>
                  </m:r>
                </m:e>
                <m:sub>
                  <m:r>
                    <m:t>k</m:t>
                  </m:r>
                </m:sub>
              </m:sSub>
            </m:e>
          </m:nary>
          <m:r>
            <m:rPr>
              <m:sty m:val="p"/>
            </m:rPr>
            <m:t>⋅</m:t>
          </m:r>
          <m:sSub>
            <m:e>
              <m:r>
                <m:t>I</m:t>
              </m:r>
            </m:e>
            <m:sub>
              <m:r>
                <m:t>k</m:t>
              </m:r>
            </m:sub>
          </m:sSub>
          <m:r>
            <m:rPr>
              <m:sty m:val="p"/>
            </m:rPr>
            <m:t>(</m:t>
          </m:r>
          <m:r>
            <m:t>t</m:t>
          </m:r>
          <m:r>
            <m:rPr>
              <m:sty m:val="p"/>
            </m:rPr>
            <m:t>)</m:t>
          </m:r>
        </m:oMath>
      </m:oMathPara>
    </w:p>
    <w:p>
      <w:pPr>
        <w:pStyle w:val="FirstParagraph"/>
      </w:pPr>
      <w:r>
        <w:t xml:space="preserve">3.</w:t>
      </w:r>
      <w:r>
        <w:t xml:space="preserve"> </w:t>
      </w:r>
      <w:r>
        <w:rPr>
          <w:b/>
          <w:bCs/>
        </w:rPr>
        <w:t xml:space="preserve">Uncertainty Budget:</w:t>
      </w:r>
      <w:r>
        <w:t xml:space="preserve"> </w:t>
      </w:r>
      <w:r>
        <w:t xml:space="preserve">Laboratory validation of this deconvolution transfer function demonstrates an achievable</w:t>
      </w:r>
      <w:r>
        <w:t xml:space="preserve"> </w:t>
      </w:r>
      <w:r>
        <w:rPr>
          <w:b/>
          <w:bCs/>
        </w:rPr>
        <w:t xml:space="preserve">residual uncertainty of</w:t>
      </w:r>
      <w:r>
        <w:rPr>
          <w:b/>
          <w:bCs/>
        </w:rPr>
        <w:t xml:space="preserve"> </w:t>
      </w:r>
      <m:oMath>
        <m:r>
          <m:rPr>
            <m:sty m:val="p"/>
          </m:rPr>
          <m:t>±</m:t>
        </m:r>
        <m:r>
          <m:t>2</m:t>
        </m:r>
        <m:r>
          <m:rPr>
            <m:nor/>
            <m:sty m:val="p"/>
          </m:rPr>
          <m:t> to </m:t>
        </m:r>
        <m:r>
          <m:t>5</m:t>
        </m:r>
        <m:r>
          <m:rPr>
            <m:nor/>
            <m:sty m:val="p"/>
          </m:rPr>
          <m:t> nT</m:t>
        </m:r>
      </m:oMath>
      <w:r>
        <w:rPr>
          <w:b/>
          <w:bCs/>
        </w:rPr>
        <w:t xml:space="preserve"> </w:t>
      </w:r>
      <w:r>
        <w:rPr>
          <w:b/>
          <w:bCs/>
        </w:rPr>
        <w:t xml:space="preserve">RMS error</w:t>
      </w:r>
      <w:r>
        <w:t xml:space="preserve"> </w:t>
      </w:r>
      <w:r>
        <w:t xml:space="preserve">in the presence of</w:t>
      </w:r>
      <w:r>
        <w:t xml:space="preserve"> </w:t>
      </w:r>
      <m:oMath>
        <m:r>
          <m:t>20</m:t>
        </m:r>
        <m:r>
          <m:rPr>
            <m:nor/>
            <m:sty m:val="p"/>
          </m:rPr>
          <m:t> to </m:t>
        </m:r>
        <m:r>
          <m:t>50</m:t>
        </m:r>
        <m:r>
          <m:t> </m:t>
        </m:r>
        <m:r>
          <m:t>μ</m:t>
        </m:r>
        <m:r>
          <m:rPr>
            <m:nor/>
            <m:sty m:val="p"/>
          </m:rPr>
          <m:t>T</m:t>
        </m:r>
      </m:oMath>
      <w:r>
        <w:t xml:space="preserve"> </w:t>
      </w:r>
      <w:r>
        <w:t xml:space="preserve">DC spacecraft background fields, fully adequate to detect ambient lunar crustal transitions and verify hypomagnetic exposure.</w:t>
      </w:r>
    </w:p>
    <w:bookmarkEnd w:id="50"/>
    <w:bookmarkStart w:id="51" w:name="Xf31f061348310ff50a9ef45a4bf9bcd6965eeea"/>
    <w:p>
      <w:pPr>
        <w:pStyle w:val="Heading3"/>
      </w:pPr>
      <w:r>
        <w:t xml:space="preserve">6.3 Operational Flight Decision Matrix and Evidence Tiers</w:t>
      </w:r>
    </w:p>
    <w:p>
      <w:pPr>
        <w:pStyle w:val="FirstParagraph"/>
      </w:pPr>
      <w:r>
        <w:t xml:space="preserve">Table 4 integrates these biophysical, temporal, and operational constraints into an actionable decision matrix for spaceflight biology teams.</w:t>
      </w:r>
    </w:p>
    <w:p>
      <w:pPr>
        <w:pStyle w:val="BodyText"/>
      </w:pPr>
      <w:r>
        <w:rPr>
          <w:b/>
          <w:bCs/>
        </w:rPr>
        <w:t xml:space="preserve">Table 4 | Operational flight risk decision matrix for space plant biology.</w:t>
      </w:r>
      <w:r>
        <w:t xml:space="preserve"> </w:t>
      </w:r>
      <w:r>
        <w:t xml:space="preserve">Diagnostic criteria, evidence tiers (T1–T4), critical time windows, flight engineering feasibility, operational radiation thresholds, and causal validation pipelines to decouple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Stressor / Variable</w:t>
            </w:r>
          </w:p>
        </w:tc>
        <w:tc>
          <w:tcPr/>
          <w:p>
            <w:pPr>
              <w:pStyle w:val="Compact"/>
              <w:jc w:val="left"/>
            </w:pPr>
            <w:r>
              <w:t xml:space="preserve">Biophysical Mechanism &amp; Evidence Tier</w:t>
            </w:r>
          </w:p>
        </w:tc>
        <w:tc>
          <w:tcPr/>
          <w:p>
            <w:pPr>
              <w:pStyle w:val="Compact"/>
              <w:jc w:val="left"/>
            </w:pPr>
            <w:r>
              <w:t xml:space="preserve">Critical Time Window</w:t>
            </w:r>
          </w:p>
        </w:tc>
        <w:tc>
          <w:tcPr/>
          <w:p>
            <w:pPr>
              <w:pStyle w:val="Compact"/>
              <w:jc w:val="left"/>
            </w:pPr>
            <w:r>
              <w:t xml:space="preserve">Flight Payload Feasibility</w:t>
            </w:r>
          </w:p>
        </w:tc>
        <w:tc>
          <w:tcPr/>
          <w:p>
            <w:pPr>
              <w:pStyle w:val="Compact"/>
              <w:jc w:val="left"/>
            </w:pPr>
            <w:r>
              <w:t xml:space="preserve">Emergence &amp; Growth Phenotype</w:t>
            </w:r>
          </w:p>
        </w:tc>
        <w:tc>
          <w:tcPr/>
          <w:p>
            <w:pPr>
              <w:pStyle w:val="Compact"/>
              <w:jc w:val="left"/>
            </w:pPr>
            <w:r>
              <w:t xml:space="preserve">Diagnostic Biomarkers</w:t>
            </w:r>
          </w:p>
        </w:tc>
        <w:tc>
          <w:tcPr/>
          <w:p>
            <w:pPr>
              <w:pStyle w:val="Compact"/>
              <w:jc w:val="left"/>
            </w:pPr>
            <w:r>
              <w:t xml:space="preserve">Operational Countermeasure</w:t>
            </w:r>
          </w:p>
        </w:tc>
        <w:tc>
          <w:tcPr/>
          <w:p>
            <w:pPr>
              <w:pStyle w:val="Compact"/>
              <w:jc w:val="left"/>
            </w:pPr>
            <w:r>
              <w:t xml:space="preserve">Causal Validation Pipeline</w:t>
            </w:r>
          </w:p>
        </w:tc>
      </w:tr>
      <w:tr>
        <w:tc>
          <w:tcPr/>
          <w:p>
            <w:pPr>
              <w:pStyle w:val="Compact"/>
              <w:jc w:val="left"/>
            </w:pPr>
            <w:r>
              <w:rPr>
                <w:b/>
                <w:bCs/>
              </w:rPr>
              <w:t xml:space="preserve">Near-Null Magnetic Field (&lt;1 nT)</w:t>
            </w:r>
          </w:p>
        </w:tc>
        <w:tc>
          <w:tcPr/>
          <w:p>
            <w:pPr>
              <w:pStyle w:val="Compact"/>
              <w:jc w:val="left"/>
            </w:pPr>
            <w:r>
              <w:t xml:space="preserve">Cryptochrome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(Tier 1); SDP1 lipid mobilization &amp; AOX1D (Tier 2)</w:t>
            </w:r>
          </w:p>
        </w:tc>
        <w:tc>
          <w:tcPr/>
          <w:p>
            <w:pPr>
              <w:pStyle w:val="Compact"/>
              <w:jc w:val="left"/>
            </w:pPr>
            <w:r>
              <w:t xml:space="preserve">Phase I (0–72 h) &amp; Phase II (72–120 h)</w:t>
            </w:r>
          </w:p>
        </w:tc>
        <w:tc>
          <w:tcPr/>
          <w:p>
            <w:pPr>
              <w:pStyle w:val="Compact"/>
              <w:jc w:val="left"/>
            </w:pPr>
            <w:r>
              <w:rPr>
                <w:b/>
                <w:bCs/>
              </w:rPr>
              <w:t xml:space="preserve">High</w:t>
            </w:r>
            <w:r>
              <w:t xml:space="preserve"> </w:t>
            </w:r>
            <w:r>
              <w:t xml:space="preserve">(3-axis passive AMR canopy magnetometry,</w:t>
            </w:r>
            <w:r>
              <w:t xml:space="preserve"> </w:t>
            </w:r>
            <m:oMath>
              <m:r>
                <m:rPr>
                  <m:sty m:val="p"/>
                </m:rPr>
                <m:t>&lt;</m:t>
              </m:r>
              <m:r>
                <m:t>1</m:t>
              </m:r>
              <m:r>
                <m:rPr>
                  <m:nor/>
                  <m:sty m:val="p"/>
                </m:rPr>
                <m:t> W</m:t>
              </m:r>
            </m:oMath>
            <w:r>
              <w:t xml:space="preserve">,</w:t>
            </w:r>
            <w:r>
              <w:t xml:space="preserve"> </w:t>
            </w:r>
            <m:oMath>
              <m:r>
                <m:rPr>
                  <m:sty m:val="p"/>
                </m:rPr>
                <m:t>&lt;</m:t>
              </m:r>
              <m:r>
                <m:t>50</m:t>
              </m:r>
              <m:r>
                <m:rPr>
                  <m:nor/>
                  <m:sty m:val="p"/>
                </m:rPr>
                <m:t> g</m:t>
              </m:r>
            </m:oMath>
            <w:r>
              <w:t xml:space="preserve">)</w:t>
            </w:r>
          </w:p>
        </w:tc>
        <w:tc>
          <w:tcPr/>
          <w:p>
            <w:pPr>
              <w:pStyle w:val="Compact"/>
              <w:jc w:val="left"/>
            </w:pPr>
            <w:r>
              <w:t xml:space="preserve">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rPr>
                  <m:sty m:val="p"/>
                </m:rPr>
                <m:t>−</m:t>
              </m:r>
              <m:r>
                <m:t>10</m:t>
              </m:r>
              <m:r>
                <m:rPr>
                  <m:nor/>
                  <m:sty m:val="p"/>
                </m:rPr>
                <m:t> to </m:t>
              </m:r>
              <m:r>
                <m:rPr>
                  <m:sty m:val="p"/>
                </m:rPr>
                <m:t>−</m:t>
              </m:r>
              <m:r>
                <m:t>30</m:t>
              </m:r>
              <m:r>
                <m:rPr>
                  <m:sty m:val="p"/>
                </m:rPr>
                <m:t>%</m:t>
              </m:r>
            </m:oMath>
            <w:r>
              <w:t xml:space="preserve"> </w:t>
            </w:r>
            <w:r>
              <w:t xml:space="preserve">capacity; repressed greening</w:t>
            </w:r>
          </w:p>
        </w:tc>
        <w:tc>
          <w:tcPr/>
          <w:p>
            <w:pPr>
              <w:pStyle w:val="Compact"/>
              <w:jc w:val="left"/>
            </w:pP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w:t>
            </w:r>
            <w:r>
              <w:t xml:space="preserve">repression;</w:t>
            </w:r>
            <w:r>
              <w:t xml:space="preserve"> </w:t>
            </w:r>
            <w:r>
              <w:rPr>
                <w:i/>
                <w:iCs/>
              </w:rPr>
              <w:t xml:space="preserve">AOX1D</w:t>
            </w:r>
            <w:r>
              <w:t xml:space="preserve">,</w:t>
            </w:r>
            <w:r>
              <w:t xml:space="preserve"> </w:t>
            </w:r>
            <w:r>
              <w:rPr>
                <w:i/>
                <w:iCs/>
              </w:rPr>
              <w:t xml:space="preserve">CAT3</w:t>
            </w:r>
            <w:r>
              <w:t xml:space="preserve"> </w:t>
            </w:r>
            <w:r>
              <w:t xml:space="preserve">induction; absent</w:t>
            </w:r>
            <w:r>
              <w:t xml:space="preserve"> </w:t>
            </w:r>
            <m:oMath>
              <m:r>
                <m:t>γ</m:t>
              </m:r>
            </m:oMath>
            <w:r>
              <w:t xml:space="preserve">-H2AX</w:t>
            </w:r>
          </w:p>
        </w:tc>
        <w:tc>
          <w:tcPr/>
          <w:p>
            <w:pPr>
              <w:pStyle w:val="Compact"/>
              <w:jc w:val="left"/>
            </w:pPr>
            <w:r>
              <w:t xml:space="preserve">Supplementary Fe-EDTA nutrient soak; seed sowing density</w:t>
            </w:r>
            <w:r>
              <w:t xml:space="preserve"> </w:t>
            </w:r>
            <m:oMath>
              <m:r>
                <m:rPr>
                  <m:sty m:val="p"/>
                </m:rPr>
                <m:t>+</m:t>
              </m:r>
              <m:r>
                <m:t>25</m:t>
              </m:r>
              <m:r>
                <m:rPr>
                  <m:sty m:val="p"/>
                </m:rPr>
                <m:t>%</m:t>
              </m:r>
            </m:oMath>
          </w:p>
        </w:tc>
        <w:tc>
          <w:tcPr/>
          <w:p>
            <w:pPr>
              <w:pStyle w:val="Compact"/>
              <w:jc w:val="left"/>
            </w:pPr>
            <w:r>
              <w:t xml:space="preserve">Ground 3-chamber bifilar sham; in situ</w:t>
            </w:r>
            <w:r>
              <w:t xml:space="preserve"> </w:t>
            </w:r>
            <m:oMath>
              <m:r>
                <m:t>45</m:t>
              </m:r>
              <m:r>
                <m:t> </m:t>
              </m:r>
              <m:r>
                <m:t>μ</m:t>
              </m:r>
              <m:r>
                <m:rPr>
                  <m:nor/>
                  <m:sty m:val="p"/>
                </m:rPr>
                <m:t>T</m:t>
              </m:r>
            </m:oMath>
            <w:r>
              <w:t xml:space="preserve"> </w:t>
            </w:r>
            <w:r>
              <w:t xml:space="preserve">vector re-application (1g-insensitive)</w:t>
            </w:r>
          </w:p>
        </w:tc>
      </w:tr>
      <w:tr>
        <w:tc>
          <w:tcPr/>
          <w:p>
            <w:pPr>
              <w:pStyle w:val="Compact"/>
              <w:jc w:val="left"/>
            </w:pPr>
            <w:r>
              <w:rPr>
                <w:b/>
                <w:bCs/>
              </w:rPr>
              <w:t xml:space="preserve">Lunar Partial Gravity (</w:t>
            </w:r>
            <m:oMath>
              <m:r>
                <m:t>0.166</m:t>
              </m:r>
              <m:r>
                <m:t> </m:t>
              </m:r>
              <m:r>
                <m:t>g</m:t>
              </m:r>
            </m:oMath>
            <w:r>
              <w:rPr>
                <w:b/>
                <w:bCs/>
              </w:rPr>
              <w:t xml:space="preserve">)</w:t>
            </w:r>
          </w:p>
        </w:tc>
        <w:tc>
          <w:tcPr/>
          <w:p>
            <w:pPr>
              <w:pStyle w:val="Compact"/>
              <w:jc w:val="left"/>
            </w:pPr>
            <w:r>
              <w:t xml:space="preserve">Amyloplast statolith sedimentation; MSL/MCA ion channels; PIN polarization (Tier 1)</w:t>
            </w:r>
          </w:p>
        </w:tc>
        <w:tc>
          <w:tcPr/>
          <w:p>
            <w:pPr>
              <w:pStyle w:val="Compact"/>
              <w:jc w:val="left"/>
            </w:pPr>
            <w:r>
              <w:t xml:space="preserve">Continuous (24–120 h post-radicle emergence)</w:t>
            </w:r>
          </w:p>
        </w:tc>
        <w:tc>
          <w:tcPr/>
          <w:p>
            <w:pPr>
              <w:pStyle w:val="Compact"/>
              <w:jc w:val="left"/>
            </w:pPr>
            <w:r>
              <w:rPr>
                <w:b/>
                <w:bCs/>
              </w:rPr>
              <w:t xml:space="preserve">Medium</w:t>
            </w:r>
            <w:r>
              <w:t xml:space="preserve"> </w:t>
            </w:r>
            <w:r>
              <w:t xml:space="preserve">(Onboard 1g rotor centrifuge adds mass/power; passive logging high)</w:t>
            </w:r>
          </w:p>
        </w:tc>
        <w:tc>
          <w:tcPr/>
          <w:p>
            <w:pPr>
              <w:pStyle w:val="Compact"/>
              <w:jc w:val="left"/>
            </w:pPr>
            <w:r>
              <w:t xml:space="preserve">Normal germination capacity; loss of gravitropic setpoint; root waving &amp; skewing</w:t>
            </w:r>
          </w:p>
        </w:tc>
        <w:tc>
          <w:tcPr/>
          <w:p>
            <w:pPr>
              <w:pStyle w:val="Compact"/>
              <w:jc w:val="left"/>
            </w:pPr>
            <w:r>
              <w:t xml:space="preserve">Statolith displacement; re-localized PIN2/PIN3; apoplastic ROS (</w:t>
            </w:r>
            <w:r>
              <w:rPr>
                <w:i/>
                <w:iCs/>
              </w:rPr>
              <w:t xml:space="preserve">RBOHD/F</w:t>
            </w:r>
            <w:r>
              <w:t xml:space="preserve">)</w:t>
            </w:r>
          </w:p>
        </w:tc>
        <w:tc>
          <w:tcPr/>
          <w:p>
            <w:pPr>
              <w:pStyle w:val="Compact"/>
              <w:jc w:val="left"/>
            </w:pPr>
            <w:r>
              <w:t xml:space="preserve">Structural substrate guiderails; directed aeration and fluidic wicking</w:t>
            </w:r>
          </w:p>
        </w:tc>
        <w:tc>
          <w:tcPr/>
          <w:p>
            <w:pPr>
              <w:pStyle w:val="Compact"/>
              <w:jc w:val="left"/>
            </w:pPr>
            <w:r>
              <w:t xml:space="preserve">Onboard 1g centrifuge control rotor; completely insensitive to magnetic field manipulation</w:t>
            </w:r>
          </w:p>
        </w:tc>
      </w:tr>
      <w:tr>
        <w:tc>
          <w:tcPr/>
          <w:p>
            <w:pPr>
              <w:pStyle w:val="Compact"/>
              <w:jc w:val="left"/>
            </w:pPr>
            <w:r>
              <w:rPr>
                <w:b/>
                <w:bCs/>
              </w:rPr>
              <w:t xml:space="preserve">Deep-Space Radiation (GCR / SPE)</w:t>
            </w:r>
          </w:p>
        </w:tc>
        <w:tc>
          <w:tcPr/>
          <w:p>
            <w:pPr>
              <w:pStyle w:val="Compact"/>
              <w:jc w:val="left"/>
            </w:pPr>
            <w:r>
              <w:t xml:space="preserve">Direct DNA ionization; water radiolysis</w:t>
            </w:r>
            <w:r>
              <w:t xml:space="preserve"> </w:t>
            </w:r>
            <m:oMath>
              <m:sSup>
                <m:e>
                  <m:r>
                    <m:rPr>
                      <m:nor/>
                      <m:sty m:val="p"/>
                    </m:rPr>
                    <m:t>OH</m:t>
                  </m:r>
                </m:e>
                <m:sup>
                  <m:r>
                    <m:rPr>
                      <m:sty m:val="p"/>
                    </m:rPr>
                    <m:t>•</m:t>
                  </m:r>
                </m:sup>
              </m:sSup>
            </m:oMath>
            <w:r>
              <w:t xml:space="preserv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oxidation (Tier 1)</w:t>
            </w:r>
          </w:p>
        </w:tc>
        <w:tc>
          <w:tcPr/>
          <w:p>
            <w:pPr>
              <w:pStyle w:val="Compact"/>
              <w:jc w:val="left"/>
            </w:pPr>
            <w:r>
              <w:t xml:space="preserve">Chronic GCR (negligible in 5 d) vs acute SPE event (</w:t>
            </w:r>
            <m:oMath>
              <m:r>
                <m:rPr>
                  <m:sty m:val="p"/>
                </m:rPr>
                <m:t>&gt;</m:t>
              </m:r>
              <m:r>
                <m:t>0.5</m:t>
              </m:r>
              <m:r>
                <m:rPr>
                  <m:nor/>
                  <m:sty m:val="p"/>
                </m:rPr>
                <m:t> Gy</m:t>
              </m:r>
            </m:oMath>
            <w:r>
              <w:t xml:space="preserve">)</w:t>
            </w:r>
          </w:p>
        </w:tc>
        <w:tc>
          <w:tcPr/>
          <w:p>
            <w:pPr>
              <w:pStyle w:val="Compact"/>
              <w:jc w:val="left"/>
            </w:pPr>
            <w:r>
              <w:rPr>
                <w:b/>
                <w:bCs/>
              </w:rPr>
              <w:t xml:space="preserve">High</w:t>
            </w:r>
            <w:r>
              <w:t xml:space="preserve"> </w:t>
            </w:r>
            <w:r>
              <w:t xml:space="preserve">(Compact active silicon dosimeter / passive TLD packets,</w:t>
            </w:r>
            <w:r>
              <w:t xml:space="preserve"> </w:t>
            </w:r>
            <m:oMath>
              <m:r>
                <m:rPr>
                  <m:sty m:val="p"/>
                </m:rPr>
                <m:t>&lt;</m:t>
              </m:r>
              <m:r>
                <m:t>0.5</m:t>
              </m:r>
              <m:r>
                <m:rPr>
                  <m:nor/>
                  <m:sty m:val="p"/>
                </m:rPr>
                <m:t> W</m:t>
              </m:r>
            </m:oMath>
            <w:r>
              <w:t xml:space="preserve">)</w:t>
            </w:r>
          </w:p>
        </w:tc>
        <w:tc>
          <w:tcPr/>
          <w:p>
            <w:pPr>
              <w:pStyle w:val="Compact"/>
              <w:jc w:val="left"/>
            </w:pPr>
            <w:r>
              <w:t xml:space="preserve">Normal emergence under GCR (</w:t>
            </w:r>
            <m:oMath>
              <m:r>
                <m:rPr>
                  <m:sty m:val="p"/>
                </m:rPr>
                <m:t>&lt;</m:t>
              </m:r>
              <m:r>
                <m:t>1.5</m:t>
              </m:r>
              <m:r>
                <m:rPr>
                  <m:nor/>
                  <m:sty m:val="p"/>
                </m:rPr>
                <m:t> mGy</m:t>
              </m:r>
            </m:oMath>
            <w:r>
              <w:t xml:space="preserve">); severe cell arrest &amp; stunting during SPE (</w:t>
            </w:r>
            <m:oMath>
              <m:r>
                <m:rPr>
                  <m:sty m:val="p"/>
                </m:rPr>
                <m:t>&gt;</m:t>
              </m:r>
              <m:r>
                <m:t>0.5</m:t>
              </m:r>
              <m:r>
                <m:rPr>
                  <m:nor/>
                  <m:sty m:val="p"/>
                </m:rPr>
                <m:t> Gy</m:t>
              </m:r>
            </m:oMath>
            <w:r>
              <w:t xml:space="preserve">)</w:t>
            </w:r>
          </w:p>
        </w:tc>
        <w:tc>
          <w:tcPr/>
          <w:p>
            <w:pPr>
              <w:pStyle w:val="Compact"/>
              <w:jc w:val="left"/>
            </w:pPr>
            <w:r>
              <w:t xml:space="preserve">Phosphorylated</w:t>
            </w:r>
            <w:r>
              <w:t xml:space="preserve"> </w:t>
            </w:r>
            <m:oMath>
              <m:r>
                <m:t>γ</m:t>
              </m:r>
            </m:oMath>
            <w:r>
              <w:t xml:space="preserve">-H2AX foci; ATM/ATR activation;</w:t>
            </w:r>
            <w:r>
              <w:t xml:space="preserve"> </w:t>
            </w:r>
            <w:r>
              <w:rPr>
                <w:i/>
                <w:iCs/>
              </w:rPr>
              <w:t xml:space="preserve">PARP1</w:t>
            </w:r>
            <w:r>
              <w:t xml:space="preserve">,</w:t>
            </w:r>
            <w:r>
              <w:t xml:space="preserve"> </w:t>
            </w:r>
            <w:r>
              <w:rPr>
                <w:i/>
                <w:iCs/>
              </w:rPr>
              <w:t xml:space="preserve">RAD51</w:t>
            </w:r>
            <w:r>
              <w:t xml:space="preserve"> </w:t>
            </w:r>
            <w:r>
              <w:t xml:space="preserve">repair</w:t>
            </w:r>
          </w:p>
        </w:tc>
        <w:tc>
          <w:tcPr/>
          <w:p>
            <w:pPr>
              <w:pStyle w:val="Compact"/>
              <w:jc w:val="left"/>
            </w:pPr>
            <w:r>
              <w:t xml:space="preserve">Polyethylene hydrogen-rich shielding; antioxidant/polyphenol soak</w:t>
            </w:r>
          </w:p>
        </w:tc>
        <w:tc>
          <w:tcPr/>
          <w:p>
            <w:pPr>
              <w:pStyle w:val="Compact"/>
              <w:jc w:val="left"/>
            </w:pPr>
            <w:r>
              <w:t xml:space="preserve">Correlates strictly with dosimeter dose rate; independent of B-field and 1g centrifuge</w:t>
            </w:r>
          </w:p>
        </w:tc>
      </w:tr>
    </w:tbl>
    <w:p>
      <w:r>
        <w:pict>
          <v:rect style="width:0;height:1.5pt" o:hralign="center" o:hrstd="t" o:hr="t"/>
        </w:pict>
      </w:r>
    </w:p>
    <w:bookmarkEnd w:id="51"/>
    <w:bookmarkEnd w:id="52"/>
    <w:bookmarkStart w:id="53" w:name="Xbea3edd5a7aeb15038300f903f189dad42dcce3"/>
    <w:p>
      <w:pPr>
        <w:pStyle w:val="Heading2"/>
      </w:pPr>
      <w:r>
        <w:t xml:space="preserve">7.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Candidate Artemis South Pole exploration regions (such as Shackleton, Haworth, and Faustini) reside in an extreme magnetic void (</w:t>
      </w:r>
      <m:oMath>
        <m:r>
          <m:t>0.40</m:t>
        </m:r>
        <m:r>
          <m:rPr>
            <m:nor/>
            <m:sty m:val="p"/>
          </m:rPr>
          <m:t>–</m:t>
        </m:r>
        <m:r>
          <m:t>0.82</m:t>
        </m:r>
        <m:r>
          <m:rPr>
            <m:nor/>
            <m:sty m:val="p"/>
          </m:rPr>
          <m:t> nT</m:t>
        </m:r>
      </m:oMath>
      <w:r>
        <w:t xml:space="preserve"> </w:t>
      </w:r>
      <w:r>
        <w:t xml:space="preserve">crustal component at 30 km altitude; bounded</w:t>
      </w:r>
      <w:r>
        <w:t xml:space="preserve"> </w:t>
      </w:r>
      <m:oMath>
        <m:r>
          <m:rPr>
            <m:sty m:val="p"/>
          </m:rPr>
          <m:t>≲</m:t>
        </m:r>
        <m:r>
          <m:t>2</m:t>
        </m:r>
        <m:r>
          <m:rPr>
            <m:nor/>
            <m:sty m:val="p"/>
          </m:rPr>
          <m:t>–</m:t>
        </m:r>
        <m:r>
          <m:t>4</m:t>
        </m:r>
        <m:r>
          <m:rPr>
            <m:nor/>
            <m:sty m:val="p"/>
          </m:rPr>
          <m:t> nT</m:t>
        </m:r>
      </m:oMath>
      <w:r>
        <w:t xml:space="preserve"> </w:t>
      </w:r>
      <w:r>
        <w:t xml:space="preserve">at the surface),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DC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of viable seedlings established per sown area by</w:t>
      </w:r>
      <w:r>
        <w:t xml:space="preserve"> </w:t>
      </w:r>
      <m:oMath>
        <m:r>
          <m:t>10</m:t>
        </m:r>
        <m:r>
          <m:rPr>
            <m:nor/>
            <m:sty m:val="p"/>
          </m:rPr>
          <m:t> to </m:t>
        </m:r>
        <m:r>
          <m:t>30</m:t>
        </m:r>
        <m:r>
          <m:rPr>
            <m:sty m:val="p"/>
          </m:rPr>
          <m:t>%</m:t>
        </m:r>
      </m:oMath>
      <w:r>
        <w:t xml:space="preserve"> </w:t>
      </w:r>
      <w:r>
        <w:t xml:space="preserve">across diverse crop families.</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an empirical</w:t>
      </w:r>
      <w:r>
        <w:t xml:space="preserve"> </w:t>
      </w:r>
      <m:oMath>
        <m:r>
          <m:rPr>
            <m:sty m:val="p"/>
          </m:rPr>
          <m:t>−</m:t>
        </m:r>
        <m:r>
          <m:t>28.5</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w:t>
      </w:r>
      <m:oMath>
        <m:sSub>
          <m:e>
            <m:r>
              <m:t>ν</m:t>
            </m:r>
          </m:e>
          <m:sub>
            <m:r>
              <m:t>L</m:t>
            </m:r>
          </m:sub>
        </m:sSub>
        <m:r>
          <m:rPr>
            <m:sty m:val="p"/>
          </m:rPr>
          <m:t>≈</m:t>
        </m:r>
        <m:r>
          <m:t>28</m:t>
        </m:r>
        <m:r>
          <m:rPr>
            <m:nor/>
            <m:sty m:val="p"/>
          </m:rPr>
          <m:t> Hz</m:t>
        </m:r>
      </m:oMath>
      <w:r>
        <w:t xml:space="preserve">, decoupling Zeeman mixing by</w:t>
      </w:r>
      <w:r>
        <w:t xml:space="preserve"> </w:t>
      </w:r>
      <m:oMath>
        <m:r>
          <m:rPr>
            <m:sty m:val="p"/>
          </m:rPr>
          <m:t>&gt;</m:t>
        </m:r>
        <m:r>
          <m:t>4</m:t>
        </m:r>
      </m:oMath>
      <w:r>
        <w:t xml:space="preserve"> </w:t>
      </w:r>
      <w:r>
        <w:t xml:space="preserve">orders of magnitude),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rescuable via Fe-EDTA)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incorporate calibrated 3-axis magnetic sensors at the plant canopy, implement matched-current bifilar sham baselines during ground testing, and validate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53"/>
    <w:bookmarkStart w:id="58" w:name="declarations"/>
    <w:p>
      <w:pPr>
        <w:pStyle w:val="Heading2"/>
      </w:pPr>
      <w:r>
        <w:t xml:space="preserve">Declarations</w:t>
      </w:r>
    </w:p>
    <w:bookmarkStart w:id="54" w:name="acknowledgements"/>
    <w:p>
      <w:pPr>
        <w:pStyle w:val="Heading3"/>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54"/>
    <w:bookmarkStart w:id="55" w:name="author-contributions"/>
    <w:p>
      <w:pPr>
        <w:pStyle w:val="Heading3"/>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 </w:t>
      </w:r>
      <w:r>
        <w:t xml:space="preserve">and</w:t>
      </w:r>
      <w:r>
        <w:t xml:space="preserve"> </w:t>
      </w:r>
      <w:r>
        <w:rPr>
          <w:b/>
          <w:bCs/>
        </w:rPr>
        <w:t xml:space="preserve">M.D.</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55"/>
    <w:bookmarkStart w:id="56" w:name="competing-interests"/>
    <w:p>
      <w:pPr>
        <w:pStyle w:val="Heading3"/>
      </w:pPr>
      <w:r>
        <w:t xml:space="preserve">Competing Interests</w:t>
      </w:r>
    </w:p>
    <w:p>
      <w:pPr>
        <w:pStyle w:val="FirstParagraph"/>
      </w:pPr>
      <w:r>
        <w:t xml:space="preserve">D.M.P. is a Co-Investigator on the NASA Artemis missions’ LEAF payload; C.C. is affiliated with Space Lab Technologies, LLC. These roles are disclosed with no commercial or financial conflicts of interest. The remaining authors declare no competing interests.</w:t>
      </w:r>
    </w:p>
    <w:bookmarkEnd w:id="56"/>
    <w:bookmarkStart w:id="57" w:name="data-and-code-availability"/>
    <w:p>
      <w:pPr>
        <w:pStyle w:val="Heading3"/>
      </w:pPr>
      <w:r>
        <w:t xml:space="preserve">Data and Code Availability</w:t>
      </w:r>
    </w:p>
    <w:p>
      <w:pPr>
        <w:pStyle w:val="FirstParagraph"/>
      </w:pPr>
      <w:r>
        <w:t xml:space="preserve">All planetary magnetic field datasets analyzed in this manuscript are openly available from the NASA Planetary Data System (PDS,</w:t>
      </w:r>
      <w:r>
        <w:t xml:space="preserve"> </w:t>
      </w:r>
      <w:r>
        <w:rPr>
          <w:rStyle w:val="VerbatimChar"/>
        </w:rPr>
        <w:t xml:space="preserve">LP-L-MAG-4-SUMM-MAPS-V1.0</w:t>
      </w:r>
      <w:r>
        <w:t xml:space="preserve">) and JAXA DARTS archives (</w:t>
      </w:r>
      <w:r>
        <w:rPr>
          <w:rStyle w:val="VerbatimChar"/>
        </w:rPr>
        <w:t xml:space="preserve">LMAG_MAP_V01</w:t>
      </w:r>
      <w:r>
        <w:t xml:space="preserve">). Gene expression datasets are accessible via the NASA Open Science Data Repository (OSDR, studies OSD-782, OSD-8, and OSD-27). All analysis scripts, germination kinetics models, vector deconvolution pipelines, and figure generation code are openly archived under FAIR standards in the project GitHub repository (</w:t>
      </w:r>
      <w:r>
        <w:rPr>
          <w:rStyle w:val="VerbatimChar"/>
        </w:rPr>
        <w:t xml:space="preserve">https://github.com/dr-richard-barker/NMF_review</w:t>
      </w:r>
      <w:r>
        <w:t xml:space="preserve">, release tag</w:t>
      </w:r>
      <w:r>
        <w:t xml:space="preserve"> </w:t>
      </w:r>
      <w:r>
        <w:rPr>
          <w:rStyle w:val="VerbatimChar"/>
        </w:rPr>
        <w:t xml:space="preserve">v1.2.0</w:t>
      </w:r>
      <w:r>
        <w:t xml:space="preserve">) and permanently deposited on Zenodo (DOI:</w:t>
      </w:r>
      <w:r>
        <w:t xml:space="preserve"> </w:t>
      </w:r>
      <w:r>
        <w:rPr>
          <w:rStyle w:val="VerbatimChar"/>
        </w:rPr>
        <w:t xml:space="preserve">10.5281/zenodo.1082026</w:t>
      </w:r>
      <w:r>
        <w:t xml:space="preserve">). The Quantum Biology Atlas pathway model</w:t>
      </w:r>
      <w:r>
        <w:t xml:space="preserve"> </w:t>
      </w:r>
      <w:r>
        <w:rPr>
          <w:rStyle w:val="VerbatimChar"/>
        </w:rPr>
        <w:t xml:space="preserve">QBM-06</w:t>
      </w:r>
      <w:r>
        <w:t xml:space="preserve"> </w:t>
      </w:r>
      <w:r>
        <w:t xml:space="preserve">(version</w:t>
      </w:r>
      <w:r>
        <w:t xml:space="preserve"> </w:t>
      </w:r>
      <w:r>
        <w:rPr>
          <w:rStyle w:val="VerbatimChar"/>
        </w:rPr>
        <w:t xml:space="preserve">v2.4</w:t>
      </w:r>
      <w:r>
        <w:t xml:space="preserve">) is openly accessible at</w:t>
      </w:r>
      <w:r>
        <w:t xml:space="preserve"> </w:t>
      </w:r>
      <w:r>
        <w:rPr>
          <w:rStyle w:val="VerbatimChar"/>
        </w:rPr>
        <w:t xml:space="preserve">https://github.com/dr-richard-barker/quantum-biology-atlas</w:t>
      </w:r>
      <w:r>
        <w:t xml:space="preserve">.</w:t>
      </w:r>
    </w:p>
    <w:p>
      <w:r>
        <w:pict>
          <v:rect style="width:0;height:1.5pt" o:hralign="center" o:hrstd="t" o:hr="t"/>
        </w:pict>
      </w:r>
    </w:p>
    <w:bookmarkEnd w:id="57"/>
    <w:bookmarkEnd w:id="58"/>
    <w:bookmarkStart w:id="59" w:name="references"/>
    <w:p>
      <w:pPr>
        <w:pStyle w:val="Heading2"/>
      </w:pPr>
      <w:r>
        <w:t xml:space="preserve">References</w:t>
      </w:r>
    </w:p>
    <w:p>
      <w:pPr>
        <w:pStyle w:val="Compact"/>
        <w:numPr>
          <w:ilvl w:val="0"/>
          <w:numId w:val="1004"/>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4"/>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4"/>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4"/>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4"/>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4"/>
        </w:numPr>
      </w:pPr>
      <w:r>
        <w:t xml:space="preserve">Space Lab Tech. Lunar Effects on Agricultural Flora (LEAF) selected for Artemis missions surface deployment.</w:t>
      </w:r>
      <w:r>
        <w:t xml:space="preserve"> </w:t>
      </w:r>
      <w:r>
        <w:rPr>
          <w:i/>
          <w:iCs/>
        </w:rPr>
        <w:t xml:space="preserve">Space Lab Technologies News</w:t>
      </w:r>
      <w:r>
        <w:t xml:space="preserve"> </w:t>
      </w:r>
      <w:r>
        <w:t xml:space="preserve">(April 2024).</w:t>
      </w:r>
    </w:p>
    <w:p>
      <w:pPr>
        <w:pStyle w:val="Compact"/>
        <w:numPr>
          <w:ilvl w:val="0"/>
          <w:numId w:val="1004"/>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4"/>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4"/>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4"/>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4"/>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4"/>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4"/>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4"/>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4"/>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4"/>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4"/>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4"/>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4"/>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4"/>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4"/>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4"/>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4"/>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4"/>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4"/>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4"/>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4"/>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4"/>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4"/>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4"/>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4"/>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4"/>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4"/>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4"/>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4"/>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4"/>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4"/>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4"/>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4"/>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4"/>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4"/>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4"/>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4"/>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4"/>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4"/>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4"/>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4"/>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4"/>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4"/>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4"/>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4"/>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4"/>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4"/>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4"/>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4"/>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4"/>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4"/>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4"/>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4"/>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4"/>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4"/>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4"/>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4"/>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4"/>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4"/>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4"/>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4"/>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4"/>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4"/>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4"/>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4"/>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4"/>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4"/>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4"/>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4"/>
        </w:numPr>
      </w:pPr>
      <w:r>
        <w:t xml:space="preserve">Barker, R. J. et al. Spaceflight-induced changes in gene expression, chromatin accessibility, and histone modifications across</w:t>
      </w:r>
      <w:r>
        <w:t xml:space="preserve"> </w:t>
      </w:r>
      <w:r>
        <w:rPr>
          <w:i/>
          <w:iCs/>
        </w:rPr>
        <w:t xml:space="preserve">Arabidopsis thaliana</w:t>
      </w:r>
      <w:r>
        <w:t xml:space="preserve"> </w:t>
      </w:r>
      <w:r>
        <w:t xml:space="preserve">ecotypes.</w:t>
      </w:r>
      <w:r>
        <w:t xml:space="preserve"> </w:t>
      </w:r>
      <w:r>
        <w:rPr>
          <w:i/>
          <w:iCs/>
        </w:rPr>
        <w:t xml:space="preserve">NPJ Microgravity</w:t>
      </w:r>
      <w:r>
        <w:t xml:space="preserve"> </w:t>
      </w:r>
      <w:r>
        <w:rPr>
          <w:b/>
          <w:bCs/>
        </w:rPr>
        <w:t xml:space="preserve">9</w:t>
      </w:r>
      <w:r>
        <w:t xml:space="preserve">, 42 (2023). https://doi.org/10.1038/s41526-023-00287-2</w:t>
      </w:r>
    </w:p>
    <w:p>
      <w:pPr>
        <w:pStyle w:val="Compact"/>
        <w:numPr>
          <w:ilvl w:val="0"/>
          <w:numId w:val="1004"/>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4"/>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4"/>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4"/>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4"/>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p>
      <w:pPr>
        <w:pStyle w:val="Compact"/>
        <w:numPr>
          <w:ilvl w:val="0"/>
          <w:numId w:val="1004"/>
        </w:numPr>
      </w:pPr>
      <w:r>
        <w:t xml:space="preserve">Whittemore, R. &amp; Knafl, K. The integrative review: updated methodology.</w:t>
      </w:r>
      <w:r>
        <w:t xml:space="preserve"> </w:t>
      </w:r>
      <w:r>
        <w:rPr>
          <w:i/>
          <w:iCs/>
        </w:rPr>
        <w:t xml:space="preserve">J. Adv. Nurs.</w:t>
      </w:r>
      <w:r>
        <w:t xml:space="preserve"> </w:t>
      </w:r>
      <w:r>
        <w:rPr>
          <w:b/>
          <w:bCs/>
        </w:rPr>
        <w:t xml:space="preserve">52</w:t>
      </w:r>
      <w:r>
        <w:t xml:space="preserve">, 546–553 (2005). https://doi.org/10.1111/j.1365-2648.2005.03621.x</w:t>
      </w:r>
    </w:p>
    <w:p>
      <w:pPr>
        <w:pStyle w:val="Compact"/>
        <w:numPr>
          <w:ilvl w:val="0"/>
          <w:numId w:val="1004"/>
        </w:numPr>
      </w:pPr>
      <w:r>
        <w:t xml:space="preserve">Baethge, C., Goldbeck-Wood, S. &amp; Mertens, S. SANRA—a scale for the quality assessment of narrative review articles.</w:t>
      </w:r>
      <w:r>
        <w:t xml:space="preserve"> </w:t>
      </w:r>
      <w:r>
        <w:rPr>
          <w:i/>
          <w:iCs/>
        </w:rPr>
        <w:t xml:space="preserve">Res. Integr. Peer Rev.</w:t>
      </w:r>
      <w:r>
        <w:t xml:space="preserve"> </w:t>
      </w:r>
      <w:r>
        <w:rPr>
          <w:b/>
          <w:bCs/>
        </w:rPr>
        <w:t xml:space="preserve">4</w:t>
      </w:r>
      <w:r>
        <w:t xml:space="preserve">, 5 (2019). https://doi.org/10.1186/s41073-019-0064-8</w:t>
      </w:r>
    </w:p>
    <w:p>
      <w:pPr>
        <w:pStyle w:val="Compact"/>
        <w:numPr>
          <w:ilvl w:val="0"/>
          <w:numId w:val="1004"/>
        </w:numPr>
      </w:pPr>
      <w:r>
        <w:t xml:space="preserve">Blank, M. L. et al. From pantry to physiology: A narrative review linking food insecurity to biological dysfunction.</w:t>
      </w:r>
      <w:r>
        <w:t xml:space="preserve"> </w:t>
      </w:r>
      <w:r>
        <w:rPr>
          <w:i/>
          <w:iCs/>
        </w:rPr>
        <w:t xml:space="preserve">Dialogues Health</w:t>
      </w:r>
      <w:r>
        <w:t xml:space="preserve"> </w:t>
      </w:r>
      <w:r>
        <w:rPr>
          <w:b/>
          <w:bCs/>
        </w:rPr>
        <w:t xml:space="preserve">8</w:t>
      </w:r>
      <w:r>
        <w:t xml:space="preserve">, 100308 (2026). https://doi.org/10.1016/j.dialog.2026.100308</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2026-10-30T23:08:59Z</dcterms:created>
  <dcterms:modified xsi:type="dcterms:W3CDTF">2026-10-30T23:08:59Z</dcterms:modified>
</cp:coreProperties>
</file>

<file path=docProps/custom.xml><?xml version="1.0" encoding="utf-8"?>
<Properties xmlns="http://schemas.openxmlformats.org/officeDocument/2006/custom-properties" xmlns:vt="http://schemas.openxmlformats.org/officeDocument/2006/docPropsVTypes"/>
</file>