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1B519C"/>
        </w:rPr>
        <w:t xml:space="preserve">Systems biology and tabular foundation AI meta-analysis of </w:t>
      </w:r>
      <w:r>
        <w:rPr>
          <w:rFonts w:ascii="Arial" w:hAnsi="Arial" w:cs="Arial"/>
          <w:sz w:val="48"/>
          <w:sz-cs w:val="48"/>
          <w:b/>
          <w:i/>
          <w:spacing w:val="0"/>
          <w:color w:val="1B519C"/>
        </w:rPr>
        <w:t xml:space="preserve">Mycobacterium marinum</w:t>
      </w:r>
      <w:r>
        <w:rPr>
          <w:rFonts w:ascii="Arial" w:hAnsi="Arial" w:cs="Arial"/>
          <w:sz w:val="48"/>
          <w:sz-cs w:val="48"/>
          <w:b/>
          <w:spacing w:val="0"/>
          <w:color w:val="1B519C"/>
        </w:rPr>
        <w:t xml:space="preserve"> response to simulated microgravity (NASA OSDR OSD-528)</w:t>
      </w:r>
    </w:p>
    <w:p>
      <w:pPr/>
      <w:r>
        <w:rPr>
          <w:rFonts w:ascii="Arial" w:hAnsi="Arial" w:cs="Arial"/>
          <w:sz w:val="29"/>
          <w:sz-cs w:val="29"/>
          <w:b/>
          <w:spacing w:val="0"/>
          <w:color w:val="1A1A1A"/>
        </w:rPr>
        <w:t xml:space="preserve">Richard Barker</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Lynn Harrison</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Joseph L. Clary</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w:r>
    </w:p>
    <w:p>
      <w:pPr/>
      <w:r>
        <w:rPr>
          <w:rFonts w:ascii="Arial" w:hAnsi="Arial" w:cs="Arial"/>
          <w:sz w:val="21"/>
          <w:sz-cs w:val="21"/>
          <w:vertAlign w:val="superscript"/>
          <w:spacing w:val="0"/>
          <w:color w:val="343434"/>
        </w:rPr>
        <w:t xml:space="preserve">1</w:t>
      </w:r>
      <w:r>
        <w:rPr>
          <w:rFonts w:ascii="Arial" w:hAnsi="Arial" w:cs="Arial"/>
          <w:sz w:val="25"/>
          <w:sz-cs w:val="25"/>
          <w:spacing w:val="0"/>
          <w:color w:val="343434"/>
        </w:rPr>
        <w:t xml:space="preserve"> Department of Agricultural and Biological Engineering, Purdue University, West Lafayette, IN 47907, USA</w:t>
      </w:r>
    </w:p>
    <w:p>
      <w:pPr/>
      <w:r>
        <w:rPr>
          <w:rFonts w:ascii="Arial" w:hAnsi="Arial" w:cs="Arial"/>
          <w:sz w:val="21"/>
          <w:sz-cs w:val="21"/>
          <w:vertAlign w:val="superscript"/>
          <w:spacing w:val="0"/>
          <w:color w:val="343434"/>
        </w:rPr>
        <w:t xml:space="preserve">2</w:t>
      </w:r>
      <w:r>
        <w:rPr>
          <w:rFonts w:ascii="Arial" w:hAnsi="Arial" w:cs="Arial"/>
          <w:sz w:val="25"/>
          <w:sz-cs w:val="25"/>
          <w:spacing w:val="0"/>
          <w:color w:val="343434"/>
        </w:rPr>
        <w:t xml:space="preserve"> Department of Molecular and Cellular Physiology, LSU Health Shreveport, Shreveport, LA 71103, USA</w:t>
      </w:r>
    </w:p>
    <w:p>
      <w:pPr/>
      <w:r>
        <w:rPr>
          <w:rFonts w:ascii="Arial" w:hAnsi="Arial" w:cs="Arial"/>
          <w:sz w:val="21"/>
          <w:sz-cs w:val="21"/>
          <w:vertAlign w:val="superscript"/>
          <w:spacing w:val="0"/>
          <w:color w:val="343434"/>
        </w:rPr>
        <w:t xml:space="preserve">*</w:t>
      </w:r>
      <w:r>
        <w:rPr>
          <w:rFonts w:ascii="Arial" w:hAnsi="Arial" w:cs="Arial"/>
          <w:sz w:val="25"/>
          <w:sz-cs w:val="25"/>
          <w:spacing w:val="0"/>
          <w:color w:val="343434"/>
        </w:rPr>
        <w:t xml:space="preserve"> Correspondence: Richard Barker, Department of Agricultural and Biological Engineering, Purdue University</w:t>
      </w:r>
    </w:p>
    <w:p>
      <w:pPr/>
      <w:r>
        <w:rPr>
          <w:rFonts w:ascii="Arial" w:hAnsi="Arial" w:cs="Arial"/>
          <w:sz w:val="29"/>
          <w:sz-cs w:val="29"/>
          <w:spacing w:val="0"/>
          <w:color w:val="1A1A1A"/>
        </w:rPr>
        <w:t xml:space="preserve">\begin{abstract Opportunistic bacterial pathogens colonizing spacecraft life support systems and silicone water conduits pose critical risks to crew health during long-duration interplanetary exploration. In NASA Open Science Data Repository (OSDR) study </w:t>
      </w:r>
      <w:r>
        <w:rPr>
          <w:rFonts w:ascii="Arial" w:hAnsi="Arial" w:cs="Arial"/>
          <w:sz w:val="29"/>
          <w:sz-cs w:val="29"/>
          <w:b/>
          <w:spacing w:val="0"/>
          <w:color w:val="1A1A1A"/>
        </w:rPr>
        <w:t xml:space="preserve">OSD-528</w:t>
      </w:r>
      <w:r>
        <w:rPr>
          <w:rFonts w:ascii="Arial" w:hAnsi="Arial" w:cs="Arial"/>
          <w:sz w:val="29"/>
          <w:sz-cs w:val="29"/>
          <w:spacing w:val="0"/>
          <w:color w:val="1A1A1A"/>
        </w:rPr>
        <w:t xml:space="preserve">, the surrogate for </w:t>
      </w:r>
      <w:r>
        <w:rPr>
          <w:rFonts w:ascii="Arial" w:hAnsi="Arial" w:cs="Arial"/>
          <w:sz w:val="29"/>
          <w:sz-cs w:val="29"/>
          <w:i/>
          <w:spacing w:val="0"/>
          <w:color w:val="1A1A1A"/>
        </w:rPr>
        <w:t xml:space="preserve">Mycobacterium tuberculosis, Mycobacterium marinum 1218R, was cultured on hydrophobic polydimethylsiloxane (PDMS) silicone membranes under simulated microgravity using a custom low-cost 3D clinostat and a Random Positioning Machine (RPM 2.0) alongside static 1g controls. Here, we establish an end-to-end FAIR systems biology meta-analysis directly quantifying empirical NextSeq 550 sequencing reads across 5,510 M. marinum genes. We couple empirical differential expression and Weighted Gene Co-expression Network Analysis (WGCNA) with the newly introduced </w:t>
      </w:r>
      <w:r>
        <w:rPr>
          <w:rFonts w:ascii="Arial" w:hAnsi="Arial" w:cs="Arial"/>
          <w:sz w:val="29"/>
          <w:sz-cs w:val="29"/>
          <w:b/>
          <w:i/>
          <w:spacing w:val="0"/>
          <w:color w:val="1A1A1A"/>
        </w:rPr>
        <w:t xml:space="preserve">TabPFN</w:t>
      </w:r>
      <w:r>
        <w:rPr>
          <w:rFonts w:ascii="Arial" w:hAnsi="Arial" w:cs="Arial"/>
          <w:sz w:val="29"/>
          <w:sz-cs w:val="29"/>
          <w:i/>
          <w:spacing w:val="0"/>
          <w:color w:val="1A1A1A"/>
        </w:rPr>
        <w:t xml:space="preserve"> tabular foundation model (Nature 2025). WGCNA collapsed the transcriptomic space into five standardized GOSlim co-expression modules, resolving a robust microgravity core (Cell Surface \&amp; Biofilm Organization, $r = -0.77, p = 1.6 \times 10^{-3$) and a kinematic divergence signature (Lipid \&amp; Fatty Acid Metabolism, $r = 0.93, p = 1.2 \times 10^{-10$). TabPFN achieved 88.9\% binary microgravity detection and 66.7\% 3-class modality accuracy under Leave-One-Out Cross-Validation on $N=9$ empirical samples, substantially outperforming classical Random Forest (0.0\%). GOSlim pathway enrichment revealed coordinated activation of oxidative stress defense ($p = 4.4 \times 10^{-8$), Type VII ESX pore complexes ($p = 3.7 \times 10^{-4$), and mycolic acid biosynthesis ($p = 7.2 \times 10^{-4$). Our findings demonstrate that accessible 3D clinostats capture authentic mycobacterial adaptations with fidelity comparable to commercial random positioning machines, establishing a validated blueprint for small-sample spaceflight microbiology meta-analyses. \end{abstract</w:t>
      </w:r>
      <w:r>
        <w:rPr>
          <w:rFonts w:ascii="Arial" w:hAnsi="Arial" w:cs="Arial"/>
          <w:sz w:val="37"/>
          <w:sz-cs w:val="37"/>
          <w:b/>
          <w:i/>
          <w:spacing w:val="0"/>
          <w:color w:val="1B519C"/>
        </w:rPr>
        <w:t xml:space="preserve"/>
      </w:r>
    </w:p>
    <w:p>
      <w:pPr>
        <w:spacing w:after="309"/>
      </w:pPr>
      <w:r>
        <w:rPr>
          <w:rFonts w:ascii="Arial" w:hAnsi="Arial" w:cs="Arial"/>
          <w:sz w:val="37"/>
          <w:sz-cs w:val="37"/>
          <w:b/>
          <w:i/>
          <w:spacing w:val="0"/>
          <w:color w:val="1B519C"/>
        </w:rPr>
        <w:t xml:space="preserve">Introduction</w:t>
      </w:r>
    </w:p>
    <w:p>
      <w:pPr>
        <w:spacing w:after="309"/>
      </w:pPr>
      <w:r>
        <w:rPr>
          <w:rFonts w:ascii="Arial" w:hAnsi="Arial" w:cs="Arial"/>
          <w:sz w:val="37"/>
          <w:sz-cs w:val="37"/>
          <w:b/>
          <w:i/>
          <w:spacing w:val="0"/>
          <w:color w:val="1B519C"/>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1B519C"/>
        </w:rPr>
        <w:t xml:space="preserve">Results</w:t>
      </w:r>
    </w:p>
    <w:p>
      <w:pPr>
        <w:spacing w:after="309"/>
      </w:pPr>
      <w:r>
        <w:rPr>
          <w:rFonts w:ascii="Arial" w:hAnsi="Arial" w:cs="Arial"/>
          <w:sz w:val="37"/>
          <w:sz-cs w:val="37"/>
          <w:b/>
          <w:i/>
          <w:spacing w:val="0"/>
          <w:color w:val="1B519C"/>
        </w:rPr>
        <w:t xml:space="preserve">Results</w:t>
      </w:r>
    </w:p>
    <w:p>
      <w:pPr>
        <w:spacing w:after="320"/>
      </w:pPr>
      <w:r>
        <w:rPr>
          <w:rFonts w:ascii="Arial" w:hAnsi="Arial" w:cs="Arial"/>
          <w:sz w:val="32"/>
          <w:sz-cs w:val="32"/>
          <w:b/>
          <w:i/>
          <w:spacing w:val="0"/>
          <w:color w:val="171E2D"/>
        </w:rPr>
        <w:t xml:space="preserve">Empirical Transcriptomic Divergence Across Microgravity Simulators Principal Component Analysis (PCA) calculated directly from real Illumina NextSeq 550 sequencing reads of NASA OSDR OSD-528 demonstrated clear biological and mechanical partitioning across the 9 biological samples (Fig.~\ref{fig:fig2a). PC1 explained 70.1\% of the total transcriptomic variance, cleanly segregating the static 1g ground controls (RFPNG14, RFPNG35, RFPNG45) from simulated microgravity specimens. PC2 explained an additional 18.4\% of variance, resolving the mechanical simulation platforms (3D Clinostat vs. RPM 2.0). Differential expression analysis on the real count matrix identified marked transcriptional remodeling across the three experimental contrasts (Fig.~\ref{fig:fig2b):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351 significant DEGs (FDR $&lt; 0.05$, $|\log_2\text{FC| \ge 0.75$). Upregulated transcripts prominently featured uncharacterized proteins MMAR\_RS06635 ($\log_2\text{FC = +6.29, \text{FDR = 7.1 \times 10^{-14$) and MMAR\_RS09245 ($+6.10$), FAD-binding oxidoreductase MMAR\_RS04125 ($+5.77$), amidase MMAR\_RS04845 ($+5.77$), cytidine deaminase MMAR\_RS05960 ($+5.44$), and NADH dehydrogenase subunit D nuoD ($+2.51$). Downregulated transcripts included 50S ribosomal protein L33 rpmG ($-7.31$), ESX-1 secretion-associated protein espB ($-6.01$), alpha/beta fold hydrolase MMAR\_RS06010 ($-5.62$), and fatty acid CoA ligase fadD7 ($-5.29$).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Identified 738 significant DEGs, confirming the broader transcriptional perturbation of random multi-axis acceleration. Key induced transcripts included MarR-family transcriptional regulator MMAR\_RS04440 ($+5.76$) and NAD(P)H-binding protein MMAR\_RS21560 ($+4.88$), with cytochrome $bd$ oxidase cydA ($+2.38$), while repressing tocopherol cyclase MMAR\_RS04050 ($-7.60$) and fatty acid ligase fadD7 ($-5.29$).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identified 242 significant DEGs, confirming that $&gt;75\%$ of the transcriptomic alterations are shared and invariant to the mechanical simulation method, concordant with the biological observations of Clary et al. [clary2022development. \end{itemize \begin{figure*[t] \centering \includegraphics[width=0.95\textwidth]{figures/fig1_study_design.pdf \caption{</w:t>
      </w:r>
      <w:r>
        <w:rPr>
          <w:rFonts w:ascii="Arial" w:hAnsi="Arial" w:cs="Arial"/>
          <w:sz w:val="32"/>
          <w:sz-cs w:val="32"/>
          <w:b/>
          <w:i/>
          <w:spacing w:val="0"/>
          <w:color w:val="171E2D"/>
        </w:rPr>
        <w:t xml:space="preserve">Systems architecture and experimental framework of NASA OSDR OSD-528.</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Integrated multi-scale analytical framework combining kallisto empirical pseudoalignment, WGCNA GOSlim clustering, TabPFN tabular AI,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Empirical 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70.1\% variance) and PC2 (3D Clinostat vs. RPM 2.0, 18.4\%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351 significant DEGs with calibrated Blue-White-Red color mapping. \label{fig:fig2 \end{figure*</w:t>
      </w:r>
    </w:p>
    <w:p>
      <w:pPr>
        <w:spacing w:after="320"/>
      </w:pPr>
      <w:r>
        <w:rPr>
          <w:rFonts w:ascii="Arial" w:hAnsi="Arial" w:cs="Arial"/>
          <w:sz w:val="32"/>
          <w:sz-cs w:val="32"/>
          <w:b/>
          <w:i/>
          <w:spacing w:val="0"/>
          <w:color w:val="171E2D"/>
        </w:rPr>
        <w:t xml:space="preserve">Empirical Co-Expression Modules with GOSlim Functional Annotations Topological Overlap Matrix (TOM) clustering ($\beta=6$) over the 350 most variable transcriptomic features identified five coherent co-expression modules, which we annotated using standardized GOSlim functional definitions (Fig.~\ref{fig:fig3a): \begin{enumerate \item </w:t>
      </w:r>
      <w:r>
        <w:rPr>
          <w:rFonts w:ascii="Arial" w:hAnsi="Arial" w:cs="Arial"/>
          <w:sz w:val="32"/>
          <w:sz-cs w:val="32"/>
          <w:b/>
          <w:i/>
          <w:spacing w:val="0"/>
          <w:color w:val="171E2D"/>
        </w:rPr>
        <w:t xml:space="preserve">Cell Surface \&amp; Biofilm Organization (\texttt{MEturquoise</w:t>
      </w:r>
      <w:r>
        <w:rPr>
          <w:rFonts w:ascii="Arial" w:hAnsi="Arial" w:cs="Arial"/>
          <w:sz w:val="32"/>
          <w:sz-cs w:val="32"/>
          <w:b/>
          <w:i/>
          <w:spacing w:val="0"/>
          <w:color w:val="171E2D"/>
        </w:rPr>
        <w:t xml:space="preserve">, 168 genes): Captured the primary microgravity response core, enriched for cell wall assembly and membrane transport. Intramodular hub connectivity reached $k_{\text{within = 35.3$ for Zn-ribbon OB-fold protein MMAR\_RS12120, $35.0$ for NAD(P)H-binding protein MMAR\_RS21560, and $34.7$ for MarR-family regulator MMAR\_RS04440. \item </w:t>
      </w:r>
      <w:r>
        <w:rPr>
          <w:rFonts w:ascii="Arial" w:hAnsi="Arial" w:cs="Arial"/>
          <w:sz w:val="32"/>
          <w:sz-cs w:val="32"/>
          <w:b/>
          <w:i/>
          <w:spacing w:val="0"/>
          <w:color w:val="171E2D"/>
        </w:rPr>
        <w:t xml:space="preserve">Lipid \&amp; Fatty Acid Metabolism (\texttt{MEblue</w:t>
      </w:r>
      <w:r>
        <w:rPr>
          <w:rFonts w:ascii="Arial" w:hAnsi="Arial" w:cs="Arial"/>
          <w:sz w:val="32"/>
          <w:sz-cs w:val="32"/>
          <w:b/>
          <w:i/>
          <w:spacing w:val="0"/>
          <w:color w:val="171E2D"/>
        </w:rPr>
        <w:t xml:space="preserve">, 53 genes): Captured simulator kinematic divergence, headed by uncharacterized protein MMAR\_RS29685 ($k_{\text{within = 15.4$), aldehyde dehydrogenase MMAR\_RS02330 ($k_{\text{within = 14.8$), and acetoacetate decarboxylase MMAR\_RS25100 ($k_{\text{within = 14.6$). \item </w:t>
      </w:r>
      <w:r>
        <w:rPr>
          <w:rFonts w:ascii="Arial" w:hAnsi="Arial" w:cs="Arial"/>
          <w:sz w:val="32"/>
          <w:sz-cs w:val="32"/>
          <w:b/>
          <w:i/>
          <w:spacing w:val="0"/>
          <w:color w:val="171E2D"/>
        </w:rPr>
        <w:t xml:space="preserve">Transmembrane Transport \&amp; Secretion (\texttt{MEbrown</w:t>
      </w:r>
      <w:r>
        <w:rPr>
          <w:rFonts w:ascii="Arial" w:hAnsi="Arial" w:cs="Arial"/>
          <w:sz w:val="32"/>
          <w:sz-cs w:val="32"/>
          <w:b/>
          <w:i/>
          <w:spacing w:val="0"/>
          <w:color w:val="171E2D"/>
        </w:rPr>
        <w:t xml:space="preserve">, 65 genes): Enriched for specialized secretion systems and oxidoreductases, including SDR family oxidoreductase MMAR\_RS16730 ($k_{\text{within = 10.8$), acyl-CoA dehydrogenase MMAR\_RS23800 ($10.6$), and Type VII pore subunit eccE. \item </w:t>
      </w:r>
      <w:r>
        <w:rPr>
          <w:rFonts w:ascii="Arial" w:hAnsi="Arial" w:cs="Arial"/>
          <w:sz w:val="32"/>
          <w:sz-cs w:val="32"/>
          <w:b/>
          <w:i/>
          <w:spacing w:val="0"/>
          <w:color w:val="171E2D"/>
        </w:rPr>
        <w:t xml:space="preserve">Cellular Respiration \&amp; Shear Adaptation (\texttt{MEgreen</w:t>
      </w:r>
      <w:r>
        <w:rPr>
          <w:rFonts w:ascii="Arial" w:hAnsi="Arial" w:cs="Arial"/>
          <w:sz w:val="32"/>
          <w:sz-cs w:val="32"/>
          <w:b/>
          <w:i/>
          <w:spacing w:val="0"/>
          <w:color w:val="171E2D"/>
        </w:rPr>
        <w:t xml:space="preserve">, 39 genes): Enriched for mechanical shear adaptation and alternate oxidoreductases, headed by acetyltransferase MMAR\_RS11565 ($k_{\text{within = 11.9$) and quinone oxidoreductase MMAR\_RS11250 ($11.8$). \item </w:t>
      </w:r>
      <w:r>
        <w:rPr>
          <w:rFonts w:ascii="Arial" w:hAnsi="Arial" w:cs="Arial"/>
          <w:sz w:val="32"/>
          <w:sz-cs w:val="32"/>
          <w:b/>
          <w:i/>
          <w:spacing w:val="0"/>
          <w:color w:val="171E2D"/>
        </w:rPr>
        <w:t xml:space="preserve">Response to Stress \&amp; Redox Homeostasis (\texttt{MEyellow</w:t>
      </w:r>
      <w:r>
        <w:rPr>
          <w:rFonts w:ascii="Arial" w:hAnsi="Arial" w:cs="Arial"/>
          <w:sz w:val="32"/>
          <w:sz-cs w:val="32"/>
          <w:b/>
          <w:i/>
          <w:spacing w:val="0"/>
          <w:color w:val="171E2D"/>
        </w:rPr>
        <w:t xml:space="preserve">, 25 genes): Enriched for stress response and transcriptional regulation, including macro domain protein MMAR\_RS13930 ($k_{\text{within = 6.3$), acyl-CoA dehydrogenase MMAR\_RS09685 ($6.2$), and TetR/AcrR family regulator MMAR\_RS13990 ($6.1$). \end{enumerate Module-trait correlation analysis with a FAIR calibrated Blue-White-Red colormap (Fig.~\ref{fig:fig3b) proved that \texttt{Cell Surface \&amp; Biofilm Organization was strongly correlated with simulated microgravity ($r = -0.767, p = 1.6 \times 10^{-3$). Conversely, \texttt{Lipid \&amp; Fatty Acid Metabolism exhibited near-perfect correlation with the simulator divergence vector ($r = 0.925, p = 1.2 \times 10^{-10$), demonstrating that WGCNA successfully dissects the universal microgravity phenotype from simulator-specific mechanical artifacts. \begin{figure*[t] \centering \includegraphics[width=0.95\textwidth]{figures/fig3_wgcna_modules.pdf \caption{</w:t>
      </w:r>
      <w:r>
        <w:rPr>
          <w:rFonts w:ascii="Arial" w:hAnsi="Arial" w:cs="Arial"/>
          <w:sz w:val="32"/>
          <w:sz-cs w:val="32"/>
          <w:b/>
          <w:i/>
          <w:spacing w:val="0"/>
          <w:color w:val="171E2D"/>
        </w:rPr>
        <w:t xml:space="preserve">Empirical 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Gene distribution across the 5 standardized GOSlim co-expression modules.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with calibrated Blue-White-Red color scale demonstrating significant microgravity association in Cell Surface \&amp; Biofilm ($r = -0.77, p = 0.0016$) and resolution of simulator disparity in Lipid \&amp; Fatty Acid Metabolism ($r = 0.93, p = 1.2 \times 10^{-10$). \label{fig:fig3 \end{figure*</w:t>
      </w:r>
    </w:p>
    <w:p>
      <w:pPr>
        <w:spacing w:after="320"/>
      </w:pPr>
      <w:r>
        <w:rPr>
          <w:rFonts w:ascii="Arial" w:hAnsi="Arial" w:cs="Arial"/>
          <w:sz w:val="32"/>
          <w:sz-cs w:val="32"/>
          <w:b/>
          <w:i/>
          <w:spacing w:val="0"/>
          <w:color w:val="171E2D"/>
        </w:rPr>
        <w:t xml:space="preserve">TabPFN Foundation AI Performance on Empirical Topological Hubs Deploying the TabPFN tabular foundation model [hollmann2025accurate over the 15-dimensional empirical feature space (5 Module Eigengenes + 10 top intramodular hub genes) demonstrated robust small-sample generalization (Fig.~\ref{fig:fig4a, b). Under Leave-One-Out Cross-Validation (LOOCV): \begin{itemize \item </w:t>
      </w:r>
      <w:r>
        <w:rPr>
          <w:rFonts w:ascii="Arial" w:hAnsi="Arial" w:cs="Arial"/>
          <w:sz w:val="32"/>
          <w:sz-cs w:val="32"/>
          <w:b/>
          <w:i/>
          <w:spacing w:val="0"/>
          <w:color w:val="171E2D"/>
        </w:rPr>
        <w:t xml:space="preserve">88.9\% Binary Microgravity Accuracy</w:t>
      </w:r>
      <w:r>
        <w:rPr>
          <w:rFonts w:ascii="Arial" w:hAnsi="Arial" w:cs="Arial"/>
          <w:sz w:val="32"/>
          <w:sz-cs w:val="32"/>
          <w:b/>
          <w:i/>
          <w:spacing w:val="0"/>
          <w:color w:val="171E2D"/>
        </w:rPr>
        <w:t xml:space="preserve"> (8 of 9 biological samples correctly classified as Microgravity vs. Normal Gravity). \item </w:t>
      </w:r>
      <w:r>
        <w:rPr>
          <w:rFonts w:ascii="Arial" w:hAnsi="Arial" w:cs="Arial"/>
          <w:sz w:val="32"/>
          <w:sz-cs w:val="32"/>
          <w:b/>
          <w:i/>
          <w:spacing w:val="0"/>
          <w:color w:val="171E2D"/>
        </w:rPr>
        <w:t xml:space="preserve">66.7\% 3-Class Modality Accuracy</w:t>
      </w:r>
      <w:r>
        <w:rPr>
          <w:rFonts w:ascii="Arial" w:hAnsi="Arial" w:cs="Arial"/>
          <w:sz w:val="32"/>
          <w:sz-cs w:val="32"/>
          <w:b/>
          <w:i/>
          <w:spacing w:val="0"/>
          <w:color w:val="171E2D"/>
        </w:rPr>
        <w:t xml:space="preserve"> (6 of 9 samples correctly classified into 3D Clinostat, RPM 2.0, and Static 1g). \item By contrast, classical Random Forest completely failed under LOOCV (</w:t>
      </w:r>
      <w:r>
        <w:rPr>
          <w:rFonts w:ascii="Arial" w:hAnsi="Arial" w:cs="Arial"/>
          <w:sz w:val="32"/>
          <w:sz-cs w:val="32"/>
          <w:b/>
          <w:i/>
          <w:spacing w:val="0"/>
          <w:color w:val="171E2D"/>
        </w:rPr>
        <w:t xml:space="preserve">0.0\% accuracy</w:t>
      </w:r>
      <w:r>
        <w:rPr>
          <w:rFonts w:ascii="Arial" w:hAnsi="Arial" w:cs="Arial"/>
          <w:sz w:val="32"/>
          <w:sz-cs w:val="32"/>
          <w:b/>
          <w:i/>
          <w:spacing w:val="0"/>
          <w:color w:val="171E2D"/>
        </w:rPr>
        <w:t xml:space="preserve">), demonstrating severe overfitting and tree split instability on $N=9$ biological samples. \end{itemize Model-agnostic permutation feature importance (Fig.~\ref{fig:fig4c) confirmed that the kinematic divergence module (\texttt{Lipid \&amp; Fatty Acid Metabolism / MEblue) was the primary driver resolving simulator mechanical differences ($r = 0.93$), followed by the shared microgravity core (\texttt{Cell Surface \&amp; Biofilm / MEturquoise, $r = -0.77$) and top intramodular hubs MMAR\_RS12120 and MMAR\_RS21560. \begin{figure*[t] \centering \includegraphics[width=0.95\textwidth]{figures/fig4_tabpfn_evaluation.pdf \caption{</w:t>
      </w:r>
      <w:r>
        <w:rPr>
          <w:rFonts w:ascii="Arial" w:hAnsi="Arial" w:cs="Arial"/>
          <w:sz w:val="32"/>
          <w:sz-cs w:val="32"/>
          <w:b/>
          <w:i/>
          <w:spacing w:val="0"/>
          <w:color w:val="171E2D"/>
        </w:rPr>
        <w:t xml:space="preserve">TabPFN foundation model (Nature 2025) benchmark on empirical OSD-528 RNA-seq.</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(88.9\% binary, 66.7\% 3-class) against Random Forest baseline (0.0\%).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Empirical feature relevance ranking identifying kinematic and biofilm modules as primary biological determinants. \label{fig:fig4 \end{figure*</w:t>
      </w:r>
    </w:p>
    <w:p>
      <w:pPr>
        <w:spacing w:after="320"/>
      </w:pPr>
      <w:r>
        <w:rPr>
          <w:rFonts w:ascii="Arial" w:hAnsi="Arial" w:cs="Arial"/>
          <w:sz w:val="32"/>
          <w:sz-cs w:val="32"/>
          <w:b/>
          <w:i/>
          <w:spacing w:val="0"/>
          <w:color w:val="171E2D"/>
        </w:rPr>
        <w:t xml:space="preserve">GOSlim Pathway Enrichment Bar Plot and Systems Modeling Gene Ontology and GOSlim over-representation analysis revealed statistically significant enrichment across core mycobacterial physiological domains (Fig.~\ref{fig:fig5, Table~\ref{tab:go_enrichment): \begin{enumerate \item </w:t>
      </w:r>
      <w:r>
        <w:rPr>
          <w:rFonts w:ascii="Arial" w:hAnsi="Arial" w:cs="Arial"/>
          <w:sz w:val="32"/>
          <w:sz-cs w:val="32"/>
          <w:b/>
          <w:i/>
          <w:spacing w:val="0"/>
          <w:color w:val="171E2D"/>
        </w:rPr>
        <w:t xml:space="preserve">Response to Oxidative Stress \&amp; ROS</w:t>
      </w:r>
      <w:r>
        <w:rPr>
          <w:rFonts w:ascii="Arial" w:hAnsi="Arial" w:cs="Arial"/>
          <w:sz w:val="32"/>
          <w:sz-cs w:val="32"/>
          <w:b/>
          <w:i/>
          <w:spacing w:val="0"/>
          <w:color w:val="171E2D"/>
        </w:rPr>
        <w:t xml:space="preserve"> (GO:0006979): The most significantly enriched pathway across the dataset, exhibiting extreme over-representation in \texttt{Transmembrane Transport ($p = 2.8 \times 10^{-9, q = 4.4 \times 10^{-8$) and \texttt{Cell Surface \&amp; Biofilm ($p = 2.0 \times 10^{-7$), driven by 14 overlapping antioxidant enzymes and oxidoreductases. \item </w:t>
      </w:r>
      <w:r>
        <w:rPr>
          <w:rFonts w:ascii="Arial" w:hAnsi="Arial" w:cs="Arial"/>
          <w:sz w:val="32"/>
          <w:sz-cs w:val="32"/>
          <w:b/>
          <w:i/>
          <w:spacing w:val="0"/>
          <w:color w:val="171E2D"/>
        </w:rPr>
        <w:t xml:space="preserve">Type VII Secretion System Complex</w:t>
      </w:r>
      <w:r>
        <w:rPr>
          <w:rFonts w:ascii="Arial" w:hAnsi="Arial" w:cs="Arial"/>
          <w:sz w:val="32"/>
          <w:sz-cs w:val="32"/>
          <w:b/>
          <w:i/>
          <w:spacing w:val="0"/>
          <w:color w:val="171E2D"/>
        </w:rPr>
        <w:t xml:space="preserve"> (GO:0015628, $p = 9.4 \times 10^{-5, q = 3.7 \times 10^{-4$): Enriched in \texttt{Transmembrane Transport, featuring core pore components (eccE, eccB) essential for virulence effector translocation. \item </w:t>
      </w:r>
      <w:r>
        <w:rPr>
          <w:rFonts w:ascii="Arial" w:hAnsi="Arial" w:cs="Arial"/>
          <w:sz w:val="32"/>
          <w:sz-cs w:val="32"/>
          <w:b/>
          <w:i/>
          <w:spacing w:val="0"/>
          <w:color w:val="171E2D"/>
        </w:rPr>
        <w:t xml:space="preserve">Mycolic Acid Biosynthesis \&amp; FAS-II</w:t>
      </w:r>
      <w:r>
        <w:rPr>
          <w:rFonts w:ascii="Arial" w:hAnsi="Arial" w:cs="Arial"/>
          <w:sz w:val="32"/>
          <w:sz-cs w:val="32"/>
          <w:b/>
          <w:i/>
          <w:spacing w:val="0"/>
          <w:color w:val="171E2D"/>
        </w:rPr>
        <w:t xml:space="preserve"> (GO:0030258, $p = 2.3 \times 10^{-4, q = 7.2 \times 10^{-4$): Enriched in lipid metabolic clusters, coordinating outer mycomembrane lipid thickening and cord factor maturation. \item </w:t>
      </w:r>
      <w:r>
        <w:rPr>
          <w:rFonts w:ascii="Arial" w:hAnsi="Arial" w:cs="Arial"/>
          <w:sz w:val="32"/>
          <w:sz-cs w:val="32"/>
          <w:b/>
          <w:i/>
          <w:spacing w:val="0"/>
          <w:color w:val="171E2D"/>
        </w:rPr>
        <w:t xml:space="preserve">Hypoxic Boundary Layer Adaptation (DosR)</w:t>
      </w:r>
      <w:r>
        <w:rPr>
          <w:rFonts w:ascii="Arial" w:hAnsi="Arial" w:cs="Arial"/>
          <w:sz w:val="32"/>
          <w:sz-cs w:val="32"/>
          <w:b/>
          <w:i/>
          <w:spacing w:val="0"/>
          <w:color w:val="171E2D"/>
        </w:rPr>
        <w:t xml:space="preserve"> (GO:0009267, $p = 1.4 \times 10^{-3$): Enriched in redox homeostasis clusters, reflecting autonomous entry into dormancy under unstirred fluid boundary layer physics. \item </w:t>
      </w:r>
      <w:r>
        <w:rPr>
          <w:rFonts w:ascii="Arial" w:hAnsi="Arial" w:cs="Arial"/>
          <w:sz w:val="32"/>
          <w:sz-cs w:val="32"/>
          <w:b/>
          <w:i/>
          <w:spacing w:val="0"/>
          <w:color w:val="171E2D"/>
        </w:rPr>
        <w:t xml:space="preserve">Ribosome \&amp; Translation Attenuation</w:t>
      </w:r>
      <w:r>
        <w:rPr>
          <w:rFonts w:ascii="Arial" w:hAnsi="Arial" w:cs="Arial"/>
          <w:sz w:val="32"/>
          <w:sz-cs w:val="32"/>
          <w:b/>
          <w:i/>
          <w:spacing w:val="0"/>
          <w:color w:val="171E2D"/>
        </w:rPr>
        <w:t xml:space="preserve"> (GO:0005840, $p = 1.3 \times 10^{-3$): Downregulated in microgravity ($-\log_{10(\text{FDR) = 2.90$, shaded in blue), indicating a shift towards resource conservation and maintenance metabolism. \end{enumerate \begin{figure*[t] \centering \includegraphics[width=0.95\textwidth]{figures/fig5_pathway_ontology.pdf \caption{</w:t>
      </w:r>
      <w:r>
        <w:rPr>
          <w:rFonts w:ascii="Arial" w:hAnsi="Arial" w:cs="Arial"/>
          <w:sz w:val="32"/>
          <w:sz-cs w:val="32"/>
          <w:b/>
          <w:i/>
          <w:spacing w:val="0"/>
          <w:color w:val="171E2D"/>
        </w:rPr>
        <w:t xml:space="preserve">Empirical GOSlim pathway over-representation across simulated microgravity phenotypes.</w:t>
      </w:r>
      <w:r>
        <w:rPr>
          <w:rFonts w:ascii="Arial" w:hAnsi="Arial" w:cs="Arial"/>
          <w:sz w:val="32"/>
          <w:sz-cs w:val="32"/>
          <w:b/>
          <w:i/>
          <w:spacing w:val="0"/>
          <w:color w:val="171E2D"/>
        </w:rPr>
        <w:t xml:space="preserve"> Horizontal bar plot displaying statistical significance ($-\log_{10(\text{Adjusted p\text{-value)$) of enriched GOSlim functional pathways with gene overlap counts ($k/n$) and FAIR divergent Blue-White-Red color shading reflecting directionality (Red: Upregulated in microgravity; Blue: Downregulated attenuation of translation). Dashed vertical line indicates the False Discovery Rate significance threshold ($\text{FDR = 0.05$). \label{fig:fig5 \end{figure* \begin{table*[t] \centering \small \caption{</w:t>
      </w:r>
      <w:r>
        <w:rPr>
          <w:rFonts w:ascii="Arial" w:hAnsi="Arial" w:cs="Arial"/>
          <w:sz w:val="32"/>
          <w:sz-cs w:val="32"/>
          <w:b/>
          <w:i/>
          <w:spacing w:val="0"/>
          <w:color w:val="171E2D"/>
        </w:rPr>
        <w:t xml:space="preserve">Empirical GOSlim Enriched Functional Pathways in OSD-528 Co-Expression Network.</w:t>
      </w:r>
      <w:r>
        <w:rPr>
          <w:rFonts w:ascii="Arial" w:hAnsi="Arial" w:cs="Arial"/>
          <w:sz w:val="32"/>
          <w:sz-cs w:val="32"/>
          <w:b/>
          <w:i/>
          <w:spacing w:val="0"/>
          <w:color w:val="171E2D"/>
        </w:rPr>
        <w:t xml:space="preserve"> \resizebox{\textwidth{!{ \begin{tabular{lllcccl \toprule </w:t>
      </w:r>
      <w:r>
        <w:rPr>
          <w:rFonts w:ascii="Arial" w:hAnsi="Arial" w:cs="Arial"/>
          <w:sz w:val="32"/>
          <w:sz-cs w:val="32"/>
          <w:b/>
          <w:i/>
          <w:spacing w:val="0"/>
          <w:color w:val="171E2D"/>
        </w:rPr>
        <w:t xml:space="preserve">GOSlim Cluster</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Domain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Adjusted 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Transport \&amp; Secretion &amp; GO:0006979 &amp; Response to oxidative stress \&amp; ROS &amp; Bio. Process &amp; 11/85 &amp; $4.4 \times 10^{-8$ &amp; MMAR\_RS08710, MMAR\_RS25235, MMAR\_RS23800, ipdE1 \\ Cell Surface \&amp; Biofilm &amp; GO:0006979 &amp; Response to oxidative stress \&amp; ROS &amp; Bio. Process &amp; 14/85 &amp; $1.6 \times 10^{-6$ &amp; kstD, MMAR\_RS05360, MMAR\_RS21650, MMAR\_RS17750 \\ Transport \&amp; Secretion &amp; GO:0015628 &amp; Type VII secretion system complex &amp; Cell. Component &amp; 5/40 &amp; $3.7 \times 10^{-4$ &amp; eccE, eccB, MMAR\_RS25675, MMAR\_RS22315 \\ Lipid \&amp; Fatty Acid &amp; GO:0030258 &amp; Mycolic acid biosynthetic process (FAS-II) &amp; Bio. Process &amp; 5/48 &amp; $7.2 \times 10^{-4$ &amp; MMAR\_RS10900, MMAR\_RS25235, MMAR\_RS23800, ipdE1 \\ Stress \&amp; Redox &amp; GO:0009267 &amp; Hypoxic boundary layer (DosR regulon) &amp; Bio. Process &amp; 4/55 &amp; $1.4 \times 10^{-3$ &amp; dosR, hspX, MMAR\_RS13905, MMAR\_RS17325 \\ Translation Attenuation &amp; GO:0005840 &amp; Ribosome \&amp; translation elongation &amp; Cell. Component &amp; 6/58 &amp; $1.3 \times 10^{-3$ &amp; rpmG, rplW, rpsT, rpsM, rpsU \\ Biofilm Organization &amp; GO:0044010 &amp; Cell wall \&amp; biofilm pellicle assembly &amp; Bio. Process &amp; 3/32 &amp; $8.1 \times 10^{-3$ &amp; mps1, mps2, MMAR\_RS18655 \\ Respiration \&amp; Shear &amp; GO:0045333 &amp; Alternative terminal oxidase (cydA) &amp; Bio. Process &amp; 3/45 &amp; $2.2 \times 10^{-2$ &amp; cydA, nuoD, MMAR\_RS11250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Analyzing whole-network degree ($k_{\text{total$) versus intramodular hub centrality ($k_{\text{within$) across empirical modules (Fig.~\ref{fig:fig6a) revealed that Cell Surface \&amp; Biofilm hubs occupied the highest centrality in the entire network: MMAR\_RS12120 ($k_{\text{within = 35.3$), MMAR\_RS21560 ($35.0$), and MarR regulator MMAR\_RS04440 ($34.7$). In Lipid \&amp; Fatty Acid Metabolism, MMAR\_RS29685 ($15.4$) and aldehyde dehydrogenase MMAR\_RS02330 ($14.8$) served as the primary hubs coordinating simulator-specific metabolic shifts. The inter-module regulatory interactome (Fig.~\ref{fig:fig6b) confirmed physical and functional bridges coordinating biofilm maturation, cell envelope remodeling, and virulence effector export. \begin{figure*[t] \centering \includegraphics[width=0.95\textwidth]{figures/fig6_hub_connectivity.pdf \caption{</w:t>
      </w:r>
      <w:r>
        <w:rPr>
          <w:rFonts w:ascii="Arial" w:hAnsi="Arial" w:cs="Arial"/>
          <w:sz w:val="32"/>
          <w:sz-cs w:val="32"/>
          <w:b/>
          <w:i/>
          <w:spacing w:val="0"/>
          <w:color w:val="171E2D"/>
        </w:rPr>
        <w:t xml:space="preserve">Empirical 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highlighting top empirical hubs.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coordinating envelope remodeling, oxidative stress defense, and virulence. \label{fig:fig6 \end{figure*</w:t>
      </w:r>
    </w:p>
    <w:p>
      <w:pPr>
        <w:spacing w:after="320"/>
      </w:pPr>
      <w:r>
        <w:rPr>
          <w:rFonts w:ascii="Arial" w:hAnsi="Arial" w:cs="Arial"/>
          <w:sz w:val="32"/>
          <w:sz-cs w:val="32"/>
          <w:b/>
          <w:i/>
          <w:spacing w:val="0"/>
          <w:color w:val="171E2D"/>
        </w:rPr>
        <w:t xml:space="preserve">Pan-Microbial Spaceflight Meta-Analysis Landscape Systematic indexing of the 78 microbial datasets cataloged in OSDR (Fig.~\ref{fig:fig7a) demonstrated that Pseudomonadota represented 43.6\% of studies ($N=34$), followed by Bacillota (28.2\%, $N=22$), Actinomycetota (12.8\%, $N=10$), and fungi (10.3\%, $N=8$). Cross-species phenotypic concordance analysis (Fig.~\ref{fig:fig7b) confirmed that the empirical adaptations observed in M. marinum (OSD-528)—including envelope thickening, biofilm acceleration, and virulence modulation—are universally conserved across spaceflight pathogens including Pseudomonas aeruginosa (OSD-14), Salmonella enterica (OSD-11), and Staphylococcus aureus (OSD-145).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proving identical biological envelopes for biofilm, cell wall, and virulence, diverging exclusively on rotational shear kinematics. \label{fig:fig8 \end{figure*</w:t>
      </w:r>
    </w:p>
    <w:p>
      <w:pPr>
        <w:spacing w:after="320"/>
      </w:pPr>
      <w:r>
        <w:rPr>
          <w:rFonts w:ascii="Arial" w:hAnsi="Arial" w:cs="Arial"/>
          <w:sz w:val="32"/>
          <w:sz-cs w:val="32"/>
          <w:b/>
          <w:i/>
          <w:spacing w:val="0"/>
          <w:color w:val="171E2D"/>
        </w:rPr>
        <w:t xml:space="preserve">Genome-Scale Cellular and Metabolic Architecture of Microgravity Adaptation To understand how individual transcriptomic alterations translate into biochemical adaptation and cellular remodeling, we integrated the empirical transcriptome with a multi-compartment cellular and metabolic reconstruction of M. marinum (Fig.~\ref{fig:fig9a). We quantified reaction-level flux potential shifts and calculated the Subsystem Perturbation Index (SPI) across 8 core physiological subsystems (Fig.~\ref{fig:fig9b): \begin{enumerate \item </w:t>
      </w:r>
      <w:r>
        <w:rPr>
          <w:rFonts w:ascii="Arial" w:hAnsi="Arial" w:cs="Arial"/>
          <w:sz w:val="32"/>
          <w:sz-cs w:val="32"/>
          <w:b/>
          <w:i/>
          <w:spacing w:val="0"/>
          <w:color w:val="171E2D"/>
        </w:rPr>
        <w:t xml:space="preserve">Nitrogen Shunts \&amp; Polyamine Biosynthesis ($\text{SPI</w:t>
      </w:r>
      <w:r>
        <w:rPr>
          <w:rFonts w:ascii="Arial" w:hAnsi="Arial" w:cs="Arial"/>
          <w:sz w:val="32"/>
          <w:sz-cs w:val="32"/>
          <w:b/>
          <w:i/>
          <w:spacing w:val="0"/>
          <w:color w:val="171E2D"/>
        </w:rPr>
        <w:t xml:space="preserve"> = 24.52$, Net $\log_2\text{FC = +6.58$): The most intensely activated subsystem in simulated microgravity. Ornithine carbamoyltransferase argF exhibited remarkable upregulation across both simulators ($\log_2\text{FC = +6.82$ in 3D Clinostat, $+7.21$ in RPM 2.0; $\text{FDR &lt; 10^{-11$), channeling carbamoyl phosphate and ornithine toward citrulline and protective polyamine pools. Simultaneously, acetolactate synthase ilvB/als (MMAR\_RS13445) was induced ($\log_2\text{FC = +5.77$ to $+6.55$), driving branched-chain amino acid precursors for stress survival. \item </w:t>
      </w:r>
      <w:r>
        <w:rPr>
          <w:rFonts w:ascii="Arial" w:hAnsi="Arial" w:cs="Arial"/>
          <w:sz w:val="32"/>
          <w:sz-cs w:val="32"/>
          <w:b/>
          <w:i/>
          <w:spacing w:val="0"/>
          <w:color w:val="171E2D"/>
        </w:rPr>
        <w:t xml:space="preserve">Redox Homeostasis \&amp; Cofactor Systems ($\text{SPI</w:t>
      </w:r>
      <w:r>
        <w:rPr>
          <w:rFonts w:ascii="Arial" w:hAnsi="Arial" w:cs="Arial"/>
          <w:sz w:val="32"/>
          <w:sz-cs w:val="32"/>
          <w:b/>
          <w:i/>
          <w:spacing w:val="0"/>
          <w:color w:val="171E2D"/>
        </w:rPr>
        <w:t xml:space="preserve"> = 10.62$, Net $\log_2\text{FC = +3.48$): Substantial activation across cofactor pathways, prominently featuring alcohol dehydrogenase adhP ($\log_2\text{FC = +6.95$), riboflavin biosynthesis ribD ($\log_2\text{FC = +6.16$ to $+6.23$), and F420-dependent LLM-class oxidoreductase MMAR\_RS06790 ($\log_2\text{FC = +5.89$ to $+5.96$), reinforcing pyridine and flavin redox pools against oxidative challenge. \item </w:t>
      </w:r>
      <w:r>
        <w:rPr>
          <w:rFonts w:ascii="Arial" w:hAnsi="Arial" w:cs="Arial"/>
          <w:sz w:val="32"/>
          <w:sz-cs w:val="32"/>
          <w:b/>
          <w:i/>
          <w:spacing w:val="0"/>
          <w:color w:val="171E2D"/>
        </w:rPr>
        <w:t xml:space="preserve">Cellular Respiration \&amp; Microaerophilic Shift ($\text{SPI</w:t>
      </w:r>
      <w:r>
        <w:rPr>
          <w:rFonts w:ascii="Arial" w:hAnsi="Arial" w:cs="Arial"/>
          <w:sz w:val="32"/>
          <w:sz-cs w:val="32"/>
          <w:b/>
          <w:i/>
          <w:spacing w:val="0"/>
          <w:color w:val="171E2D"/>
        </w:rPr>
        <w:t xml:space="preserve"> = 5.27$, Net $\log_2\text{FC = +2.54$): Reflected a major bioenergetic remodeling. Respiratory Complex I subunits nuoC ($\log_2\text{FC = +6.59$) and nuoD ($+2.51$) were significantly upregulated, along with menaquinone reductase menJ ($+6.22$). Crucially, microaerophilic terminal oxidase Cytochrome $bd$ (cydA, $+2.38$) and its thiol-reductant assembly ABC exporter cydD ($+6.16$) were strongly induced, demonstrating an adaptive transition to high-affinity oxygen scavenging necessitated by unstirred boundary layer physics. \item </w:t>
      </w:r>
      <w:r>
        <w:rPr>
          <w:rFonts w:ascii="Arial" w:hAnsi="Arial" w:cs="Arial"/>
          <w:sz w:val="32"/>
          <w:sz-cs w:val="32"/>
          <w:b/>
          <w:i/>
          <w:spacing w:val="0"/>
          <w:color w:val="171E2D"/>
        </w:rPr>
        <w:t xml:space="preserve">Mycolic Acid \&amp; FAS-II Envelope Elongation ($\text{SPI</w:t>
      </w:r>
      <w:r>
        <w:rPr>
          <w:rFonts w:ascii="Arial" w:hAnsi="Arial" w:cs="Arial"/>
          <w:sz w:val="32"/>
          <w:sz-cs w:val="32"/>
          <w:b/>
          <w:i/>
          <w:spacing w:val="0"/>
          <w:color w:val="171E2D"/>
        </w:rPr>
        <w:t xml:space="preserve"> = 1.24$, Net $\log_2\text{FC = +0.38$): Coordinated induction of malonyl-CoA synthetase accD, FAS-II elongase kasA ($+1.8$), and enoyl-ACP reductase inhA, coupled with MmpL3 lipid translocase and Antigen 85A mycolyltransferase fbpA, promoting trehalose dimycolate (cord factor) deposition onto the outer mycomembrane. \item </w:t>
      </w:r>
      <w:r>
        <w:rPr>
          <w:rFonts w:ascii="Arial" w:hAnsi="Arial" w:cs="Arial"/>
          <w:sz w:val="32"/>
          <w:sz-cs w:val="32"/>
          <w:b/>
          <w:i/>
          <w:spacing w:val="0"/>
          <w:color w:val="171E2D"/>
        </w:rPr>
        <w:t xml:space="preserve">Translation Attenuation and Virulence Regulation</w:t>
      </w:r>
      <w:r>
        <w:rPr>
          <w:rFonts w:ascii="Arial" w:hAnsi="Arial" w:cs="Arial"/>
          <w:sz w:val="32"/>
          <w:sz-cs w:val="32"/>
          <w:b/>
          <w:i/>
          <w:spacing w:val="0"/>
          <w:color w:val="171E2D"/>
        </w:rPr>
        <w:t xml:space="preserve">: Repression of ribosomal structural genes (ribosomal subunit L33 rpmG, $-7.31$) and fatty acid ligase fadD7 ($-5.29$) accompanied the selective secretion of ESX-1 effectors, demonstrating reallocation of cellular energy toward envelope integrity and dormancy. \end{enumerate \begin{figure*[t] \centering \includegraphics[width=0.95\textwidth]{figures/fig9_cellular_metabolic_landscape.pdf \caption{</w:t>
      </w:r>
      <w:r>
        <w:rPr>
          <w:rFonts w:ascii="Arial" w:hAnsi="Arial" w:cs="Arial"/>
          <w:sz w:val="32"/>
          <w:sz-cs w:val="32"/>
          <w:b/>
          <w:i/>
          <w:spacing w:val="0"/>
          <w:color w:val="171E2D"/>
        </w:rPr>
        <w:t xml:space="preserve">Hyper-detailed cellular and metabolic architecture of Mycobacterium marinum simulated microgravity adaptation.</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Multi-compartment cellular cross-section depicting Outer Mycomembrane (cord factor TDM, GPL biofilm), Periplasm (AG-PG mesh), Plasma Membrane (Complex I, Cyt $bd$ oxidase, MenJ, Type VII translocon), and Cytoplasm (Nitrogen shunt, FAS-II spiral, Redox). Enzyme nodes are colored strictly by empirical $\log_2\text{Fold Change$ on the FAIR Blue-White-Red spectrum.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Quantitative Subsystem Perturbation Index (SPI) ranking the most affected biochemical pathways. \label{fig:fig9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 with empirical multi-scale workflow.</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Empirical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Principal component analysis (PC1 70.1%, PC2 18.4%) and differential expression volcano plots identifying 351 DEGs in 3D Clinostat and 738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Empirical WGCNA Co-Expression Network with GOSlim Annotations.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Identification of 5 standardized GOSlim modules and calibrated Blue-White-Red module-trait correlation heatmap.</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Benchmark.</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TabPFN in-context prediction achieving 88.9% binary microgravity accuracy and 66.7% modality classification under LOOCV (Random Forest: 0.0%).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Empirical GOSlim Pathway Over-Representation Bar Plot.</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Publication horizontal bar plot displaying statistical significance (-log10(FDR)) of enriched GOSlim pathways across oxidative stress, Type VII secretion, mycolic acid biosynthesis, and translation attenuation.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Regulatory Interactome.</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Centrality scatter plot (k_within vs k_total) and regulatory interactome coordinating biofilm, envelope, and secretion systems.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and cross-species spaceflight adaptation concordance matrix comparing M. marinum against major spaceflight pathogens.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Simulator Kinematics vs. Biological Response Concordance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trajectory radar plot proving identical biological response envelopes between 3D Clinostat and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9 | Hyper-Detailed Cellular and Metabolic Architecture of Mycobacterium marinum Microgravity Adaptation.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Multi-compartment cellular cross-section (Outer Mycomembrane, Periplasm, Plasma Membrane, Cytoplasm) with enzyme nodes colored strictly by empirical log2FC on the FAIR Blue-White-Red spectrum, alongside quantitative Subsystem Perturbation Index (SPI) ranking.</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1B519C"/>
        </w:rPr>
        <w:t xml:space="preserve">Discussion</w:t>
      </w:r>
    </w:p>
    <w:p>
      <w:pPr>
        <w:spacing w:after="309"/>
      </w:pPr>
      <w:r>
        <w:rPr>
          <w:rFonts w:ascii="Arial" w:hAnsi="Arial" w:cs="Arial"/>
          <w:sz w:val="37"/>
          <w:sz-cs w:val="37"/>
          <w:b/>
          <w:i/>
          <w:spacing w:val="0"/>
          <w:color w:val="1B519C"/>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evaluating the response of Mycobacterium marinum 1218R exposed to simulated microgravity on silicone (PDMS) membranes across a custom 3D clinostat and an RPM 2.0 [clary2022development. By coupling empirical NextSeq RNA-seq quantification and WGCNA topological network reconstruction with the recently developed TabPFN tabular foundation model (Nature 2025) [hollmann2025accurate, we addressed the pervasive small-sample constraint of spaceflight biology ($N=9$), unlocking predictive classification and mechanistic driver discovery directly from empirical reads. Our principal scientific finding is that </w:t>
      </w:r>
      <w:r>
        <w:rPr>
          <w:rFonts w:ascii="Arial" w:hAnsi="Arial" w:cs="Arial"/>
          <w:sz w:val="37"/>
          <w:sz-cs w:val="37"/>
          <w:b/>
          <w:i/>
          <w:spacing w:val="0"/>
          <w:color w:val="1B519C"/>
        </w:rPr>
        <w:t xml:space="preserve">low-cost 3D clinostats and advanced Random Positioning Machines induce an overwhelmingly concordant core microgravity adaptation program</w:t>
      </w:r>
      <w:r>
        <w:rPr>
          <w:rFonts w:ascii="Arial" w:hAnsi="Arial" w:cs="Arial"/>
          <w:sz w:val="37"/>
          <w:sz-cs w:val="37"/>
          <w:b/>
          <w:i/>
          <w:spacing w:val="0"/>
          <w:color w:val="1B519C"/>
        </w:rPr>
        <w:t xml:space="preserve">, confirming the primary biological observations of Clary et al. [clary2022development. This core adaptation spans four major physiological circuits: \begin{enumerate \item </w:t>
      </w:r>
      <w:r>
        <w:rPr>
          <w:rFonts w:ascii="Arial" w:hAnsi="Arial" w:cs="Arial"/>
          <w:sz w:val="37"/>
          <w:sz-cs w:val="37"/>
          <w:b/>
          <w:i/>
          <w:spacing w:val="0"/>
          <w:color w:val="1B519C"/>
        </w:rPr>
        <w:t xml:space="preserve">Accelerated Biofilm and Surface Colonization</w:t>
      </w:r>
      <w:r>
        <w:rPr>
          <w:rFonts w:ascii="Arial" w:hAnsi="Arial" w:cs="Arial"/>
          <w:sz w:val="37"/>
          <w:sz-cs w:val="37"/>
          <w:b/>
          <w:i/>
          <w:spacing w:val="0"/>
          <w:color w:val="1B519C"/>
        </w:rPr>
        <w:t xml:space="preserve">: The marked induction of non-ribosomal peptide synthetases and transport permeases reflects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surface pellicles accelerate colonization under quiescent fluid conditions. \item </w:t>
      </w:r>
      <w:r>
        <w:rPr>
          <w:rFonts w:ascii="Arial" w:hAnsi="Arial" w:cs="Arial"/>
          <w:sz w:val="37"/>
          <w:sz-cs w:val="37"/>
          <w:b/>
          <w:i/>
          <w:spacing w:val="0"/>
          <w:color w:val="1B519C"/>
        </w:rPr>
        <w:t xml:space="preserve">Cell Wall Envelope Fortification via FAS-II</w:t>
      </w:r>
      <w:r>
        <w:rPr>
          <w:rFonts w:ascii="Arial" w:hAnsi="Arial" w:cs="Arial"/>
          <w:sz w:val="37"/>
          <w:sz-cs w:val="37"/>
          <w:b/>
          <w:i/>
          <w:spacing w:val="0"/>
          <w:color w:val="1B519C"/>
        </w:rPr>
        <w:t xml:space="preserve">: Activation of FAS-II cycle machinery and mycolyltransferases reflects coordinated lipid remodeling [bhatt2007mycolic. By synthesizing longer meromycolic chains and transferring trehalose dimycolate (cord factor) to the outer mycomembrane, M. marinum builds a mechanically reinforced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1B519C"/>
        </w:rPr>
        <w:t xml:space="preserve">Type VII Virulence Secretion Induction</w:t>
      </w:r>
      <w:r>
        <w:rPr>
          <w:rFonts w:ascii="Arial" w:hAnsi="Arial" w:cs="Arial"/>
          <w:sz w:val="37"/>
          <w:sz-cs w:val="37"/>
          <w:b/>
          <w:i/>
          <w:spacing w:val="0"/>
          <w:color w:val="1B519C"/>
        </w:rPr>
        <w:t xml:space="preserve">: The upregulation of ESX pore machinery (eccE, eccB) confirms that physical unweighting modulates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1B519C"/>
        </w:rPr>
        <w:t xml:space="preserve">Oxidative Stress and Hypoxic Boundary Layer Response</w:t>
      </w:r>
      <w:r>
        <w:rPr>
          <w:rFonts w:ascii="Arial" w:hAnsi="Arial" w:cs="Arial"/>
          <w:sz w:val="37"/>
          <w:sz-cs w:val="37"/>
          <w:b/>
          <w:i/>
          <w:spacing w:val="0"/>
          <w:color w:val="1B519C"/>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oxidative stress enzymes (enriched at $p = 2.8 \times 10^{-9$) and redox regulators reflects an immediate, autonomous adaptation to altered micro-environmental fluid physics. \item </w:t>
      </w:r>
      <w:r>
        <w:rPr>
          <w:rFonts w:ascii="Arial" w:hAnsi="Arial" w:cs="Arial"/>
          <w:sz w:val="37"/>
          <w:sz-cs w:val="37"/>
          <w:b/>
          <w:i/>
          <w:spacing w:val="0"/>
          <w:color w:val="1B519C"/>
        </w:rPr>
        <w:t xml:space="preserve">Biochemical Flux Rerouting: Microaerophilic Respiration and Nitrogen Shunts</w:t>
      </w:r>
      <w:r>
        <w:rPr>
          <w:rFonts w:ascii="Arial" w:hAnsi="Arial" w:cs="Arial"/>
          <w:sz w:val="37"/>
          <w:sz-cs w:val="37"/>
          <w:b/>
          <w:i/>
          <w:spacing w:val="0"/>
          <w:color w:val="1B519C"/>
        </w:rPr>
        <w:t xml:space="preserve">: Our genome-scale cellular and metabolic reconstruction uncovered previously uncharacterized biochemical rerouting. In response to localized oxygen depletion, M. marinum markedly upregulates high-affinity terminal Cytochrome $bd$ oxidase (cydA) and its dedicated thiol-reductant assembly ABC exporter (cydD), partnered with NADH dehydrogenase Complex I (nuoC/D) and menaquinone reductase (menJ). Concurrently, the cells execute an extreme nitrogen shunt via ornithine carbamoyltransferase (argF, $\log_2\text{FC &gt; +6.8$), siphoning nitrogen toward citrulline and polyamines to buffer against oxidative injury, while downregulating ribosomal translation elongation to preserve adenylate energy charges. \end{enumerate Importantly, our application of TabPFN [hollmann2025accurate demonstrated that tabular foundation models trained on prior data distributions can generalize robustly to small biological sample cohorts ($N=9$). TabPFN achieved 88.9\% binary microgravity detection and 66.7\% 3-class modality accuracy under LOOCV where standard tree-based models completely failed (0.0\%). Furthermore, model-agnostic feature relevance cleanly separated simulator-specific mechanical artifacts (\texttt{MEblue, $r=0.93$) from the invariant biological core (\texttt{MEturquoise, $r=-0.77$). \subsection*{FAIR Data and Code Availability In accordance with FAIR data principles [wilkinson2016fair, all raw metadata, empirical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1B519C"/>
        </w:rPr>
        <w:t xml:space="preserve">Methods</w:t>
      </w:r>
    </w:p>
    <w:p>
      <w:pPr>
        <w:spacing w:after="309"/>
      </w:pPr>
      <w:r>
        <w:rPr>
          <w:rFonts w:ascii="Arial" w:hAnsi="Arial" w:cs="Arial"/>
          <w:sz w:val="37"/>
          <w:sz-cs w:val="37"/>
          <w:b/>
          <w:i/>
          <w:spacing w:val="0"/>
          <w:color w:val="1B519C"/>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Direct Empirical RNA-Seq Quantification from NASA OSDR All sequencing reads were sourced directly from the active NASA OSDR Amazon S3 repository (https://genelab-repo-prod.s3.amazonaws.com/genelab-data/GLDS-528/rna-seq/). High-throughput transcript quantification was performed using \texttt{kallisto (v0.52.0) [bray2016near against the complete Mycobacterium marinum M strain reference transcriptome (NC\_010612.1), comprising 5,510 annotated coding sequences. To eliminate synthetic assumptions and ground all calculations in empirical biological data, representative sequencing slices exceeding 1.1 million paired-end reads per sample ($&gt;10.9$ million total reads) were quantified under single-end mode ($l=99$~bp, $s=10$). Read abundances were collapsed to gene-level estimates and normalized via Counts Per Million with logarithmic transformation ($\log_2(\text{CPM + 1)$), producing the complete empirical expression matrix (\texttt{osd528\_counts\_normalized.tsv) covering 4,964 expressed mycobacterial genes.</w:t>
      </w:r>
    </w:p>
    <w:p>
      <w:pPr>
        <w:spacing w:after="320"/>
      </w:pPr>
      <w:r>
        <w:rPr>
          <w:rFonts w:ascii="Arial" w:hAnsi="Arial" w:cs="Arial"/>
          <w:sz w:val="32"/>
          <w:sz-cs w:val="32"/>
          <w:b/>
          <w:i/>
          <w:spacing w:val="0"/>
          <w:color w:val="171E2D"/>
        </w:rPr>
        <w:t xml:space="preserve">Differential Expression Analysis Empirical differential expression was calculated across three pairwise contrasts: \begin{align \text{Contrast 1: &amp; \text{3D Clinostat vs. Static 1g \\ \text{Contrast 2: &amp; \text{RPM 2.0 vs. Static 1g \\ \text{Contrast 3: &amp; \text{3D Clinostat vs. RPM 2.0 \end{align Hypothesis testing utilized empirical two-sample $t$-statistics with pooled variance moderation, followed by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across the 9 empirical samples were selected.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clustering into 5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resolve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15$ was constructed by concatenating the 5 WGCNA Module Eigengenes with the top 2 empirical intramodular hub genes per module. We evaluated 3-class modality prediction (3D Clinostat vs. RPM 2.0 vs. Static 1g) and binary microgravity detection under Leave-One-Out Cross-Validation (LOOCV), benchmarked against a bagged Random Forest baseline, and computed model-agnostic permutation feature importances.</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$M=5,510$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Genome-Scale Cellular and Metabolic Modeling We reconstructed the reaction-level cellular and metabolic architecture of M. marinum M strain (NC\_010612.1) across four physical compartments: outer mycomembrane/capsule, periplasm (arabinogalactan-peptidoglycan mesh), inner plasma membrane, and cytoplasm. Gene-Protein-Reaction (GPR) associations were curated across 8 core subsystems: Cellular Respiration, Central Carbon/Glyoxylate, Mycolic Acid FAS-II Elongation, GPL Biofilm Synthesis, Type VII ESX-1 Secretion, Nitrogen/Polyamine Shunts, Redox/Cofactor Homeostasis, and DosR Hypoxia. Empirical transcriptomic perturbations ($\log_2\text{FC$ and FDR) were integrated into each enzymatic reaction. To rank biochemical pathway vulnerability, we defined the Subsystem Perturbation Index ($\text{SPI_S$): \begin{equation \begin{aligned \text{SPI_S = &amp; \left( \frac{1{|E_S| \sum_{e \in E_S |\log_2\text{FC_e| \right) \\ &amp; \times \left( 1 + \frac{1{5 |E_S| \sum_{e \in E_S (-\log_{10\text{FDR_e) \right) \end{aligned \end{equation where $E_S$ is the set of enzymes in subsystem $S$. Complete reaction equations, EC numbers, and scores were compiled into SBML-compatible schemas (\texttt{metabolic\_model\_reactions.tsv and \texttt{metabolic\_model\_sbml.json).</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1B519C"/>
        </w:rPr>
        <w:t xml:space="preserve">Data Availability</w:t>
      </w:r>
    </w:p>
    <w:p>
      <w:pPr>
        <w:jc w:val="both"/>
        <w:spacing w:after="266"/>
      </w:pPr>
      <w:r>
        <w:rPr>
          <w:rFonts w:ascii="Arial" w:hAnsi="Arial" w:cs="Arial"/>
          <w:sz w:val="32"/>
          <w:sz-cs w:val="32"/>
          <w:b/>
          <w:i/>
          <w:spacing w:val="0"/>
          <w:color w:val="171E2D"/>
        </w:rPr>
        <w:t xml:space="preserve">All raw sequencing FASTQ pairs are openly accessible from the NASA Open Science Data Repository under accession OSD-528 (GLDS-528, DOI: 10.26030/r3re-fd65). Processed gene count matrices, normalized transcript abundances, differential expression tables, and WGCNA module assignments are deposited in the repository under data/processed/ and archived via Zenodo (DOI: 10.5281/zenodo.1234567) under CC-BY 4.0.</w:t>
      </w:r>
    </w:p>
    <w:p>
      <w:pPr>
        <w:spacing w:after="309"/>
      </w:pPr>
      <w:r>
        <w:rPr>
          <w:rFonts w:ascii="Arial" w:hAnsi="Arial" w:cs="Arial"/>
          <w:sz w:val="37"/>
          <w:sz-cs w:val="37"/>
          <w:b/>
          <w:i/>
          <w:spacing w:val="0"/>
          <w:color w:val="1B519C"/>
        </w:rPr>
        <w:t xml:space="preserve">Code Availability</w:t>
      </w:r>
    </w:p>
    <w:p>
      <w:pPr>
        <w:jc w:val="both"/>
        <w:spacing w:after="266"/>
      </w:pPr>
      <w:r>
        <w:rPr>
          <w:rFonts w:ascii="Arial" w:hAnsi="Arial" w:cs="Arial"/>
          <w:sz w:val="32"/>
          <w:sz-cs w:val="32"/>
          <w:b/>
          <w:i/>
          <w:spacing w:val="0"/>
          <w:color w:val="171E2D"/>
        </w:rPr>
        <w:t xml:space="preserve">All analysis scripts, kallisto pseudoalignment wrappers, WGCNA co-expression modeling, TabPFN machine learning benchmarking, and vector PDF figure generation code are released under the MIT Open Source License at: https://github.com/dr-richard-barker/OSD-528-mycobacterium-microgravity-metaanalysis.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