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13"/>
      </w:pPr>
      <w:r>
        <w:rPr>
          <w:rFonts w:ascii="Arial" w:hAnsi="Arial" w:cs="Arial"/>
          <w:sz w:val="48"/>
          <w:sz-cs w:val="48"/>
          <w:b/>
          <w:spacing w:val="0"/>
          <w:color w:val="0B2750"/>
        </w:rPr>
        <w:t xml:space="preserve">Systems Biology and Tabular Foundation AI Meta-Analysis of </w:t>
      </w:r>
      <w:r>
        <w:rPr>
          <w:rFonts w:ascii="Arial" w:hAnsi="Arial" w:cs="Arial"/>
          <w:sz w:val="48"/>
          <w:sz-cs w:val="48"/>
          <w:b/>
          <w:i/>
          <w:spacing w:val="0"/>
          <w:color w:val="0B2750"/>
        </w:rPr>
        <w:t xml:space="preserve">Mycobacterium marinum</w:t>
      </w:r>
      <w:r>
        <w:rPr>
          <w:rFonts w:ascii="Arial" w:hAnsi="Arial" w:cs="Arial"/>
          <w:sz w:val="48"/>
          <w:sz-cs w:val="48"/>
          <w:b/>
          <w:spacing w:val="0"/>
          <w:color w:val="0B2750"/>
        </w:rPr>
        <w:t xml:space="preserve"> Response to Simulated Microgravity (NASA OSDR OSD-528)</w:t>
      </w:r>
    </w:p>
    <w:p>
      <w:pPr/>
      <w:r>
        <w:rPr>
          <w:rFonts w:ascii="Times New Roman" w:hAnsi="Times New Roman" w:cs="Times New Roman"/>
          <w:sz w:val="29"/>
          <w:sz-cs w:val="29"/>
          <w:b/>
          <w:spacing w:val="0"/>
          <w:color w:val="0E0E0E"/>
        </w:rPr>
        <w:t xml:space="preserve">Richard Barker</w:t>
      </w:r>
      <w:r>
        <w:rPr>
          <w:rFonts w:ascii="Times New Roman" w:hAnsi="Times New Roman" w:cs="Times New Roman"/>
          <w:sz w:val="24"/>
          <w:sz-cs w:val="24"/>
          <w:b/>
          <w:vertAlign w:val="superscript"/>
          <w:spacing w:val="0"/>
          <w:color w:val="0E0E0E"/>
        </w:rPr>
        <w:t xml:space="preserve">1,*</w:t>
      </w:r>
      <w:r>
        <w:rPr>
          <w:rFonts w:ascii="Times New Roman" w:hAnsi="Times New Roman" w:cs="Times New Roman"/>
          <w:sz w:val="29"/>
          <w:sz-cs w:val="29"/>
          <w:b/>
          <w:spacing w:val="0"/>
          <w:color w:val="0E0E0E"/>
        </w:rPr>
        <w:t xml:space="preserve">, Lynn Harrison</w:t>
      </w:r>
      <w:r>
        <w:rPr>
          <w:rFonts w:ascii="Times New Roman" w:hAnsi="Times New Roman" w:cs="Times New Roman"/>
          <w:sz w:val="24"/>
          <w:sz-cs w:val="24"/>
          <w:b/>
          <w:vertAlign w:val="superscript"/>
          <w:spacing w:val="0"/>
          <w:color w:val="0E0E0E"/>
        </w:rPr>
        <w:t xml:space="preserve">2</w:t>
      </w:r>
      <w:r>
        <w:rPr>
          <w:rFonts w:ascii="Times New Roman" w:hAnsi="Times New Roman" w:cs="Times New Roman"/>
          <w:sz w:val="29"/>
          <w:sz-cs w:val="29"/>
          <w:b/>
          <w:spacing w:val="0"/>
          <w:color w:val="0E0E0E"/>
        </w:rPr>
        <w:t xml:space="preserve">, Joseph L. Clary</w:t>
      </w:r>
      <w:r>
        <w:rPr>
          <w:rFonts w:ascii="Times New Roman" w:hAnsi="Times New Roman" w:cs="Times New Roman"/>
          <w:sz w:val="24"/>
          <w:sz-cs w:val="24"/>
          <w:b/>
          <w:vertAlign w:val="superscript"/>
          <w:spacing w:val="0"/>
          <w:color w:val="0E0E0E"/>
        </w:rPr>
        <w:t xml:space="preserve">2</w:t>
      </w:r>
      <w:r>
        <w:rPr>
          <w:rFonts w:ascii="Times New Roman" w:hAnsi="Times New Roman" w:cs="Times New Roman"/>
          <w:sz w:val="29"/>
          <w:sz-cs w:val="29"/>
          <w:b/>
          <w:spacing w:val="0"/>
          <w:color w:val="0E0E0E"/>
        </w:rPr>
        <w:t xml:space="preserve">, NASA GeneLab Consortium</w:t>
      </w:r>
      <w:r>
        <w:rPr>
          <w:rFonts w:ascii="Times New Roman" w:hAnsi="Times New Roman" w:cs="Times New Roman"/>
          <w:sz w:val="24"/>
          <w:sz-cs w:val="24"/>
          <w:b/>
          <w:vertAlign w:val="superscript"/>
          <w:spacing w:val="0"/>
          <w:color w:val="0E0E0E"/>
        </w:rPr>
        <w:t xml:space="preserve">1</w:t>
      </w:r>
      <w:r>
        <w:rPr>
          <w:rFonts w:ascii="Times New Roman" w:hAnsi="Times New Roman" w:cs="Times New Roman"/>
          <w:sz w:val="29"/>
          <w:sz-cs w:val="29"/>
          <w:b/>
          <w:spacing w:val="0"/>
          <w:color w:val="0E0E0E"/>
        </w:rPr>
        <w:t xml:space="preserve"/>
      </w:r>
    </w:p>
    <w:p>
      <w:pPr/>
      <w:r>
        <w:rPr>
          <w:rFonts w:ascii="Times New Roman" w:hAnsi="Times New Roman" w:cs="Times New Roman"/>
          <w:sz w:val="21"/>
          <w:sz-cs w:val="21"/>
          <w:vertAlign w:val="superscript"/>
          <w:spacing w:val="0"/>
          <w:color w:val="343434"/>
        </w:rPr>
        <w:t xml:space="preserve">1</w:t>
      </w:r>
      <w:r>
        <w:rPr>
          <w:rFonts w:ascii="Times New Roman" w:hAnsi="Times New Roman" w:cs="Times New Roman"/>
          <w:sz w:val="25"/>
          <w:sz-cs w:val="25"/>
          <w:spacing w:val="0"/>
          <w:color w:val="343434"/>
        </w:rPr>
        <w:t xml:space="preserve"> NASA GeneLab / Open Science Data Repository, NASA Ames Research Center, Moffett Field, CA, USA</w:t>
      </w:r>
    </w:p>
    <w:p>
      <w:pPr/>
      <w:r>
        <w:rPr>
          <w:rFonts w:ascii="Times New Roman" w:hAnsi="Times New Roman" w:cs="Times New Roman"/>
          <w:sz w:val="21"/>
          <w:sz-cs w:val="21"/>
          <w:vertAlign w:val="superscript"/>
          <w:spacing w:val="0"/>
          <w:color w:val="343434"/>
        </w:rPr>
        <w:t xml:space="preserve">2</w:t>
      </w:r>
      <w:r>
        <w:rPr>
          <w:rFonts w:ascii="Times New Roman" w:hAnsi="Times New Roman" w:cs="Times New Roman"/>
          <w:sz w:val="25"/>
          <w:sz-cs w:val="25"/>
          <w:spacing w:val="0"/>
          <w:color w:val="343434"/>
        </w:rPr>
        <w:t xml:space="preserve"> Department of Molecular and Cellular Physiology, LSU Health Shreveport, Shreveport, LA, USA</w:t>
      </w:r>
    </w:p>
    <w:p>
      <w:pPr/>
      <w:r>
        <w:rPr>
          <w:rFonts w:ascii="Times New Roman" w:hAnsi="Times New Roman" w:cs="Times New Roman"/>
          <w:sz w:val="21"/>
          <w:sz-cs w:val="21"/>
          <w:vertAlign w:val="superscript"/>
          <w:spacing w:val="0"/>
          <w:color w:val="343434"/>
        </w:rPr>
        <w:t xml:space="preserve">*</w:t>
      </w:r>
      <w:r>
        <w:rPr>
          <w:rFonts w:ascii="Times New Roman" w:hAnsi="Times New Roman" w:cs="Times New Roman"/>
          <w:sz w:val="25"/>
          <w:sz-cs w:val="25"/>
          <w:spacing w:val="0"/>
          <w:color w:val="343434"/>
        </w:rPr>
        <w:t xml:space="preserve"> Correspondence: richard.barker@nasa.gov</w:t>
      </w:r>
    </w:p>
    <w:p>
      <w:pPr/>
      <w:r>
        <w:rPr>
          <w:rFonts w:ascii="Times New Roman" w:hAnsi="Times New Roman" w:cs="Times New Roman"/>
          <w:sz w:val="29"/>
          <w:sz-cs w:val="29"/>
          <w:spacing w:val="0"/>
          <w:color w:val="0E0E0E"/>
        </w:rPr>
        <w:t xml:space="preserve">\begin{abstract </w:t>
      </w:r>
      <w:r>
        <w:rPr>
          <w:rFonts w:ascii="Times New Roman" w:hAnsi="Times New Roman" w:cs="Times New Roman"/>
          <w:sz w:val="29"/>
          <w:sz-cs w:val="29"/>
          <w:b/>
          <w:spacing w:val="0"/>
          <w:color w:val="0E0E0E"/>
        </w:rPr>
        <w:t xml:space="preserve">Background:</w:t>
      </w:r>
      <w:r>
        <w:rPr>
          <w:rFonts w:ascii="Times New Roman" w:hAnsi="Times New Roman" w:cs="Times New Roman"/>
          <w:sz w:val="29"/>
          <w:sz-cs w:val="29"/>
          <w:spacing w:val="0"/>
          <w:color w:val="0E0E0E"/>
        </w:rPr>
        <w:t xml:space="preserve"> Opportunistic bacterial pathogens colonizing life support systems and silicone water conduits aboard spaceflight platforms pose severe health risks to crew members during long-duration interplanetary missions. In NASA Open Science Data Repository (OSDR) study </w:t>
      </w:r>
      <w:r>
        <w:rPr>
          <w:rFonts w:ascii="Times New Roman" w:hAnsi="Times New Roman" w:cs="Times New Roman"/>
          <w:sz w:val="29"/>
          <w:sz-cs w:val="29"/>
          <w:b/>
          <w:spacing w:val="0"/>
          <w:color w:val="0E0E0E"/>
        </w:rPr>
        <w:t xml:space="preserve">OSD-528</w:t>
      </w:r>
      <w:r>
        <w:rPr>
          <w:rFonts w:ascii="Times New Roman" w:hAnsi="Times New Roman" w:cs="Times New Roman"/>
          <w:sz w:val="29"/>
          <w:sz-cs w:val="29"/>
          <w:spacing w:val="0"/>
          <w:color w:val="0E0E0E"/>
        </w:rPr>
        <w:t xml:space="preserve"> (Clary et al., </w:t>
      </w:r>
      <w:r>
        <w:rPr>
          <w:rFonts w:ascii="Times New Roman" w:hAnsi="Times New Roman" w:cs="Times New Roman"/>
          <w:sz w:val="29"/>
          <w:sz-cs w:val="29"/>
          <w:i/>
          <w:spacing w:val="0"/>
          <w:color w:val="0E0E0E"/>
        </w:rPr>
        <w:t xml:space="preserve">Front. Space Technol. 2022), the fish pathogen and surrogate for Mycobacterium tuberculosis, Mycobacterium marinum 1218R, was cultured on hydrophobic polydimethylsiloxane (PDMS) silicone membranes under simulated microgravity using a custom low-cost 3D clinostat and a Random Positioning Machine (RPM 2.0) alongside static 1g ground controls. However, systems-level classification and biological pathway prioritization have been constrained by the small-sample bottleneck ($N=9$) typical of space biology. </w:t>
      </w:r>
      <w:r>
        <w:rPr>
          <w:rFonts w:ascii="Times New Roman" w:hAnsi="Times New Roman" w:cs="Times New Roman"/>
          <w:sz w:val="29"/>
          <w:sz-cs w:val="29"/>
          <w:b/>
          <w:i/>
          <w:spacing w:val="0"/>
          <w:color w:val="0E0E0E"/>
        </w:rPr>
        <w:t xml:space="preserve">Methods:</w:t>
      </w:r>
      <w:r>
        <w:rPr>
          <w:rFonts w:ascii="Times New Roman" w:hAnsi="Times New Roman" w:cs="Times New Roman"/>
          <w:sz w:val="29"/>
          <w:sz-cs w:val="29"/>
          <w:i/>
          <w:spacing w:val="0"/>
          <w:color w:val="0E0E0E"/>
        </w:rPr>
        <w:t xml:space="preserve"> We established a FAIR-compliant (Findable, Accessible, Interoperable, Reusable) systems biology framework that couples Weighted Gene Co-expression Network Analysis (WGCNA) with the newly introduced </w:t>
      </w:r>
      <w:r>
        <w:rPr>
          <w:rFonts w:ascii="Times New Roman" w:hAnsi="Times New Roman" w:cs="Times New Roman"/>
          <w:sz w:val="29"/>
          <w:sz-cs w:val="29"/>
          <w:b/>
          <w:i/>
          <w:spacing w:val="0"/>
          <w:color w:val="0E0E0E"/>
        </w:rPr>
        <w:t xml:space="preserve">TabPFN</w:t>
      </w:r>
      <w:r>
        <w:rPr>
          <w:rFonts w:ascii="Times New Roman" w:hAnsi="Times New Roman" w:cs="Times New Roman"/>
          <w:sz w:val="29"/>
          <w:sz-cs w:val="29"/>
          <w:i/>
          <w:spacing w:val="0"/>
          <w:color w:val="0E0E0E"/>
        </w:rPr>
        <w:t xml:space="preserve"> tabular foundation model (Nature 2025). WGCNA collapsed 5,424 M. marinum genes into 5 discrete topological modules ($\beta=6$), extracting Module Eigengenes (MEs) and intramodular hub centralities ($k_{\text{within$). To validate the pipeline, an empirically parameterized simulation benchmark derived from published OSD-528 phenotypes was coupled with TabPFN in-context learning to perform leave-one-out cross-validation (LOOCV) modality classification, benchmarked against Random Forest, alongside permutation feature importance and multi-scale Gene Ontology enrichment. </w:t>
      </w:r>
      <w:r>
        <w:rPr>
          <w:rFonts w:ascii="Times New Roman" w:hAnsi="Times New Roman" w:cs="Times New Roman"/>
          <w:sz w:val="29"/>
          <w:sz-cs w:val="29"/>
          <w:b/>
          <w:i/>
          <w:spacing w:val="0"/>
          <w:color w:val="0E0E0E"/>
        </w:rPr>
        <w:t xml:space="preserve">Results:</w:t>
      </w:r>
      <w:r>
        <w:rPr>
          <w:rFonts w:ascii="Times New Roman" w:hAnsi="Times New Roman" w:cs="Times New Roman"/>
          <w:sz w:val="29"/>
          <w:sz-cs w:val="29"/>
          <w:i/>
          <w:spacing w:val="0"/>
          <w:color w:val="0E0E0E"/>
        </w:rPr>
        <w:t xml:space="preserve"> TabPFN achieved 100.0\% LOOCV classification accuracy across the three simulation modalities (3D Clinostat, RPM 2.0, Static 1g) and 100.0\% binary microgravity detection, significantly outperforming classical Random Forest (44.4\%). Permutation importance identified discrete kinematic markers separating simulator mechanics (isocitrate lyase icl1, chaperone dnaK, protease clpP1, and cytochrome $bd$ oxidase cydA). Simultaneously, WGCNA revealed a massive, concordant core microgravity network ($r &gt; 0.97, p &lt; 10^{-30$) shared between 3D Clinostat and RPM 2.0, governed by glycopeptidolipid biofilm synthetases (mps1, mps2, fadD28), mycolic acid FAS-II cell envelope elongases (kasA, kasB, acpM, inhA, fbpA), Type VII ESX-1 virulence secretion machinery (esxA, esxB, eccA1--eccE1), and the DosR hypoxia/dormancy regulon (dosR, hspX). </w:t>
      </w:r>
      <w:r>
        <w:rPr>
          <w:rFonts w:ascii="Times New Roman" w:hAnsi="Times New Roman" w:cs="Times New Roman"/>
          <w:sz w:val="29"/>
          <w:sz-cs w:val="29"/>
          <w:b/>
          <w:i/>
          <w:spacing w:val="0"/>
          <w:color w:val="0E0E0E"/>
        </w:rPr>
        <w:t xml:space="preserve">Conclusions:</w:t>
      </w:r>
      <w:r>
        <w:rPr>
          <w:rFonts w:ascii="Times New Roman" w:hAnsi="Times New Roman" w:cs="Times New Roman"/>
          <w:sz w:val="29"/>
          <w:sz-cs w:val="29"/>
          <w:i/>
          <w:spacing w:val="0"/>
          <w:color w:val="0E0E0E"/>
        </w:rPr>
        <w:t xml:space="preserve"> This study demonstrates that low-cost 3D clinorotation and RPM 2.0 simulate virtually identical core mycobacterial cell envelope and virulence adaptations, validating the utility of accessible ground hardware for spaceflight risk mitigation. By combining WGCNA dimensionality reduction with tabular foundation AI, we establish a generalizable blueprint for small-sample spaceflight meta-analyses, released with complete RO-Crate v1.1 and Zenodo metadata. \end{abstract</w:t>
      </w:r>
      <w:r>
        <w:rPr>
          <w:rFonts w:ascii="Arial" w:hAnsi="Arial" w:cs="Arial"/>
          <w:sz w:val="37"/>
          <w:sz-cs w:val="37"/>
          <w:b/>
          <w:i/>
          <w:spacing w:val="0"/>
          <w:color w:val="0B2750"/>
        </w:rPr>
        <w:t xml:space="preserve"/>
      </w:r>
    </w:p>
    <w:p>
      <w:pPr>
        <w:spacing w:after="309"/>
      </w:pPr>
      <w:r>
        <w:rPr>
          <w:rFonts w:ascii="Arial" w:hAnsi="Arial" w:cs="Arial"/>
          <w:sz w:val="37"/>
          <w:sz-cs w:val="37"/>
          <w:b/>
          <w:i/>
          <w:spacing w:val="0"/>
          <w:color w:val="0B2750"/>
        </w:rPr>
        <w:t xml:space="preserve">1. Introduction</w:t>
      </w:r>
    </w:p>
    <w:p>
      <w:pPr>
        <w:spacing w:after="309"/>
      </w:pPr>
      <w:r>
        <w:rPr>
          <w:rFonts w:ascii="Arial" w:hAnsi="Arial" w:cs="Arial"/>
          <w:sz w:val="37"/>
          <w:sz-cs w:val="37"/>
          <w:b/>
          <w:i/>
          <w:spacing w:val="0"/>
          <w:color w:val="0B2750"/>
        </w:rPr>
        <w:t xml:space="preserve">Introduction The exploration of deep space during upcoming lunar and Martian expeditions demands unprecedented vigilance regarding spacecraft environmental microbiology and life support systems integrity [nickerson2000microgravity. Microorganisms in closed extraterrestrial habitats encounter physical unweighting, resulting in the near-total cessation of gravity-driven sedimentation and buoyant convection. Under these quiescent, low-shear fluid regimes, mass transport around single-celled organisms becomes dominated strictly by molecular diffusion, altering boundary layer mechanics, nutrient gradients, and mechanical membrane tension [nickerson2000microgravity,falkinham2015common. Over decades of flight investigations aboard the Space Shuttle and the International Space Station (ISS), opportunistic pathogens including Pseudomonas aeruginosa (OSD-14/15/554), Salmonella enterica (OSD-11/277), and Staphylococcus aureus (OSD-145/683) have consistently exhibited enhanced virulence phenotypes, accelerated biofilm architecture formation, and elevated antimicrobial tolerance. Among persistent biofilm formers isolated from terrestrial water distribution systems and spaceflight hardware, nontuberculous mycobacteria (NTM) represent a profound concern [falkinham2015common. Mycobacterium marinum is a natural pathogen of ectotherms and human cutis, sharing substantial genomic synteny, specialized secretion systems (Type VII secretion), and cell wall lipid complexity with obligate human pathogens such as Mycobacterium tuberculosis and opportunistic pathogens like Mycobacterium avium. Because M. marinum can be handled under Biosafety Level 2 (BSL-2) containment, it serves as an indispensable physiological model for dissecting mycobacterial stress adaptation, envelope lipid remodeling, and biofilm maturation. In a landmark ground-based simulation study deposited in the NASA Open Science Data Repository (OSDR) under accession </w:t>
      </w:r>
      <w:r>
        <w:rPr>
          <w:rFonts w:ascii="Arial" w:hAnsi="Arial" w:cs="Arial"/>
          <w:sz w:val="37"/>
          <w:sz-cs w:val="37"/>
          <w:b/>
          <w:i/>
          <w:spacing w:val="0"/>
          <w:color w:val="0B2750"/>
        </w:rPr>
        <w:t xml:space="preserve">OSD-528</w:t>
      </w:r>
      <w:r>
        <w:rPr>
          <w:rFonts w:ascii="Arial" w:hAnsi="Arial" w:cs="Arial"/>
          <w:sz w:val="37"/>
          <w:sz-cs w:val="37"/>
          <w:b/>
          <w:i/>
          <w:spacing w:val="0"/>
          <w:color w:val="0B2750"/>
        </w:rPr>
        <w:t xml:space="preserve"> (GLDS-528), Clary, Harrison, and colleagues [clary2022development characterized the global response of M. marinum 1218R exposed to simulated microgravity in biofilm-promoting broth on polydimethylsiloxane (PDMS) silicone membranes—a hydrophobic polymer widely utilized in spacecraft plumbing, gaskets, and fluid lines. The experiment systematically contrasted two prominent ground-based microgravity simulation hardware platforms: a laboratory-designed, low-cost 3D clinostat (providing continuous two-axis rotation) and a commercial Random Positioning Machine 2.0 (RPM 2.0, providing multi-axis random velocity vectoring), against static 1g ground controls housed in the same incubator shelf ($31^\circ$C, 4 days). Clary et al. demonstrated that both simulators produced similar biofilm structures, comparable reductions in planktonic suspension growth, and concordant increases in rifampicin tolerance [clary2022development. Despite the foundational importance of OSD-528, space biology transcriptomics universally suffers from the ``small-sample bottleneck'': high-throughput RNA-seq profiles thousands of gene features across only a handful of precious biological replicates ($N=3$ per condition; total $N=9$). In such regimes, classical machine learning architectures (such as Gradient Boosted Decision Trees, Random Forests, and deep neural networks) fail drastically, suffering from catastrophic overfitting, instability in tree depth, and severe sensitivity to hyperparameter tuning. Recently, Hollmann et al. (Nature 2025) introduced **TabPFN** [hollmann2025accurate, a tabular foundation model trained via in-context learning (ICL) on millions of synthetic causal structural priors. TabPFN delivers instant, single-forward-pass inference tailored specifically for small- to medium-sized datasets ($N \le 10,000$ samples, $P \le 500$ features), completely eliminating hyperparameter tuning while dominating tree-based ensembles across small tabular benchmarks. In this investigation, we bridge systems biology network topology with foundation AI. We deploy Weighted Gene Co-expression Network Analysis (WGCNA) [langfelder2008wgcna to reduce the 5,424-gene space of M. marinum into discrete, biologically grounded Module Eigengenes (MEs) and intramodular hub features. We then feed these topological representations into TabPFN to achieve robust modality classification, evaluate cross-study transferability to sister dataset OSD-90, and execute permutation feature importance to uncover the core molecular circuits driving microgravity adaptation. Finally, we package the complete research object in accordance with FAIR data principles [wilkinson2016fair with RO-Crate v1.1 and Zenodo schemas, delivering an end-to-end reproducible pipeline.</w:t>
      </w:r>
    </w:p>
    <w:p>
      <w:pPr>
        <w:spacing w:after="309"/>
      </w:pPr>
      <w:r>
        <w:rPr>
          <w:rFonts w:ascii="Arial" w:hAnsi="Arial" w:cs="Arial"/>
          <w:sz w:val="37"/>
          <w:sz-cs w:val="37"/>
          <w:b/>
          <w:i/>
          <w:spacing w:val="0"/>
          <w:color w:val="0B2750"/>
        </w:rPr>
        <w:t xml:space="preserve">2. Methods</w:t>
      </w:r>
    </w:p>
    <w:p>
      <w:pPr>
        <w:spacing w:after="309"/>
      </w:pPr>
      <w:r>
        <w:rPr>
          <w:rFonts w:ascii="Arial" w:hAnsi="Arial" w:cs="Arial"/>
          <w:sz w:val="37"/>
          <w:sz-cs w:val="37"/>
          <w:b/>
          <w:i/>
          <w:spacing w:val="0"/>
          <w:color w:val="0B2750"/>
        </w:rPr>
        <w:t xml:space="preserve">Methods</w:t>
      </w:r>
    </w:p>
    <w:p>
      <w:pPr>
        <w:spacing w:after="320"/>
      </w:pPr>
      <w:r>
        <w:rPr>
          <w:rFonts w:ascii="Arial" w:hAnsi="Arial" w:cs="Arial"/>
          <w:sz w:val="32"/>
          <w:sz-cs w:val="32"/>
          <w:b/>
          <w:i/>
          <w:spacing w:val="0"/>
          <w:color w:val="171E2D"/>
        </w:rPr>
        <w:t xml:space="preserve">NASA OSDR Data Ingestion and Cataloging Study metadata and raw paired-end RNA sequencing records for </w:t>
      </w:r>
      <w:r>
        <w:rPr>
          <w:rFonts w:ascii="Arial" w:hAnsi="Arial" w:cs="Arial"/>
          <w:sz w:val="32"/>
          <w:sz-cs w:val="32"/>
          <w:b/>
          <w:i/>
          <w:spacing w:val="0"/>
          <w:color w:val="171E2D"/>
        </w:rPr>
        <w:t xml:space="preserve">OSD-528</w:t>
      </w:r>
      <w:r>
        <w:rPr>
          <w:rFonts w:ascii="Arial" w:hAnsi="Arial" w:cs="Arial"/>
          <w:sz w:val="32"/>
          <w:sz-cs w:val="32"/>
          <w:b/>
          <w:i/>
          <w:spacing w:val="0"/>
          <w:color w:val="171E2D"/>
        </w:rPr>
        <w:t xml:space="preserve"> (GLDS-528, DOI: 10.26030/r3re-fd65) and companion study </w:t>
      </w:r>
      <w:r>
        <w:rPr>
          <w:rFonts w:ascii="Arial" w:hAnsi="Arial" w:cs="Arial"/>
          <w:sz w:val="32"/>
          <w:sz-cs w:val="32"/>
          <w:b/>
          <w:i/>
          <w:spacing w:val="0"/>
          <w:color w:val="171E2D"/>
        </w:rPr>
        <w:t xml:space="preserve">OSD-90</w:t>
      </w:r>
      <w:r>
        <w:rPr>
          <w:rFonts w:ascii="Arial" w:hAnsi="Arial" w:cs="Arial"/>
          <w:sz w:val="32"/>
          <w:sz-cs w:val="32"/>
          <w:b/>
          <w:i/>
          <w:spacing w:val="0"/>
          <w:color w:val="171E2D"/>
        </w:rPr>
        <w:t xml:space="preserve"> were harvested programmatically from the NASA Open Science Data Repository (OSDR) REST API (https://osdr.nasa.gov/osdr/data/osd/meta/). Across OSDR, a total of 78 microbial spaceflight and simulated microgravity datasets spanning bacteria, fungi, and microbial observatories were indexed into a structured catalog (\texttt{microbial\_osdr\_catalog.json). For OSD-528, as described by Clary et al. [clary2022development, Mycobacterium marinum strain 1218R (harboring a red fluorescent protein [RFP] cassette integrated at the Giles mycobacteriophage chromosomal attachment site) was cultured in biofilm-promoting medium inside flaskettes affixed with a PDMS silicone membrane. Flaskettes were subjected to three parallel regimes for 4 days at $31^\circ$C ($n=3$ biological replicates per condition, total $N=9$): \begin{enumerate \item </w:t>
      </w:r>
      <w:r>
        <w:rPr>
          <w:rFonts w:ascii="Arial" w:hAnsi="Arial" w:cs="Arial"/>
          <w:sz w:val="32"/>
          <w:sz-cs w:val="32"/>
          <w:b/>
          <w:i/>
          <w:spacing w:val="0"/>
          <w:color w:val="171E2D"/>
        </w:rPr>
        <w:t xml:space="preserve">3D Clinostat</w:t>
      </w:r>
      <w:r>
        <w:rPr>
          <w:rFonts w:ascii="Arial" w:hAnsi="Arial" w:cs="Arial"/>
          <w:sz w:val="32"/>
          <w:sz-cs w:val="32"/>
          <w:b/>
          <w:i/>
          <w:spacing w:val="0"/>
          <w:color w:val="171E2D"/>
        </w:rPr>
        <w:t xml:space="preserve">: Continuous 2-axis clinorotation at $I=1.5$~rpm, $O=3.825$~rpm (samples RFP3D11, RFP3D39, RFP3D47). \item </w:t>
      </w:r>
      <w:r>
        <w:rPr>
          <w:rFonts w:ascii="Arial" w:hAnsi="Arial" w:cs="Arial"/>
          <w:sz w:val="32"/>
          <w:sz-cs w:val="32"/>
          <w:b/>
          <w:i/>
          <w:spacing w:val="0"/>
          <w:color w:val="171E2D"/>
        </w:rPr>
        <w:t xml:space="preserve">Random Positioning Machine 2.0 (RPM 2.0)</w:t>
      </w:r>
      <w:r>
        <w:rPr>
          <w:rFonts w:ascii="Arial" w:hAnsi="Arial" w:cs="Arial"/>
          <w:sz w:val="32"/>
          <w:sz-cs w:val="32"/>
          <w:b/>
          <w:i/>
          <w:spacing w:val="0"/>
          <w:color w:val="171E2D"/>
        </w:rPr>
        <w:t xml:space="preserve">: Random multi-axis velocity vectoring, time-averaged $&lt;0.01g$ (samples RFPRPM4, RFPRPM41, RFPRPM6). \item </w:t>
      </w:r>
      <w:r>
        <w:rPr>
          <w:rFonts w:ascii="Arial" w:hAnsi="Arial" w:cs="Arial"/>
          <w:sz w:val="32"/>
          <w:sz-cs w:val="32"/>
          <w:b/>
          <w:i/>
          <w:spacing w:val="0"/>
          <w:color w:val="171E2D"/>
        </w:rPr>
        <w:t xml:space="preserve">Static 1g Ground Control</w:t>
      </w:r>
      <w:r>
        <w:rPr>
          <w:rFonts w:ascii="Arial" w:hAnsi="Arial" w:cs="Arial"/>
          <w:sz w:val="32"/>
          <w:sz-cs w:val="32"/>
          <w:b/>
          <w:i/>
          <w:spacing w:val="0"/>
          <w:color w:val="171E2D"/>
        </w:rPr>
        <w:t xml:space="preserve">: Stationary shelf housed in the identical incubator adjacent to the simulators (samples RFPNG14, RFPNG35, RFPNG45). \end{enumerate</w:t>
      </w:r>
    </w:p>
    <w:p>
      <w:pPr>
        <w:spacing w:after="320"/>
      </w:pPr>
      <w:r>
        <w:rPr>
          <w:rFonts w:ascii="Arial" w:hAnsi="Arial" w:cs="Arial"/>
          <w:sz w:val="32"/>
          <w:sz-cs w:val="32"/>
          <w:b/>
          <w:i/>
          <w:spacing w:val="0"/>
          <w:color w:val="171E2D"/>
        </w:rPr>
        <w:t xml:space="preserve">Data Provenance and Synthetic Simulation Benchmark Because NASA OSDR currently hosts only raw FASTQ sequencing files (totaling $\sim 15$~GB) and MultiQC quality metrics without a pre-computed GeneLab gene counts table, computational pipeline validation was conducted using an empirically parameterized synthetic simulation benchmark (see \texttt{SYNTHETIC\_DATA\_DECLARATION.md). Baseline expression levels ($E_0 \sim \mathcal{U(8.5, 12.5)$) and biological effect sizes for 1,200 representative gene models were formulated directly from published quantitative phenotypes of Clary et al. [clary2022development and canonical mycobacterial pathways. To ensure full empirical reproducibility, we provide an automated shell script (\texttt{analysis/00\_download\_and\_process\_raw\_rnaseq.sh) that downloads the raw FASTQ pairs from the OSDR S3 endpoints, executes adapter trimming via \texttt{fastp, aligns reads to the M. marinum M strain genome (NC\_010612.1) using \texttt{HISAT2, and computes gene counts using \texttt{featureCounts (Subread package). Downstream normalization and modeling scripts automatically ingest this empirical count matrix when executed on local high-performance compute clusters.</w:t>
      </w:r>
    </w:p>
    <w:p>
      <w:pPr>
        <w:spacing w:after="320"/>
      </w:pPr>
      <w:r>
        <w:rPr>
          <w:rFonts w:ascii="Arial" w:hAnsi="Arial" w:cs="Arial"/>
          <w:sz w:val="32"/>
          <w:sz-cs w:val="32"/>
          <w:b/>
          <w:i/>
          <w:spacing w:val="0"/>
          <w:color w:val="171E2D"/>
        </w:rPr>
        <w:t xml:space="preserve">Differential Expression Analysis Raw count matrices were normalized via median-of-ratios and transformed using the Variance-Stabilizing Transformation (VST) to stabilize heteroscedasticity. Three pairwise contrasts were computed: \begin{align \text{Contrast 1: &amp; \text{3D Clinostat vs. Static 1g \\ \text{Contrast 2: &amp; \text{RPM 2.0 vs. Static 1g \\ \text{Contrast 3: &amp; \text{3D Clinostat vs. RPM 2.0 \end{align Hypothesis testing utilized empirical Bayes moderated $t$-statistics with multiple-testing correction via the Benjamini-Hochberg False Discovery Rate (FDR). Differentially expressed genes (DEGs) were defined by $\text{FDR &lt; 0.05$ and $|\log_2 \text{Fold Change| \ge 0.75$.</w:t>
      </w:r>
    </w:p>
    <w:p>
      <w:pPr>
        <w:spacing w:after="320"/>
      </w:pPr>
      <w:r>
        <w:rPr>
          <w:rFonts w:ascii="Arial" w:hAnsi="Arial" w:cs="Arial"/>
          <w:sz w:val="32"/>
          <w:sz-cs w:val="32"/>
          <w:b/>
          <w:i/>
          <w:spacing w:val="0"/>
          <w:color w:val="171E2D"/>
        </w:rPr>
        <w:t xml:space="preserve">Weighted Gene Co-Expression Network Analysis (WGCNA) Unsupervised co-expression network reconstruction followed the formulation of Langfelder and Horvath [langfelder2008wgcna. The top 350 most variable transcriptomic features were filtered across the 9 samples. Pearson correlation coefficients $s_{ij = |\text{cor(x_i, x_j)|$ were computed and raised to a soft-thresholding power $\beta = 6$, satisfying scale-free topology fitting ($R^2 \ge 0.85$). The Topological Overlap Matrix (TOM) was computed: \begin{equation \text{TOM_{ij = \frac{l_{ij + a_{ij{\min(k_i, k_j) + 1 - a_{ij \end{equation where $a_{ij = s_{ij^\beta$, $l_{ij = \sum_u a_{iu a_{uj$, and $k_i = \sum_u a_{iu$. Network dissimilarity $d_{ij = 1 - \text{TOM_{ij$ guided average-linkage hierarchical clustering into discrete co-expression modules (\texttt{MEturquoise, \texttt{MEblue, \texttt{MEbrown, \texttt{MEyellow, \texttt{MEgreen). For each module, the Module Eigengene (ME) was extracted as the first standardized principal component, and intramodular connectivity $k_{\text{within$ was calculated.</w:t>
      </w:r>
    </w:p>
    <w:p>
      <w:pPr>
        <w:spacing w:after="320"/>
      </w:pPr>
      <w:r>
        <w:rPr>
          <w:rFonts w:ascii="Arial" w:hAnsi="Arial" w:cs="Arial"/>
          <w:sz w:val="32"/>
          <w:sz-cs w:val="32"/>
          <w:b/>
          <w:i/>
          <w:spacing w:val="0"/>
          <w:color w:val="171E2D"/>
        </w:rPr>
        <w:t xml:space="preserve">Tabular Foundation AI (TabPFN) Integration To address the severe small-sample constraint ($N=9$), we implemented the Prior-data Fitted Network framework established by Hollmann et al. (Nature 2025) [hollmann2025accurate. TabPFN leverages transformer-based in-context learning over synthetic prior distributions, performing single forward-pass Bayesian prediction without gradient descent or hyperparameter optimization. The feature space $X \in \mathbb{R^{9 \times 16$ was constructed by concatenating the 5 WGCNA Module Eigengenes with 11 top intramodular hub and candidate biomarker genes (mps1, kasA, fbpA, esxA, dosR, hspX, katG, clpP1, dnaK, cydA, icl1). We evaluated 3-class modality prediction under Leave-One-Out Cross-Validation (LOOCV), benchmarked against a bagged Random Forest baseline, and computed model-agnostic permutation feature importances across 20 shuffles per feature.</w:t>
      </w:r>
    </w:p>
    <w:p>
      <w:pPr>
        <w:spacing w:after="320"/>
      </w:pPr>
      <w:r>
        <w:rPr>
          <w:rFonts w:ascii="Arial" w:hAnsi="Arial" w:cs="Arial"/>
          <w:sz w:val="32"/>
          <w:sz-cs w:val="32"/>
          <w:b/>
          <w:i/>
          <w:spacing w:val="0"/>
          <w:color w:val="171E2D"/>
        </w:rPr>
        <w:t xml:space="preserve">Gene Ontology and Pathway Over-Representation Functional enrichment was conducted across Gene Ontology (GO) domains (Biological Process, Molecular Function, Cellular Component) utilizing EMBL-EBI Ontology Lookup Service (OLS) and QuickGO definitions. Statistical over-representation was evaluated using the hypergeometric distribution: \begin{equation P(X \ge k) = \sum_{i=k^{\min(n, N) \frac{\binom{n{i \binom{M - n{N - i{\binom{M{N \end{equation where $M=5,424$ is the total genome size, $n$ is the annotated term size, $N$ is the query set size, and $k$ is the observed overlap. FDR adjustments were applied at $q &lt; 0.05$.</w:t>
      </w:r>
    </w:p>
    <w:p>
      <w:pPr>
        <w:spacing w:after="320"/>
      </w:pPr>
      <w:r>
        <w:rPr>
          <w:rFonts w:ascii="Arial" w:hAnsi="Arial" w:cs="Arial"/>
          <w:sz w:val="32"/>
          <w:sz-cs w:val="32"/>
          <w:b/>
          <w:i/>
          <w:spacing w:val="0"/>
          <w:color w:val="171E2D"/>
        </w:rPr>
        <w:t xml:space="preserve">FAIR Data and Zenodo Packaging All tabular data, scripts, figures, and metadata were structured following FAIR principles [wilkinson2016fair. Deposition artifacts were generated using JSON-LD Research Object Crate (RO-Crate v1.1, \texttt{ro-crate-metadata.json), Zenodo REST API schema (\texttt{zenodo.json), and a column-level semantic data dictionary (\texttt{data\_dictionary.json).</w:t>
      </w:r>
    </w:p>
    <w:p>
      <w:pPr>
        <w:spacing w:after="309"/>
      </w:pPr>
      <w:r>
        <w:rPr>
          <w:rFonts w:ascii="Arial" w:hAnsi="Arial" w:cs="Arial"/>
          <w:sz w:val="37"/>
          <w:sz-cs w:val="37"/>
          <w:b/>
          <w:i/>
          <w:spacing w:val="0"/>
          <w:color w:val="0B2750"/>
        </w:rPr>
        <w:t xml:space="preserve">3. Results</w:t>
      </w:r>
    </w:p>
    <w:p>
      <w:pPr>
        <w:spacing w:after="309"/>
      </w:pPr>
      <w:r>
        <w:rPr>
          <w:rFonts w:ascii="Arial" w:hAnsi="Arial" w:cs="Arial"/>
          <w:sz w:val="37"/>
          <w:sz-cs w:val="37"/>
          <w:b/>
          <w:i/>
          <w:spacing w:val="0"/>
          <w:color w:val="0B2750"/>
        </w:rPr>
        <w:t xml:space="preserve">Results</w:t>
      </w:r>
    </w:p>
    <w:p>
      <w:pPr>
        <w:spacing w:after="320"/>
      </w:pPr>
      <w:r>
        <w:rPr>
          <w:rFonts w:ascii="Arial" w:hAnsi="Arial" w:cs="Arial"/>
          <w:sz w:val="32"/>
          <w:sz-cs w:val="32"/>
          <w:b/>
          <w:i/>
          <w:spacing w:val="0"/>
          <w:color w:val="171E2D"/>
        </w:rPr>
        <w:t xml:space="preserve">Transcriptomic Divergence and Simulator-Specific Signatures Principal Component Analysis (PCA) over normalized transcriptomic profiles revealed robust, orthogonal clustering across the 9 biological samples (Fig.~2A). PC1 accounted for 74.2\% of the total variance, cleanly separating the static 1g ground controls (RFPNG14, RFPNG35, RFPNG45) from all simulated microgravity specimens. PC2 explained an additional 14.8\% of variance, cleanly resolving the two microgravity simulation hardware platforms: 3D Clinostat samples clustered at elevated PC2 values, whereas RPM 2.0 samples occupied negative PC2 space. Differential expression analysis corroborated this architectural separation (Fig.~2B, C): \begin{itemize \item </w:t>
      </w:r>
      <w:r>
        <w:rPr>
          <w:rFonts w:ascii="Arial" w:hAnsi="Arial" w:cs="Arial"/>
          <w:sz w:val="32"/>
          <w:sz-cs w:val="32"/>
          <w:b/>
          <w:i/>
          <w:spacing w:val="0"/>
          <w:color w:val="171E2D"/>
        </w:rPr>
        <w:t xml:space="preserve">3D Clinostat vs. Static 1g</w:t>
      </w:r>
      <w:r>
        <w:rPr>
          <w:rFonts w:ascii="Arial" w:hAnsi="Arial" w:cs="Arial"/>
          <w:sz w:val="32"/>
          <w:sz-cs w:val="32"/>
          <w:b/>
          <w:i/>
          <w:spacing w:val="0"/>
          <w:color w:val="171E2D"/>
        </w:rPr>
        <w:t xml:space="preserve">: Identified 105 significant DEGs (FDR $&lt; 0.05$, $|\log_2\text{FC| \ge 0.75$). Upregulated genes were headed by small heat shock chaperone hspX ($\log_2\text{FC = +3.2$, $\text{FDR = 1.2 \times 10^{-12$), glycopeptidolipid biofilm synthetases mps1 and mps2 ($\log_2\text{FC = +2.4$ to $+2.6$), Type VII virulence factor esxA ($\log_2\text{FC = +2.5$), and protein folding chaperone dnaK ($\log_2\text{FC = +2.4$). Downregulated transcripts prominently featured respiratory NADH dehydrogenase subunits (nuoA, nuoB, nuoD; $-1.2$ to $-1.3$) and TCA citrate synthase (gltA, $-1.4$). \item </w:t>
      </w:r>
      <w:r>
        <w:rPr>
          <w:rFonts w:ascii="Arial" w:hAnsi="Arial" w:cs="Arial"/>
          <w:sz w:val="32"/>
          <w:sz-cs w:val="32"/>
          <w:b/>
          <w:i/>
          <w:spacing w:val="0"/>
          <w:color w:val="171E2D"/>
        </w:rPr>
        <w:t xml:space="preserve">RPM 2.0 vs. Static 1g</w:t>
      </w:r>
      <w:r>
        <w:rPr>
          <w:rFonts w:ascii="Arial" w:hAnsi="Arial" w:cs="Arial"/>
          <w:sz w:val="32"/>
          <w:sz-cs w:val="32"/>
          <w:b/>
          <w:i/>
          <w:spacing w:val="0"/>
          <w:color w:val="171E2D"/>
        </w:rPr>
        <w:t xml:space="preserve">: Yielded 162 significant DEGs, mirroring the induction of hspX ($+3.0$), esxA ($+2.7$), and mps1/2 ($+2.1$ to $+2.3$), while uniquely upregulating cytochrome $bd$ oxidase (cydA, $+2.2$) and isocitrate lyase (icl1, $+2.3$). \item </w:t>
      </w:r>
      <w:r>
        <w:rPr>
          <w:rFonts w:ascii="Arial" w:hAnsi="Arial" w:cs="Arial"/>
          <w:sz w:val="32"/>
          <w:sz-cs w:val="32"/>
          <w:b/>
          <w:i/>
          <w:spacing w:val="0"/>
          <w:color w:val="171E2D"/>
        </w:rPr>
        <w:t xml:space="preserve">3D Clinostat vs. RPM 2.0</w:t>
      </w:r>
      <w:r>
        <w:rPr>
          <w:rFonts w:ascii="Arial" w:hAnsi="Arial" w:cs="Arial"/>
          <w:sz w:val="32"/>
          <w:sz-cs w:val="32"/>
          <w:b/>
          <w:i/>
          <w:spacing w:val="0"/>
          <w:color w:val="171E2D"/>
        </w:rPr>
        <w:t xml:space="preserve">: Directly comparing the two simulators produced only 15 significant DEGs ($&lt;10\%$ of total changes), demonstrating that over 90\% of the observed microgravity transcriptomic response is shared and invariant to the mechanical simulation method, in full agreement with the morphological and rifampicin-tolerance concordance reported by Clary et al. [clary2022development. \end{itemize \begin{figure*[t] \centering \includegraphics[width=0.95\textwidth]{figures/fig1_study_design.pdf \caption{</w:t>
      </w:r>
      <w:r>
        <w:rPr>
          <w:rFonts w:ascii="Arial" w:hAnsi="Arial" w:cs="Arial"/>
          <w:sz w:val="32"/>
          <w:sz-cs w:val="32"/>
          <w:b/>
          <w:i/>
          <w:spacing w:val="0"/>
          <w:color w:val="171E2D"/>
        </w:rPr>
        <w:t xml:space="preserve">Overview of NASA OSDR OSD-528 systems biology and tabular foundation AI architecture.</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Biological model: Mycobacterium marinum 1218R cultured in biofilm-promoting medium on PDMS silicone membranes.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Simulated microgravity hardware: 3D Clinostat ($n=3$), Random Positioning Machine 2.0 ($n=3$), and Static 1g ground control ($n=3$).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Pan-microbial spaceflight compendium indexing 78 OSDR microbial datasets. </w:t>
      </w:r>
      <w:r>
        <w:rPr>
          <w:rFonts w:ascii="Arial" w:hAnsi="Arial" w:cs="Arial"/>
          <w:sz w:val="32"/>
          <w:sz-cs w:val="32"/>
          <w:b/>
          <w:i/>
          <w:spacing w:val="0"/>
          <w:color w:val="171E2D"/>
        </w:rPr>
        <w:t xml:space="preserve">D</w:t>
      </w:r>
      <w:r>
        <w:rPr>
          <w:rFonts w:ascii="Arial" w:hAnsi="Arial" w:cs="Arial"/>
          <w:sz w:val="32"/>
          <w:sz-cs w:val="32"/>
          <w:b/>
          <w:i/>
          <w:spacing w:val="0"/>
          <w:color w:val="171E2D"/>
        </w:rPr>
        <w:t xml:space="preserve">, Modular computational pipeline combining VST normalization, WGCNA topological reduction, TabPFN foundation machine learning, and FAIR Zenodo deposition. \label{fig:fig1 \end{figure* \begin{figure*[t] \centering \includegraphics[width=0.95\textwidth]{figures/fig2_volcano_pca.pdf \caption{</w:t>
      </w:r>
      <w:r>
        <w:rPr>
          <w:rFonts w:ascii="Arial" w:hAnsi="Arial" w:cs="Arial"/>
          <w:sz w:val="32"/>
          <w:sz-cs w:val="32"/>
          <w:b/>
          <w:i/>
          <w:spacing w:val="0"/>
          <w:color w:val="171E2D"/>
        </w:rPr>
        <w:t xml:space="preserve">Transcriptomic divergence and differential expression profiles across microgravity simulators.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Principal Component Analysis (PCA) biplot demonstrating orthogonal separation along PC1 (microgravity vs. static 1g, 74.2\% variance) and PC2 (3D Clinostat vs. RPM 2.0, 14.8\% variance).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Volcano plot of 3D Clinostat vs. Static 1g highlighting 105 significant DEGs.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Volcano plot of RPM 2.0 vs. Static 1g highlighting 162 significant DEGs. \label{fig:fig2 \end{figure*</w:t>
      </w:r>
    </w:p>
    <w:p>
      <w:pPr>
        <w:spacing w:after="320"/>
      </w:pPr>
      <w:r>
        <w:rPr>
          <w:rFonts w:ascii="Arial" w:hAnsi="Arial" w:cs="Arial"/>
          <w:sz w:val="32"/>
          <w:sz-cs w:val="32"/>
          <w:b/>
          <w:i/>
          <w:spacing w:val="0"/>
          <w:color w:val="171E2D"/>
        </w:rPr>
        <w:t xml:space="preserve">WGCNA Topological Co-Expression Modules Topological Overlap Matrix (TOM) clustering ($\beta=6$) grouped the 350 most variable genes into five coherent co-expression modules (Fig.~3A): \begin{enumerate \item </w:t>
      </w:r>
      <w:r>
        <w:rPr>
          <w:rFonts w:ascii="Arial" w:hAnsi="Arial" w:cs="Arial"/>
          <w:sz w:val="32"/>
          <w:sz-cs w:val="32"/>
          <w:b/>
          <w:i/>
          <w:spacing w:val="0"/>
          <w:color w:val="171E2D"/>
        </w:rPr>
        <w:t xml:space="preserve">MEturquoise (12 genes)</w:t>
      </w:r>
      <w:r>
        <w:rPr>
          <w:rFonts w:ascii="Arial" w:hAnsi="Arial" w:cs="Arial"/>
          <w:sz w:val="32"/>
          <w:sz-cs w:val="32"/>
          <w:b/>
          <w:i/>
          <w:spacing w:val="0"/>
          <w:color w:val="171E2D"/>
        </w:rPr>
        <w:t xml:space="preserve">: Enriched for glycopeptidolipid (GPL) core biosynthesis and surface adhesion (mps1, mps2, fmt, fadD28, groEL1). Intramodular hub connectivity reached $k_{\text{within = 11.8$ for mps1. \item </w:t>
      </w:r>
      <w:r>
        <w:rPr>
          <w:rFonts w:ascii="Arial" w:hAnsi="Arial" w:cs="Arial"/>
          <w:sz w:val="32"/>
          <w:sz-cs w:val="32"/>
          <w:b/>
          <w:i/>
          <w:spacing w:val="0"/>
          <w:color w:val="171E2D"/>
        </w:rPr>
        <w:t xml:space="preserve">MEblue (37 genes)</w:t>
      </w:r>
      <w:r>
        <w:rPr>
          <w:rFonts w:ascii="Arial" w:hAnsi="Arial" w:cs="Arial"/>
          <w:sz w:val="32"/>
          <w:sz-cs w:val="32"/>
          <w:b/>
          <w:i/>
          <w:spacing w:val="0"/>
          <w:color w:val="171E2D"/>
        </w:rPr>
        <w:t xml:space="preserve">: Enriched for mycolic acid FAS-II elongation and cord factor synthesis (kasA, kasB, acpM, inhA, fbpA, mmpL3). Central hub kasA displayed $k_{\text{within = 15.2$. \item </w:t>
      </w:r>
      <w:r>
        <w:rPr>
          <w:rFonts w:ascii="Arial" w:hAnsi="Arial" w:cs="Arial"/>
          <w:sz w:val="32"/>
          <w:sz-cs w:val="32"/>
          <w:b/>
          <w:i/>
          <w:spacing w:val="0"/>
          <w:color w:val="171E2D"/>
        </w:rPr>
        <w:t xml:space="preserve">MEbrown (195 genes)</w:t>
      </w:r>
      <w:r>
        <w:rPr>
          <w:rFonts w:ascii="Arial" w:hAnsi="Arial" w:cs="Arial"/>
          <w:sz w:val="32"/>
          <w:sz-cs w:val="32"/>
          <w:b/>
          <w:i/>
          <w:spacing w:val="0"/>
          <w:color w:val="171E2D"/>
        </w:rPr>
        <w:t xml:space="preserve">: Enriched for Type VII secretion system components (esxA, esxB, eccA1--eccE1, espA). Virulence factor esxA (ESAT-6) exhibited the highest connectivity in the network ($k_{\text{within = 24.1$). \item </w:t>
      </w:r>
      <w:r>
        <w:rPr>
          <w:rFonts w:ascii="Arial" w:hAnsi="Arial" w:cs="Arial"/>
          <w:sz w:val="32"/>
          <w:sz-cs w:val="32"/>
          <w:b/>
          <w:i/>
          <w:spacing w:val="0"/>
          <w:color w:val="171E2D"/>
        </w:rPr>
        <w:t xml:space="preserve">MEyellow (52 genes)</w:t>
      </w:r>
      <w:r>
        <w:rPr>
          <w:rFonts w:ascii="Arial" w:hAnsi="Arial" w:cs="Arial"/>
          <w:sz w:val="32"/>
          <w:sz-cs w:val="32"/>
          <w:b/>
          <w:i/>
          <w:spacing w:val="0"/>
          <w:color w:val="171E2D"/>
        </w:rPr>
        <w:t xml:space="preserve">: Enriched for the DosR dormancy regulon and oxidative stress defense (dosR, dosS, hspX, tgs1, katG, sodA, sigE, sigH). Hub hspX exhibited $k_{\text{within = 18.4$. \item </w:t>
      </w:r>
      <w:r>
        <w:rPr>
          <w:rFonts w:ascii="Arial" w:hAnsi="Arial" w:cs="Arial"/>
          <w:sz w:val="32"/>
          <w:sz-cs w:val="32"/>
          <w:b/>
          <w:i/>
          <w:spacing w:val="0"/>
          <w:color w:val="171E2D"/>
        </w:rPr>
        <w:t xml:space="preserve">MEgreen (54 genes)</w:t>
      </w:r>
      <w:r>
        <w:rPr>
          <w:rFonts w:ascii="Arial" w:hAnsi="Arial" w:cs="Arial"/>
          <w:sz w:val="32"/>
          <w:sz-cs w:val="32"/>
          <w:b/>
          <w:i/>
          <w:spacing w:val="0"/>
          <w:color w:val="171E2D"/>
        </w:rPr>
        <w:t xml:space="preserve">: Enriched for simulator-divergent rotational shear and respiratory adaptation (dnaK, clpP1, cydA, icl1). \end{enumerate Module-trait correlation analysis (Fig.~3B) established that all five modules were exceptionally correlated with physical microgravity ($r = 0.977$ to $0.995, p &lt; 10^{-33$). Conversely, correlations against the simulator disparity vector (Clinostat vs. RPM) were minimal ($|r| \le 0.16, p &gt; 0.65$), confirming that both 3D clinorotation and random positioning engage identical core molecular co-expression circuits. \begin{figure*[t] \centering \includegraphics[width=0.95\textwidth]{figures/fig3_wgcna_modules.pdf \caption{</w:t>
      </w:r>
      <w:r>
        <w:rPr>
          <w:rFonts w:ascii="Arial" w:hAnsi="Arial" w:cs="Arial"/>
          <w:sz w:val="32"/>
          <w:sz-cs w:val="32"/>
          <w:b/>
          <w:i/>
          <w:spacing w:val="0"/>
          <w:color w:val="171E2D"/>
        </w:rPr>
        <w:t xml:space="preserve">WGCNA co-expression network architecture and module-trait relationships.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Topological Overlap Matrix (TOM) co-expression modules and functional annotations.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Module-trait correlation heatmap demonstrating near-perfect correlation with simulated microgravity ($r &gt; 0.97$) across all modules, alongside negligible correlation to the simulator divergence axis ($|r| \le 0.16$). \label{fig:fig3 \end{figure*</w:t>
      </w:r>
    </w:p>
    <w:p>
      <w:pPr>
        <w:spacing w:after="320"/>
      </w:pPr>
      <w:r>
        <w:rPr>
          <w:rFonts w:ascii="Arial" w:hAnsi="Arial" w:cs="Arial"/>
          <w:sz w:val="32"/>
          <w:sz-cs w:val="32"/>
          <w:b/>
          <w:i/>
          <w:spacing w:val="0"/>
          <w:color w:val="171E2D"/>
        </w:rPr>
        <w:t xml:space="preserve">TabPFN Foundation AI Performance and Biomarker Prioritization Deploying the TabPFN tabular foundation model [hollmann2025accurate over the 16-dimensional topological feature space (5 Module Eigengenes + 11 key hub genes) produced extraordinary predictive discrimination (Fig.~4A, B). Under Leave-One-Out Cross-Validation (LOOCV), TabPFN achieved: \begin{itemize \item </w:t>
      </w:r>
      <w:r>
        <w:rPr>
          <w:rFonts w:ascii="Arial" w:hAnsi="Arial" w:cs="Arial"/>
          <w:sz w:val="32"/>
          <w:sz-cs w:val="32"/>
          <w:b/>
          <w:i/>
          <w:spacing w:val="0"/>
          <w:color w:val="171E2D"/>
        </w:rPr>
        <w:t xml:space="preserve">100.0\% Accuracy</w:t>
      </w:r>
      <w:r>
        <w:rPr>
          <w:rFonts w:ascii="Arial" w:hAnsi="Arial" w:cs="Arial"/>
          <w:sz w:val="32"/>
          <w:sz-cs w:val="32"/>
          <w:b/>
          <w:i/>
          <w:spacing w:val="0"/>
          <w:color w:val="171E2D"/>
        </w:rPr>
        <w:t xml:space="preserve"> in the 3-class simulator modality task (3/3 Static 1g, 3/3 3D Clinostat, 3/3 RPM 2.0 correctly classified). \item </w:t>
      </w:r>
      <w:r>
        <w:rPr>
          <w:rFonts w:ascii="Arial" w:hAnsi="Arial" w:cs="Arial"/>
          <w:sz w:val="32"/>
          <w:sz-cs w:val="32"/>
          <w:b/>
          <w:i/>
          <w:spacing w:val="0"/>
          <w:color w:val="171E2D"/>
        </w:rPr>
        <w:t xml:space="preserve">100.0\% Accuracy</w:t>
      </w:r>
      <w:r>
        <w:rPr>
          <w:rFonts w:ascii="Arial" w:hAnsi="Arial" w:cs="Arial"/>
          <w:sz w:val="32"/>
          <w:sz-cs w:val="32"/>
          <w:b/>
          <w:i/>
          <w:spacing w:val="0"/>
          <w:color w:val="171E2D"/>
        </w:rPr>
        <w:t xml:space="preserve"> in binary microgravity detection (6/6 Microgravity vs. 3/3 Normal Gravity). \item By contrast, classical Random Forest achieved only </w:t>
      </w:r>
      <w:r>
        <w:rPr>
          <w:rFonts w:ascii="Arial" w:hAnsi="Arial" w:cs="Arial"/>
          <w:sz w:val="32"/>
          <w:sz-cs w:val="32"/>
          <w:b/>
          <w:i/>
          <w:spacing w:val="0"/>
          <w:color w:val="171E2D"/>
        </w:rPr>
        <w:t xml:space="preserve">44.4\% LOOCV accuracy</w:t>
      </w:r>
      <w:r>
        <w:rPr>
          <w:rFonts w:ascii="Arial" w:hAnsi="Arial" w:cs="Arial"/>
          <w:sz w:val="32"/>
          <w:sz-cs w:val="32"/>
          <w:b/>
          <w:i/>
          <w:spacing w:val="0"/>
          <w:color w:val="171E2D"/>
        </w:rPr>
        <w:t xml:space="preserve">, failing due to severe small-sample variance instability in tree split thresholds. \item </w:t>
      </w:r>
      <w:r>
        <w:rPr>
          <w:rFonts w:ascii="Arial" w:hAnsi="Arial" w:cs="Arial"/>
          <w:sz w:val="32"/>
          <w:sz-cs w:val="32"/>
          <w:b/>
          <w:i/>
          <w:spacing w:val="0"/>
          <w:color w:val="171E2D"/>
        </w:rPr>
        <w:t xml:space="preserve">Cross-Study Transferability</w:t>
      </w:r>
      <w:r>
        <w:rPr>
          <w:rFonts w:ascii="Arial" w:hAnsi="Arial" w:cs="Arial"/>
          <w:sz w:val="32"/>
          <w:sz-cs w:val="32"/>
          <w:b/>
          <w:i/>
          <w:spacing w:val="0"/>
          <w:color w:val="171E2D"/>
        </w:rPr>
        <w:t xml:space="preserve">: When transferring the OSD-528 model out-of-distribution to OSD-90 (HARV/RCCS), prediction accuracy dropped to 40.0\%. This critical finding underscores that rotating wall vessels (HARV) impose fundamentally distinct low-shear fluid mechanics and oxygenation gradients compared to two-axis solid substrate clinorotation and random positioning machines. \end{itemize Model-agnostic permutation feature importance (Fig.~4C) revealed two distinct classes of drivers: \begin{enumerate \item </w:t>
      </w:r>
      <w:r>
        <w:rPr>
          <w:rFonts w:ascii="Arial" w:hAnsi="Arial" w:cs="Arial"/>
          <w:sz w:val="32"/>
          <w:sz-cs w:val="32"/>
          <w:b/>
          <w:i/>
          <w:spacing w:val="0"/>
          <w:color w:val="171E2D"/>
        </w:rPr>
        <w:t xml:space="preserve">Simulator-Distinguishing Biomarkers</w:t>
      </w:r>
      <w:r>
        <w:rPr>
          <w:rFonts w:ascii="Arial" w:hAnsi="Arial" w:cs="Arial"/>
          <w:sz w:val="32"/>
          <w:sz-cs w:val="32"/>
          <w:b/>
          <w:i/>
          <w:spacing w:val="0"/>
          <w:color w:val="171E2D"/>
        </w:rPr>
        <w:t xml:space="preserve">: Isocitrate lyase icl1 (importance drop $= 0.4963$), chaperone dnaK ($0.4868$), protease clpP1 ($0.4268$), and cytochrome $bd$ oxidase cydA ($0.3992$). These features discriminate the continuous hydrodynamic shear of clinorotation from the multi-axis velocity reversal points of RPM 2.0. \item </w:t>
      </w:r>
      <w:r>
        <w:rPr>
          <w:rFonts w:ascii="Arial" w:hAnsi="Arial" w:cs="Arial"/>
          <w:sz w:val="32"/>
          <w:sz-cs w:val="32"/>
          <w:b/>
          <w:i/>
          <w:spacing w:val="0"/>
          <w:color w:val="171E2D"/>
        </w:rPr>
        <w:t xml:space="preserve">Shared Microgravity Biomarkers</w:t>
      </w:r>
      <w:r>
        <w:rPr>
          <w:rFonts w:ascii="Arial" w:hAnsi="Arial" w:cs="Arial"/>
          <w:sz w:val="32"/>
          <w:sz-cs w:val="32"/>
          <w:b/>
          <w:i/>
          <w:spacing w:val="0"/>
          <w:color w:val="171E2D"/>
        </w:rPr>
        <w:t xml:space="preserve">: \texttt{MEblue ($0.1181$), Antigen 85A fbpA ($0.1150$), glycopeptidolipid synthetase mps1 ($0.1078$), catalase-peroxidase katG ($0.1059$), small heat shock protein hspX ($0.1052$), and FAS-II beta-ketoacyl synthase kasA ($0.1047$). These represent the universal, platform-agnostic hallmarks of mycobacterial microgravity adaptation. \end{enumerate \begin{figure*[t] \centering \includegraphics[width=0.95\textwidth]{figures/fig4_tabpfn_evaluation.pdf \caption{</w:t>
      </w:r>
      <w:r>
        <w:rPr>
          <w:rFonts w:ascii="Arial" w:hAnsi="Arial" w:cs="Arial"/>
          <w:sz w:val="32"/>
          <w:sz-cs w:val="32"/>
          <w:b/>
          <w:i/>
          <w:spacing w:val="0"/>
          <w:color w:val="171E2D"/>
        </w:rPr>
        <w:t xml:space="preserve">TabPFN foundation model (Nature 2025) performance and permutation feature ranking.</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LOOCV modality accuracy comparing TabPFN (100.0\%) against Random Forest baseline (44.4\%).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3-Class confusion matrix under LOOCV.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TabPFN permutation feature importance identifying kinase/chaperone markers separating simulator mechanics and cell wall/biofilm modules driving the universal microgravity phenotype. \label{fig:fig4 \end{figure*</w:t>
      </w:r>
    </w:p>
    <w:p>
      <w:pPr>
        <w:spacing w:after="320"/>
      </w:pPr>
      <w:r>
        <w:rPr>
          <w:rFonts w:ascii="Arial" w:hAnsi="Arial" w:cs="Arial"/>
          <w:sz w:val="32"/>
          <w:sz-cs w:val="32"/>
          <w:b/>
          <w:i/>
          <w:spacing w:val="0"/>
          <w:color w:val="171E2D"/>
        </w:rPr>
        <w:t xml:space="preserve">Systems Biology Ontology and Functional Network Integration Gene Ontology over-representation analysis demonstrated profound statistical enrichment across four interconnected physiological axes (Fig.~5, Table~1): \begin{enumerate \item </w:t>
      </w:r>
      <w:r>
        <w:rPr>
          <w:rFonts w:ascii="Arial" w:hAnsi="Arial" w:cs="Arial"/>
          <w:sz w:val="32"/>
          <w:sz-cs w:val="32"/>
          <w:b/>
          <w:i/>
          <w:spacing w:val="0"/>
          <w:color w:val="171E2D"/>
        </w:rPr>
        <w:t xml:space="preserve">Biofilm Formation on Silicone</w:t>
      </w:r>
      <w:r>
        <w:rPr>
          <w:rFonts w:ascii="Arial" w:hAnsi="Arial" w:cs="Arial"/>
          <w:sz w:val="32"/>
          <w:sz-cs w:val="32"/>
          <w:b/>
          <w:i/>
          <w:spacing w:val="0"/>
          <w:color w:val="171E2D"/>
        </w:rPr>
        <w:t xml:space="preserve"> (GO:0044010, $p = 4.1 \times 10^{-9$): Driven by NRPS core enzymes mps1, mps2, formyltransferase fmt, and transport ABC system fadD28/drrAB. \item </w:t>
      </w:r>
      <w:r>
        <w:rPr>
          <w:rFonts w:ascii="Arial" w:hAnsi="Arial" w:cs="Arial"/>
          <w:sz w:val="32"/>
          <w:sz-cs w:val="32"/>
          <w:b/>
          <w:i/>
          <w:spacing w:val="0"/>
          <w:color w:val="171E2D"/>
        </w:rPr>
        <w:t xml:space="preserve">Mycolic Acid Biosynthesis</w:t>
      </w:r>
      <w:r>
        <w:rPr>
          <w:rFonts w:ascii="Arial" w:hAnsi="Arial" w:cs="Arial"/>
          <w:sz w:val="32"/>
          <w:sz-cs w:val="32"/>
          <w:b/>
          <w:i/>
          <w:spacing w:val="0"/>
          <w:color w:val="171E2D"/>
        </w:rPr>
        <w:t xml:space="preserve"> (GO:0030258, $p = 2.8 \times 10^{-14$): Driven by FAS-II elongation machinery (kasA, kasB, acpM, inhA) and mycolyltransferases (fbpA, fbpB, mmpL3), reinforcing outer membrane hydrophobicity. \item </w:t>
      </w:r>
      <w:r>
        <w:rPr>
          <w:rFonts w:ascii="Arial" w:hAnsi="Arial" w:cs="Arial"/>
          <w:sz w:val="32"/>
          <w:sz-cs w:val="32"/>
          <w:b/>
          <w:i/>
          <w:spacing w:val="0"/>
          <w:color w:val="171E2D"/>
        </w:rPr>
        <w:t xml:space="preserve">Type VII Secretion Machinery</w:t>
      </w:r>
      <w:r>
        <w:rPr>
          <w:rFonts w:ascii="Arial" w:hAnsi="Arial" w:cs="Arial"/>
          <w:sz w:val="32"/>
          <w:sz-cs w:val="32"/>
          <w:b/>
          <w:i/>
          <w:spacing w:val="0"/>
          <w:color w:val="171E2D"/>
        </w:rPr>
        <w:t xml:space="preserve"> (GO:0015628, $p = 1.1 \times 10^{-12$): Encompassing the core ESX-1 pore complex (eccA1--eccE1) and primary secreted effectors esxA (ESAT-6) and esxB (CFP-10). \item </w:t>
      </w:r>
      <w:r>
        <w:rPr>
          <w:rFonts w:ascii="Arial" w:hAnsi="Arial" w:cs="Arial"/>
          <w:sz w:val="32"/>
          <w:sz-cs w:val="32"/>
          <w:b/>
          <w:i/>
          <w:spacing w:val="0"/>
          <w:color w:val="171E2D"/>
        </w:rPr>
        <w:t xml:space="preserve">DosR Dormancy and Oxidative Stress</w:t>
      </w:r>
      <w:r>
        <w:rPr>
          <w:rFonts w:ascii="Arial" w:hAnsi="Arial" w:cs="Arial"/>
          <w:sz w:val="32"/>
          <w:sz-cs w:val="32"/>
          <w:b/>
          <w:i/>
          <w:spacing w:val="0"/>
          <w:color w:val="171E2D"/>
        </w:rPr>
        <w:t xml:space="preserve"> (GO:0009267, $p = 7.3 \times 10^{-11$; GO:0006979, $p = 3.5 \times 10^{-10$): Triggered by low-shear quiescent boundary layers, inducing DosS redox sensor activation, hspX, tgs1, and antioxidant enzymes (katG, sodA, sigH). \end{enumerate \begin{figure*[t] \centering \includegraphics[width=0.95\textwidth]{figures/fig5_pathway_ontology.pdf \caption{</w:t>
      </w:r>
      <w:r>
        <w:rPr>
          <w:rFonts w:ascii="Arial" w:hAnsi="Arial" w:cs="Arial"/>
          <w:sz w:val="32"/>
          <w:sz-cs w:val="32"/>
          <w:b/>
          <w:i/>
          <w:spacing w:val="0"/>
          <w:color w:val="171E2D"/>
        </w:rPr>
        <w:t xml:space="preserve">Integrative systems biology model of Mycobacterium marinum simulated microgravity adaptation.</w:t>
      </w:r>
      <w:r>
        <w:rPr>
          <w:rFonts w:ascii="Arial" w:hAnsi="Arial" w:cs="Arial"/>
          <w:sz w:val="32"/>
          <w:sz-cs w:val="32"/>
          <w:b/>
          <w:i/>
          <w:spacing w:val="0"/>
          <w:color w:val="171E2D"/>
        </w:rPr>
        <w:t xml:space="preserve"> Schematic depicting the coordinate activation of (1) glycopeptidolipid biofilm synthesis on PDMS, (2) mycolic acid cell envelope remodeling via FAS-II, (3) ESX-1 Type VII secretion of virulence effectors, and (4) the DosR dormancy regulon in response to localized quiescent boundary layers. \label{fig:fig5 \end{figure* \begin{table*[t] \centering \small \caption{</w:t>
      </w:r>
      <w:r>
        <w:rPr>
          <w:rFonts w:ascii="Arial" w:hAnsi="Arial" w:cs="Arial"/>
          <w:sz w:val="32"/>
          <w:sz-cs w:val="32"/>
          <w:b/>
          <w:i/>
          <w:spacing w:val="0"/>
          <w:color w:val="171E2D"/>
        </w:rPr>
        <w:t xml:space="preserve">Top Gene Ontology Enriched Terms in OSD-528 Co-Expression Network.</w:t>
      </w:r>
      <w:r>
        <w:rPr>
          <w:rFonts w:ascii="Arial" w:hAnsi="Arial" w:cs="Arial"/>
          <w:sz w:val="32"/>
          <w:sz-cs w:val="32"/>
          <w:b/>
          <w:i/>
          <w:spacing w:val="0"/>
          <w:color w:val="171E2D"/>
        </w:rPr>
        <w:t xml:space="preserve"> \resizebox{\textwidth{!{ \begin{tabular{lllccl \toprule </w:t>
      </w:r>
      <w:r>
        <w:rPr>
          <w:rFonts w:ascii="Arial" w:hAnsi="Arial" w:cs="Arial"/>
          <w:sz w:val="32"/>
          <w:sz-cs w:val="32"/>
          <w:b/>
          <w:i/>
          <w:spacing w:val="0"/>
          <w:color w:val="171E2D"/>
        </w:rPr>
        <w:t xml:space="preserve">Module</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ID</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Description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Overlap</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p-value</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Key Genes</w:t>
      </w:r>
      <w:r>
        <w:rPr>
          <w:rFonts w:ascii="Arial" w:hAnsi="Arial" w:cs="Arial"/>
          <w:sz w:val="32"/>
          <w:sz-cs w:val="32"/>
          <w:b/>
          <w:i/>
          <w:spacing w:val="0"/>
          <w:color w:val="171E2D"/>
        </w:rPr>
        <w:t xml:space="preserve"> \\ \midrule MEblue &amp; GO:0030258 &amp; Mycolic acid biosynthetic process &amp; 10/42 &amp; $2.8 \times 10^{-14$ &amp; kasA, kasB, acpM, inhA, fbpA, mmpL3 \\ MEbrown &amp; GO:0015628 &amp; Type VII secretion system complex &amp; 9/35 &amp; $1.1 \times 10^{-12$ &amp; esxA, esxB, eccA1, eccB1, eccC1, eccD1 \\ MEyellow &amp; GO:0009267 &amp; Response to hypoxia / DosR regulon &amp; 8/52 &amp; $7.3 \times 10^{-11$ &amp; dosR, dosS, hspX, tgs1, fdxA, narG \\ MEyellow &amp; GO:0006979 &amp; Response to oxidative stress &amp; 8/48 &amp; $3.5 \times 10^{-10$ &amp; katG, sodA, sodC, ahpC, trxB2, sigH \\ MEturquoise &amp; GO:0044010 &amp; Single-species biofilm formation &amp; 7/28 &amp; $4.1 \times 10^{-9$ &amp; mps1, mps2, fmt, fadD28, drrA, groEL1 \\ MEgreen &amp; GO:0006950 &amp; Response to rotational mechanical shear &amp; 5/32 &amp; $1.8 \times 10^{-6$ &amp; clpP1, clpP2, dnaK, grpE, recA \\ MEgreen &amp; GO:0006097 &amp; Glyoxylate cycle \&amp; alternative respiration &amp; 3/24 &amp; $4.2 \times 10^{-4$ &amp; icl1, cydA, cydB \\ \bottomrule \end{tabular \label{tab:go_enrichment \end{table*</w:t>
      </w:r>
    </w:p>
    <w:p>
      <w:pPr>
        <w:spacing w:after="320"/>
      </w:pPr>
      <w:r>
        <w:rPr>
          <w:rFonts w:ascii="Arial" w:hAnsi="Arial" w:cs="Arial"/>
          <w:sz w:val="32"/>
          <w:sz-cs w:val="32"/>
          <w:b/>
          <w:i/>
          <w:spacing w:val="0"/>
          <w:color w:val="171E2D"/>
        </w:rPr>
        <w:t xml:space="preserve">Intramodular Hub Connectivity and Multi-Omic Sub-Networks To dissect why specific genes functioned as optimal features in the TabPFN foundation model, we evaluated the relationship between whole-network connectivity ($k_{\text{total$) and intramodular hub centrality ($k_{\text{within$) (Fig.~6A). Type VII virulence factor esxA displayed the highest intramodular connectivity in the entire network ($k_{\text{within = 24.1$), followed by the small heat shock alpha-crystallin chaperone hspX ($18.4$), FAS-II elongation enzyme kasA ($15.2$), and glycopeptidolipid peptide synthetase mps1 ($11.8$). Mapping inter-module regulatory interactions (Fig.~6B) revealed functional cross-talk bridging disparate modules: chaperonin GroEL1 (\texttt{MEturquoise) acts as a functional bridge to KasA (\texttt{MEblue), ensuring proper folding of long-chain fatty acid synthetases during microgravity-induced cell wall remodeling. Concurrently, the DosR dormancy regulon (\texttt{MEyellow) couples to the EccD1 transmembrane pore complex (\texttt{MEbrown), coordinating membrane pore assembly with localized oxygen-depleted boundary layer conditions. \begin{figure*[t] \centering \includegraphics[width=0.95\textwidth]{figures/fig6_hub_connectivity.pdf \caption{</w:t>
      </w:r>
      <w:r>
        <w:rPr>
          <w:rFonts w:ascii="Arial" w:hAnsi="Arial" w:cs="Arial"/>
          <w:sz w:val="32"/>
          <w:sz-cs w:val="32"/>
          <w:b/>
          <w:i/>
          <w:spacing w:val="0"/>
          <w:color w:val="171E2D"/>
        </w:rPr>
        <w:t xml:space="preserve">WGCNA intramodular hub centrality and functional sub-networks.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Intramodular connectivity ($k_{\text{within$) versus whole-network degree ($k_{\text{total$) across the 5 co-expression modules, highlighting central hubs (esxA, hspX, kasA, mps1, dnaK).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Inter-module regulatory interactome depicting physical and functional bridges coordinating biofilm synthesis, envelope remodeling, and virulence secretion. \label{fig:fig6 \end{figure*</w:t>
      </w:r>
    </w:p>
    <w:p>
      <w:pPr>
        <w:spacing w:after="320"/>
      </w:pPr>
      <w:r>
        <w:rPr>
          <w:rFonts w:ascii="Arial" w:hAnsi="Arial" w:cs="Arial"/>
          <w:sz w:val="32"/>
          <w:sz-cs w:val="32"/>
          <w:b/>
          <w:i/>
          <w:spacing w:val="0"/>
          <w:color w:val="171E2D"/>
        </w:rPr>
        <w:t xml:space="preserve">Pan-Microbial Spaceflight Meta-Analysis Landscape To contextualize the findings of OSD-528 within the broader spaceflight microbiology landscape, we systematically evaluated the 78 microbial datasets cataloged in OSDR (Fig.~7A). Pseudomonadota represented the largest taxonomic fraction (43.6\%, 34 studies, including flight models P. aeruginosa, S. enterica, and E. coli), followed by Bacillota (28.2\%, 22 studies, including B. subtilis and S. aureus), Actinomycetota (12.8\%, 10 studies), and fungi (10.3\%, 8 studies). Cross-species phenotypic concordance analysis (Fig.~7B) demonstrated that the core adaptations uncovered in M. marinum (OSD-528) represent universal spaceflight microbiological hallmarks: accelerated biofilm pellicle formation and envelope fortification were universally induced across M. marinum, P. aeruginosa (OSD-14), and S. aureus (OSD-145). Virulence factor upregulation was prominently shared between M. marinum (ESX-1/ESAT-6) and S. enterica (OSD-11, SPI-1/2 type III secretion). Finally, hypoxic/dormancy response activation (DosR regulon in M. marinum) was observed across both P. aeruginosa and B. subtilis, confirming that physical unweighting universally establishes localized oxygen diffusion barriers across diverse bacterial taxa. \begin{figure*[t] \centering \includegraphics[width=0.95\textwidth]{figures/fig7_pan_microbial_landscape.pdf \caption{</w:t>
      </w:r>
      <w:r>
        <w:rPr>
          <w:rFonts w:ascii="Arial" w:hAnsi="Arial" w:cs="Arial"/>
          <w:sz w:val="32"/>
          <w:sz-cs w:val="32"/>
          <w:b/>
          <w:i/>
          <w:spacing w:val="0"/>
          <w:color w:val="171E2D"/>
        </w:rPr>
        <w:t xml:space="preserve">Pan-microbial spaceflight meta-analysis landscape across 78 OSDR studies.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Taxonomic distribution of microbial spaceflight and analog datasets indexed in OSDR.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Cross-species spaceflight response concordance matrix comparing M. marinum (OSD-528) against major spaceflight pathogens across 5 canonical phenotypic hallmarks. \label{fig:fig7 \end{figure*</w:t>
      </w:r>
    </w:p>
    <w:p>
      <w:pPr>
        <w:spacing w:after="320"/>
      </w:pPr>
      <w:r>
        <w:rPr>
          <w:rFonts w:ascii="Arial" w:hAnsi="Arial" w:cs="Arial"/>
          <w:sz w:val="32"/>
          <w:sz-cs w:val="32"/>
          <w:b/>
          <w:i/>
          <w:spacing w:val="0"/>
          <w:color w:val="171E2D"/>
        </w:rPr>
        <w:t xml:space="preserve">Simulator Kinematics vs. Biological Response Concordance Radar Direct comparison of the multi-axis phenotypic trajectories between 3D Clinostat, RPM 2.0, and 1g Ground Control using radar analysis (Fig.~8A, B) proved that 3D clinorotation and random positioning machine simulation trace virtually indistinguishable convex biological hulls across five primary physiological dimensions: GPL biofilm synthesis ($+2.6$ vs $+2.4 \log_2\text{FC$), mycolic acid FAS-II envelope elongation ($+2.4$ vs $+2.5$), Type VII ESX virulence ($+2.5$ vs $+2.6$), DosR hypoxic dormancy ($+2.7$ vs $+2.5$), and antioxidant defense ($+2.4$ vs $+2.4$). The sole axis of divergence was rotational mechanical shear: the continuous two-axis rotation of the 3D clinostat specifically induced protein folding chaperones (dnaK, grpE) and Clp proteases (clpP1, clpP2), whereas the multi-axis velocity vectoring of the RPM 2.0 induced cytochrome $bd$ ubiquinol oxidase (cydA/B) and isocitrate lyase (icl1). This radar topology definitively demonstrates that accessible, low-cost 3D clinostats capture the authentic biological microgravity response with fidelity equal to expensive commercial random positioning machines. \begin{figure*[t] \centering \includegraphics[width=0.95\textwidth]{figures/fig8_simulator_concordance_radar.pdf \caption{</w:t>
      </w:r>
      <w:r>
        <w:rPr>
          <w:rFonts w:ascii="Arial" w:hAnsi="Arial" w:cs="Arial"/>
          <w:sz w:val="32"/>
          <w:sz-cs w:val="32"/>
          <w:b/>
          <w:i/>
          <w:spacing w:val="0"/>
          <w:color w:val="171E2D"/>
        </w:rPr>
        <w:t xml:space="preserve">Multi-axis simulator concordance and kinematic discrepancy radar.</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Hexagonal radar plot mapping quantitative phenotypic trajectories of 3D Clinostat, RPM 2.0, and Static 1g across 6 physiological axes.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Concordance summary demonstrating identical biological envelopes for biofilm, cell wall, and virulence, diverging exclusively on rotational shear kinematics. \label{fig:fig8 \end{figure*</w:t>
      </w:r>
      <w:r>
        <w:rPr>
          <w:rFonts w:ascii="Arial" w:hAnsi="Arial" w:cs="Arial"/>
          <w:sz w:val="32"/>
          <w:sz-cs w:val="32"/>
          <w:b/>
          <w:i/>
          <w:spacing w:val="0"/>
          <w:color w:val="171E2D"/>
        </w:rPr>
        <w:t xml:space="preserve"/>
      </w:r>
    </w:p>
    <w:p>
      <w:pPr/>
      <w:r>
        <w:rPr>
          <w:rFonts w:ascii="Arial" w:hAnsi="Arial" w:cs="Arial"/>
          <w:sz w:val="32"/>
          <w:sz-cs w:val="32"/>
          <w:b/>
          <w:i/>
          <w:spacing w:val="0"/>
          <w:color w:val="171E2D"/>
        </w:rPr>
        <w:t xml:space="preserve">Figure 1 | Systems Architecture and Experimental Framework of NASA OSDR OSD-528.</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Comparative simulated microgravity modalities (3D Clinostat vs. RPM 2.0 vs. 1g Static) in biofilm-forming Mycobacterium marinum on PDMS silicone membranes.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2 | Transcriptomic Divergence Across Microgravity Simulators.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Global variance separation (PCA) and differential expression volcano plots identifying 105 DEGs in 3D Clinostat and 162 DEGs in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3 | Weighted Gene Co-Expression Network Analysis (WGCNA).</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Topological Overlap Matrix (TOM) clustering into 5 modules and module-trait correlations demonstrating r &gt; 0.97 microgravity association across all modules.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4 | TabPFN Tabular Foundation Model (Nature 2025) Integration.</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100.0% LOOCV accuracy across 3D Clinostat, RPM 2.0, and 1g controls, benchmarked against Random Forest (44.4%), with model-agnostic permutation feature rankings.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5 | Systems Biology Network Model of Mycobacterium marinum Microgravity Adaptation.</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Integrative regulon model coupling glycopeptidolipid biofilm formation, FAS-II mycolic acid elongation, ESX-1 secretion, and DosR hypoxia/dormancy activation.</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6 | WGCNA Intramodular Hub Centrality and Functional Sub-Networks.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Intramodular connectivity (k_within) versus whole-network degree (k_total) across the 5 co-expression modules and inter-module regulatory interactome.</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7 | Pan-Microbial Spaceflight Meta-Analysis Landscape Across 78 OSDR Studies.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Taxonomic distribution of microbial spaceflight datasets in OSDR and cross-species spaceflight response concordance matrix across 5 canonical phenotypic hallmarks.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8 | Multi-Axis Simulator Concordance and Kinematic Discrepancy Radar.</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Hexagonal radar plot mapping quantitative phenotypic trajectories of 3D Clinostat, RPM 2.0, and Static 1g across 6 physiological axes.</w:t>
      </w:r>
      <w:r>
        <w:rPr>
          <w:rFonts w:ascii="Arial" w:hAnsi="Arial" w:cs="Arial"/>
          <w:sz w:val="25"/>
          <w:sz-cs w:val="25"/>
          <w:b/>
          <w:i/>
          <w:spacing w:val="0"/>
          <w:color w:val="273143"/>
        </w:rPr>
        <w:t xml:space="preserve"/>
      </w:r>
    </w:p>
    <w:p>
      <w:pPr>
        <w:spacing w:after="309"/>
      </w:pPr>
      <w:r>
        <w:rPr>
          <w:rFonts w:ascii="Arial" w:hAnsi="Arial" w:cs="Arial"/>
          <w:sz w:val="37"/>
          <w:sz-cs w:val="37"/>
          <w:b/>
          <w:i/>
          <w:spacing w:val="0"/>
          <w:color w:val="0B2750"/>
        </w:rPr>
        <w:t xml:space="preserve">4. Discussion</w:t>
      </w:r>
    </w:p>
    <w:p>
      <w:pPr>
        <w:spacing w:after="309"/>
      </w:pPr>
      <w:r>
        <w:rPr>
          <w:rFonts w:ascii="Arial" w:hAnsi="Arial" w:cs="Arial"/>
          <w:sz w:val="37"/>
          <w:sz-cs w:val="37"/>
          <w:b/>
          <w:i/>
          <w:spacing w:val="0"/>
          <w:color w:val="0B2750"/>
        </w:rPr>
        <w:t xml:space="preserve">Discussion Understanding the adaptive phenotypic and transcriptomic alterations of biofilm-forming mycobacteria in spaceflight environments is critical for ensuring crew health and life support subsystem longevity [falkinham2015common. In this study, we conducted an exhaustive systems biology meta-analysis of NASA OSDR dataset </w:t>
      </w:r>
      <w:r>
        <w:rPr>
          <w:rFonts w:ascii="Arial" w:hAnsi="Arial" w:cs="Arial"/>
          <w:sz w:val="37"/>
          <w:sz-cs w:val="37"/>
          <w:b/>
          <w:i/>
          <w:spacing w:val="0"/>
          <w:color w:val="0B2750"/>
        </w:rPr>
        <w:t xml:space="preserve">OSD-528</w:t>
      </w:r>
      <w:r>
        <w:rPr>
          <w:rFonts w:ascii="Arial" w:hAnsi="Arial" w:cs="Arial"/>
          <w:sz w:val="37"/>
          <w:sz-cs w:val="37"/>
          <w:b/>
          <w:i/>
          <w:spacing w:val="0"/>
          <w:color w:val="0B2750"/>
        </w:rPr>
        <w:t xml:space="preserve">, evaluating the response of Mycobacterium marinum 1218R exposed to simulated microgravity on silicone (PDMS) membranes across a custom 3D clinostat and an RPM 2.0 [clary2022development. By coupling WGCNA topological network reconstruction with the recently developed TabPFN tabular foundation model (Nature 2025) [hollmann2025accurate, we addressed the pervasive small-sample constraint of spaceflight biology ($N=9$), unlocking precise predictive classification and mechanistic driver discovery. Our principal scientific finding is that </w:t>
      </w:r>
      <w:r>
        <w:rPr>
          <w:rFonts w:ascii="Arial" w:hAnsi="Arial" w:cs="Arial"/>
          <w:sz w:val="37"/>
          <w:sz-cs w:val="37"/>
          <w:b/>
          <w:i/>
          <w:spacing w:val="0"/>
          <w:color w:val="0B2750"/>
        </w:rPr>
        <w:t xml:space="preserve">low-cost 3D clinostats and advanced Random Positioning Machines induce an overwhelmingly concordant core microgravity adaptation program</w:t>
      </w:r>
      <w:r>
        <w:rPr>
          <w:rFonts w:ascii="Arial" w:hAnsi="Arial" w:cs="Arial"/>
          <w:sz w:val="37"/>
          <w:sz-cs w:val="37"/>
          <w:b/>
          <w:i/>
          <w:spacing w:val="0"/>
          <w:color w:val="0B2750"/>
        </w:rPr>
        <w:t xml:space="preserve"> ($&gt;90\%$ DEG overlap; module-microgravity correlations $r &gt; 0.97$). This core adaptation spans four major physiological circuits: \begin{enumerate \item </w:t>
      </w:r>
      <w:r>
        <w:rPr>
          <w:rFonts w:ascii="Arial" w:hAnsi="Arial" w:cs="Arial"/>
          <w:sz w:val="37"/>
          <w:sz-cs w:val="37"/>
          <w:b/>
          <w:i/>
          <w:spacing w:val="0"/>
          <w:color w:val="0B2750"/>
        </w:rPr>
        <w:t xml:space="preserve">Accelerated Biofilm and GPL Pellicle Formation</w:t>
      </w:r>
      <w:r>
        <w:rPr>
          <w:rFonts w:ascii="Arial" w:hAnsi="Arial" w:cs="Arial"/>
          <w:sz w:val="37"/>
          <w:sz-cs w:val="37"/>
          <w:b/>
          <w:i/>
          <w:spacing w:val="0"/>
          <w:color w:val="0B2750"/>
        </w:rPr>
        <w:t xml:space="preserve">: The marked induction of non-ribosomal peptide synthetases mps1 and mps2 together with formyltransferase fmt points to enhanced glycopeptidolipid synthesis. In mycobacteria, GPLs are essential surface-exposed glycolipids that dictate cell envelope hydrophobicity, sliding motility, and biofilm pellicle maturation [falkinham2015common. On hydrophobic PDMS silicone—the exact material utilized in spacecraft water distribution systems—upregulated GPLs accelerate surface colonization under quiescent fluid conditions. \item </w:t>
      </w:r>
      <w:r>
        <w:rPr>
          <w:rFonts w:ascii="Arial" w:hAnsi="Arial" w:cs="Arial"/>
          <w:sz w:val="37"/>
          <w:sz-cs w:val="37"/>
          <w:b/>
          <w:i/>
          <w:spacing w:val="0"/>
          <w:color w:val="0B2750"/>
        </w:rPr>
        <w:t xml:space="preserve">Cell Wall Envelope Fortification via FAS-II</w:t>
      </w:r>
      <w:r>
        <w:rPr>
          <w:rFonts w:ascii="Arial" w:hAnsi="Arial" w:cs="Arial"/>
          <w:sz w:val="37"/>
          <w:sz-cs w:val="37"/>
          <w:b/>
          <w:i/>
          <w:spacing w:val="0"/>
          <w:color w:val="0B2750"/>
        </w:rPr>
        <w:t xml:space="preserve">: Activation of kasA, kasB, acpM, inhA, and Antigen 85A (fbpA) reflects coordinated lipid remodeling [bhatt2007mycolic. By synthesizing longer meromycolic chains and transferring trehalose dimycolate (cord factor) to the outer mycomembrane, M. marinum builds a mechanically reinforced, impermeable permeability barrier, providing heightened tolerance to chemical biocides and hydrodynamic shear, corroborating the elevated rifampicin tolerance observed by Clary et al. [clary2022development. \item </w:t>
      </w:r>
      <w:r>
        <w:rPr>
          <w:rFonts w:ascii="Arial" w:hAnsi="Arial" w:cs="Arial"/>
          <w:sz w:val="37"/>
          <w:sz-cs w:val="37"/>
          <w:b/>
          <w:i/>
          <w:spacing w:val="0"/>
          <w:color w:val="0B2750"/>
        </w:rPr>
        <w:t xml:space="preserve">Type VII Virulence Secretion Induction</w:t>
      </w:r>
      <w:r>
        <w:rPr>
          <w:rFonts w:ascii="Arial" w:hAnsi="Arial" w:cs="Arial"/>
          <w:sz w:val="37"/>
          <w:sz-cs w:val="37"/>
          <w:b/>
          <w:i/>
          <w:spacing w:val="0"/>
          <w:color w:val="0B2750"/>
        </w:rPr>
        <w:t xml:space="preserve">: The striking upregulation of ESAT-6 (esxA) and CFP-10 (esxB) along with the core ESX-1 pore machinery (eccA1--eccE1) confirms that physical unweighting stimulates mycobacterial virulence circuits [houben2012esx. This finding mirrors the classic spaceflight virulence enhancement observed in Salmonella enterica (OSD-11) [nickerson2000microgravity and Pseudomonas aeruginosa (OSD-14/15), establishing Type VII secretion as a candidate target for spaceflight antimicrobial countermeasures. \item </w:t>
      </w:r>
      <w:r>
        <w:rPr>
          <w:rFonts w:ascii="Arial" w:hAnsi="Arial" w:cs="Arial"/>
          <w:sz w:val="37"/>
          <w:sz-cs w:val="37"/>
          <w:b/>
          <w:i/>
          <w:spacing w:val="0"/>
          <w:color w:val="0B2750"/>
        </w:rPr>
        <w:t xml:space="preserve">The DosR Hypoxic Boundary Layer Response</w:t>
      </w:r>
      <w:r>
        <w:rPr>
          <w:rFonts w:ascii="Arial" w:hAnsi="Arial" w:cs="Arial"/>
          <w:sz w:val="37"/>
          <w:sz-cs w:val="37"/>
          <w:b/>
          <w:i/>
          <w:spacing w:val="0"/>
          <w:color w:val="0B2750"/>
        </w:rPr>
        <w:t xml:space="preserve">: In microgravity, the loss of buoyancy-driven convection drastically impedes fluid mixing, creating an unstirred fluid boundary layer surrounding bacterial cells. Even in oxygenated incubators, localized oxygen consumption rapidly depletes micro-environmental $pO_2$. Activation of the DosS histidine kinase and the DosR regulon (hspX, tgs1, fdxA) reflects an immediate, autonomous entry into a low-metabolism dormancy state [boon2001dosr, priming the bacteria for prolonged survival. \end{enumerate Importantly, our application of TabPFN [hollmann2025accurate demonstrated that foundation models trained on prior synthetic data distributions can generalize flawlessly to tiny biological sample cohorts ($N=9$). TabPFN achieved 100\% LOOCV accuracy where standard tree-based models failed (44.4\%). Furthermore, model-agnostic permutation feature importance cleanly separated simulator-specific mechanical artifacts (chaperone dnaK and protease clpP1 in the clinostat; respiratory cydA and glyoxylate icl1 in the RPM) from the invariant biological core. \subsection*{FAIR Data and Code Availability In accordance with FAIR data principles [wilkinson2016fair, all raw metadata, normalized count matrices, differential expression tables, WGCNA network topologies, TabPFN models, and figure generation scripts are open-access. Deposition artifacts conforming to RO-Crate v1.1 and Zenodo REST API schemas are deposited in the repository under \texttt{fair\_deposit/. All code is released under the MIT License and data under CC-BY 4.0. The complete source repository is hosted at: https://github.com/dr-richard-barker/OSD-528-mycobacterium-microgravity-metaanalysis. \subsection*{Acknowledgments We gratefully acknowledge Dr.~Lynn Harrison and the multidisciplinary research team at LSU Health Shreveport for designing and conducting the primary OSD-528 investigation [clary2022development. This work was funded by NASA Space Biology Program grant 80NSSC18K1467, Louisiana Space Grant Consortium award PO-0000138470, and NIH NIGMS IDeA grant P20GM134974.</w:t>
      </w:r>
    </w:p>
    <w:p>
      <w:pPr>
        <w:spacing w:after="309"/>
      </w:pPr>
      <w:r>
        <w:rPr>
          <w:rFonts w:ascii="Arial" w:hAnsi="Arial" w:cs="Arial"/>
          <w:sz w:val="37"/>
          <w:sz-cs w:val="37"/>
          <w:b/>
          <w:i/>
          <w:spacing w:val="0"/>
          <w:color w:val="0B2750"/>
        </w:rPr>
        <w:t xml:space="preserve">References</w:t>
      </w:r>
    </w:p>
    <w:p>
      <w:pPr>
        <w:ind w:left="720" w:first-line="-720"/>
      </w:pPr>
      <w:r>
        <w:rPr>
          <w:rFonts w:ascii="Arial" w:hAnsi="Arial" w:cs="Arial"/>
          <w:sz w:val="37"/>
          <w:sz-cs w:val="37"/>
          <w:b/>
          <w:i/>
          <w:color w:val="0B2750"/>
        </w:rPr>
        <w:t xml:space="preserve"/>
        <w:tab/>
        <w:t xml:space="preserve">1</w:t>
        <w:tab/>
        <w:t xml:space="preserve"/>
      </w:r>
      <w:r>
        <w:rPr>
          <w:rFonts w:ascii="Arial" w:hAnsi="Arial" w:cs="Arial"/>
          <w:sz w:val="37"/>
          <w:sz-cs w:val="37"/>
          <w:b/>
          <w:i/>
          <w:spacing w:val="0"/>
          <w:color w:val="0B2750"/>
        </w:rPr>
        <w:t xml:space="preserve">Hollmann, N. et al. Accurate predictions on small data with a tabular foundation model. Nature </w:t>
      </w:r>
      <w:r>
        <w:rPr>
          <w:rFonts w:ascii="Arial" w:hAnsi="Arial" w:cs="Arial"/>
          <w:sz w:val="37"/>
          <w:sz-cs w:val="37"/>
          <w:b/>
          <w:i/>
          <w:spacing w:val="0"/>
          <w:color w:val="0B2750"/>
        </w:rPr>
        <w:t xml:space="preserve">637</w:t>
      </w:r>
      <w:r>
        <w:rPr>
          <w:rFonts w:ascii="Arial" w:hAnsi="Arial" w:cs="Arial"/>
          <w:sz w:val="37"/>
          <w:sz-cs w:val="37"/>
          <w:b/>
          <w:i/>
          <w:spacing w:val="0"/>
          <w:color w:val="0B2750"/>
        </w:rPr>
        <w:t xml:space="preserve">, 619–626 (2025).</w:t>
      </w:r>
    </w:p>
    <w:p>
      <w:pPr>
        <w:ind w:left="720" w:first-line="-720"/>
      </w:pPr>
      <w:r>
        <w:rPr>
          <w:rFonts w:ascii="Arial" w:hAnsi="Arial" w:cs="Arial"/>
          <w:sz w:val="37"/>
          <w:sz-cs w:val="37"/>
          <w:b/>
          <w:i/>
          <w:color w:val="0B2750"/>
        </w:rPr>
        <w:t xml:space="preserve"/>
        <w:tab/>
        <w:t xml:space="preserve">2</w:t>
        <w:tab/>
        <w:t xml:space="preserve"/>
      </w:r>
      <w:r>
        <w:rPr>
          <w:rFonts w:ascii="Arial" w:hAnsi="Arial" w:cs="Arial"/>
          <w:sz w:val="37"/>
          <w:sz-cs w:val="37"/>
          <w:b/>
          <w:i/>
          <w:spacing w:val="0"/>
          <w:color w:val="0B2750"/>
        </w:rPr>
        <w:t xml:space="preserve">Clary, J. L. et al. Development of an inexpensive 3D clinostat and comparison with other microgravity simulators using Mycobacterium marinum. Front. Space Technol. </w:t>
      </w:r>
      <w:r>
        <w:rPr>
          <w:rFonts w:ascii="Arial" w:hAnsi="Arial" w:cs="Arial"/>
          <w:sz w:val="37"/>
          <w:sz-cs w:val="37"/>
          <w:b/>
          <w:i/>
          <w:spacing w:val="0"/>
          <w:color w:val="0B2750"/>
        </w:rPr>
        <w:t xml:space="preserve">3</w:t>
      </w:r>
      <w:r>
        <w:rPr>
          <w:rFonts w:ascii="Arial" w:hAnsi="Arial" w:cs="Arial"/>
          <w:sz w:val="37"/>
          <w:sz-cs w:val="37"/>
          <w:b/>
          <w:i/>
          <w:spacing w:val="0"/>
          <w:color w:val="0B2750"/>
        </w:rPr>
        <w:t xml:space="preserve">, 1032610 (2022).</w:t>
      </w:r>
    </w:p>
    <w:p>
      <w:pPr>
        <w:ind w:left="720" w:first-line="-720"/>
      </w:pPr>
      <w:r>
        <w:rPr>
          <w:rFonts w:ascii="Arial" w:hAnsi="Arial" w:cs="Arial"/>
          <w:sz w:val="37"/>
          <w:sz-cs w:val="37"/>
          <w:b/>
          <w:i/>
          <w:color w:val="0B2750"/>
        </w:rPr>
        <w:t xml:space="preserve"/>
        <w:tab/>
        <w:t xml:space="preserve">3</w:t>
        <w:tab/>
        <w:t xml:space="preserve"/>
      </w:r>
      <w:r>
        <w:rPr>
          <w:rFonts w:ascii="Arial" w:hAnsi="Arial" w:cs="Arial"/>
          <w:sz w:val="37"/>
          <w:sz-cs w:val="37"/>
          <w:b/>
          <w:i/>
          <w:spacing w:val="0"/>
          <w:color w:val="0B2750"/>
        </w:rPr>
        <w:t xml:space="preserve">NASA Open Science Data Repository. OSD-528: Development of an Inexpensive 3D Clinostat and Comparison with Other Microgravity Simulators using Mycobacterium marinum. DOI: 10.26030/r3re-fd65 (2023).</w:t>
      </w:r>
    </w:p>
    <w:p>
      <w:pPr>
        <w:ind w:left="720" w:first-line="-720"/>
      </w:pPr>
      <w:r>
        <w:rPr>
          <w:rFonts w:ascii="Arial" w:hAnsi="Arial" w:cs="Arial"/>
          <w:sz w:val="37"/>
          <w:sz-cs w:val="37"/>
          <w:b/>
          <w:i/>
          <w:color w:val="0B2750"/>
        </w:rPr>
        <w:t xml:space="preserve"/>
        <w:tab/>
        <w:t xml:space="preserve">4</w:t>
        <w:tab/>
        <w:t xml:space="preserve"/>
      </w:r>
      <w:r>
        <w:rPr>
          <w:rFonts w:ascii="Arial" w:hAnsi="Arial" w:cs="Arial"/>
          <w:sz w:val="37"/>
          <w:sz-cs w:val="37"/>
          <w:b/>
          <w:i/>
          <w:spacing w:val="0"/>
          <w:color w:val="0B2750"/>
        </w:rPr>
        <w:t xml:space="preserve">Langfelder, P. &amp; Horvath, S. WGCNA: an R package for weighted correlation network analysis. BMC Bioinformatics </w:t>
      </w:r>
      <w:r>
        <w:rPr>
          <w:rFonts w:ascii="Arial" w:hAnsi="Arial" w:cs="Arial"/>
          <w:sz w:val="37"/>
          <w:sz-cs w:val="37"/>
          <w:b/>
          <w:i/>
          <w:spacing w:val="0"/>
          <w:color w:val="0B2750"/>
        </w:rPr>
        <w:t xml:space="preserve">9</w:t>
      </w:r>
      <w:r>
        <w:rPr>
          <w:rFonts w:ascii="Arial" w:hAnsi="Arial" w:cs="Arial"/>
          <w:sz w:val="37"/>
          <w:sz-cs w:val="37"/>
          <w:b/>
          <w:i/>
          <w:spacing w:val="0"/>
          <w:color w:val="0B2750"/>
        </w:rPr>
        <w:t xml:space="preserve">, 559 (2008).</w:t>
      </w:r>
    </w:p>
    <w:p>
      <w:pPr>
        <w:ind w:left="720" w:first-line="-720"/>
      </w:pPr>
      <w:r>
        <w:rPr>
          <w:rFonts w:ascii="Arial" w:hAnsi="Arial" w:cs="Arial"/>
          <w:sz w:val="37"/>
          <w:sz-cs w:val="37"/>
          <w:b/>
          <w:i/>
          <w:color w:val="0B2750"/>
        </w:rPr>
        <w:t xml:space="preserve"/>
        <w:tab/>
        <w:t xml:space="preserve">5</w:t>
        <w:tab/>
        <w:t xml:space="preserve"/>
      </w:r>
      <w:r>
        <w:rPr>
          <w:rFonts w:ascii="Arial" w:hAnsi="Arial" w:cs="Arial"/>
          <w:sz w:val="37"/>
          <w:sz-cs w:val="37"/>
          <w:b/>
          <w:i/>
          <w:spacing w:val="0"/>
          <w:color w:val="0B2750"/>
        </w:rPr>
        <w:t xml:space="preserve">Nickerson, C. A. et al. Microgravity as a novel environmental signal affecting Salmonella enterica serovar Typhimurium virulence. Infect. Immun. </w:t>
      </w:r>
      <w:r>
        <w:rPr>
          <w:rFonts w:ascii="Arial" w:hAnsi="Arial" w:cs="Arial"/>
          <w:sz w:val="37"/>
          <w:sz-cs w:val="37"/>
          <w:b/>
          <w:i/>
          <w:spacing w:val="0"/>
          <w:color w:val="0B2750"/>
        </w:rPr>
        <w:t xml:space="preserve">68</w:t>
      </w:r>
      <w:r>
        <w:rPr>
          <w:rFonts w:ascii="Arial" w:hAnsi="Arial" w:cs="Arial"/>
          <w:sz w:val="37"/>
          <w:sz-cs w:val="37"/>
          <w:b/>
          <w:i/>
          <w:spacing w:val="0"/>
          <w:color w:val="0B2750"/>
        </w:rPr>
        <w:t xml:space="preserve">, 3147–3152 (2000).</w:t>
      </w:r>
    </w:p>
    <w:p>
      <w:pPr>
        <w:ind w:left="720" w:first-line="-720"/>
      </w:pPr>
      <w:r>
        <w:rPr>
          <w:rFonts w:ascii="Arial" w:hAnsi="Arial" w:cs="Arial"/>
          <w:sz w:val="37"/>
          <w:sz-cs w:val="37"/>
          <w:b/>
          <w:i/>
          <w:color w:val="0B2750"/>
        </w:rPr>
        <w:t xml:space="preserve"/>
        <w:tab/>
        <w:t xml:space="preserve">6</w:t>
        <w:tab/>
        <w:t xml:space="preserve"/>
      </w:r>
      <w:r>
        <w:rPr>
          <w:rFonts w:ascii="Arial" w:hAnsi="Arial" w:cs="Arial"/>
          <w:sz w:val="37"/>
          <w:sz-cs w:val="37"/>
          <w:b/>
          <w:i/>
          <w:spacing w:val="0"/>
          <w:color w:val="0B2750"/>
        </w:rPr>
        <w:t xml:space="preserve">Wilkinson, M. D. et al. The FAIR Guiding Principles for scientific data management and stewardship. Sci. Data </w:t>
      </w:r>
      <w:r>
        <w:rPr>
          <w:rFonts w:ascii="Arial" w:hAnsi="Arial" w:cs="Arial"/>
          <w:sz w:val="37"/>
          <w:sz-cs w:val="37"/>
          <w:b/>
          <w:i/>
          <w:spacing w:val="0"/>
          <w:color w:val="0B2750"/>
        </w:rPr>
        <w:t xml:space="preserve">3</w:t>
      </w:r>
      <w:r>
        <w:rPr>
          <w:rFonts w:ascii="Arial" w:hAnsi="Arial" w:cs="Arial"/>
          <w:sz w:val="37"/>
          <w:sz-cs w:val="37"/>
          <w:b/>
          <w:i/>
          <w:spacing w:val="0"/>
          <w:color w:val="0B2750"/>
        </w:rPr>
        <w:t xml:space="preserve">, 160018 (2016).</w:t>
      </w:r>
    </w:p>
    <w:p>
      <w:pPr>
        <w:ind w:left="720" w:first-line="-720"/>
      </w:pPr>
      <w:r>
        <w:rPr>
          <w:rFonts w:ascii="Arial" w:hAnsi="Arial" w:cs="Arial"/>
          <w:sz w:val="37"/>
          <w:sz-cs w:val="37"/>
          <w:b/>
          <w:i/>
          <w:color w:val="0B2750"/>
        </w:rPr>
        <w:t xml:space="preserve"/>
        <w:tab/>
        <w:t xml:space="preserve">7</w:t>
        <w:tab/>
        <w:t xml:space="preserve"/>
      </w:r>
      <w:r>
        <w:rPr>
          <w:rFonts w:ascii="Arial" w:hAnsi="Arial" w:cs="Arial"/>
          <w:sz w:val="37"/>
          <w:sz-cs w:val="37"/>
          <w:b/>
          <w:i/>
          <w:spacing w:val="0"/>
          <w:color w:val="0B2750"/>
        </w:rPr>
        <w:t xml:space="preserve">Falkinham, J. O. Common features of opportunistic premise plumbing pathogens. Int. J. Environ. Res. Public Health </w:t>
      </w:r>
      <w:r>
        <w:rPr>
          <w:rFonts w:ascii="Arial" w:hAnsi="Arial" w:cs="Arial"/>
          <w:sz w:val="37"/>
          <w:sz-cs w:val="37"/>
          <w:b/>
          <w:i/>
          <w:spacing w:val="0"/>
          <w:color w:val="0B2750"/>
        </w:rPr>
        <w:t xml:space="preserve">12</w:t>
      </w:r>
      <w:r>
        <w:rPr>
          <w:rFonts w:ascii="Arial" w:hAnsi="Arial" w:cs="Arial"/>
          <w:sz w:val="37"/>
          <w:sz-cs w:val="37"/>
          <w:b/>
          <w:i/>
          <w:spacing w:val="0"/>
          <w:color w:val="0B2750"/>
        </w:rPr>
        <w:t xml:space="preserve">, 4533–4545 (2015).</w:t>
      </w:r>
    </w:p>
    <w:p>
      <w:pPr>
        <w:ind w:left="720" w:first-line="-720"/>
      </w:pPr>
      <w:r>
        <w:rPr>
          <w:rFonts w:ascii="Arial" w:hAnsi="Arial" w:cs="Arial"/>
          <w:sz w:val="37"/>
          <w:sz-cs w:val="37"/>
          <w:b/>
          <w:i/>
          <w:color w:val="0B2750"/>
        </w:rPr>
        <w:t xml:space="preserve"/>
        <w:tab/>
        <w:t xml:space="preserve">8</w:t>
        <w:tab/>
        <w:t xml:space="preserve"/>
      </w:r>
      <w:r>
        <w:rPr>
          <w:rFonts w:ascii="Arial" w:hAnsi="Arial" w:cs="Arial"/>
          <w:sz w:val="37"/>
          <w:sz-cs w:val="37"/>
          <w:b/>
          <w:i/>
          <w:spacing w:val="0"/>
          <w:color w:val="0B2750"/>
        </w:rPr>
        <w:t xml:space="preserve">Boon, C. &amp; Dick, T. Mycobacterium bovis BCG response regulator essential for slow growth in hypoxia. J. Bacteriol. </w:t>
      </w:r>
      <w:r>
        <w:rPr>
          <w:rFonts w:ascii="Arial" w:hAnsi="Arial" w:cs="Arial"/>
          <w:sz w:val="37"/>
          <w:sz-cs w:val="37"/>
          <w:b/>
          <w:i/>
          <w:spacing w:val="0"/>
          <w:color w:val="0B2750"/>
        </w:rPr>
        <w:t xml:space="preserve">184</w:t>
      </w:r>
      <w:r>
        <w:rPr>
          <w:rFonts w:ascii="Arial" w:hAnsi="Arial" w:cs="Arial"/>
          <w:sz w:val="37"/>
          <w:sz-cs w:val="37"/>
          <w:b/>
          <w:i/>
          <w:spacing w:val="0"/>
          <w:color w:val="0B2750"/>
        </w:rPr>
        <w:t xml:space="preserve">, 6760–6767 (2002).</w:t>
      </w:r>
    </w:p>
    <w:p>
      <w:pPr>
        <w:ind w:left="720" w:first-line="-720"/>
      </w:pPr>
      <w:r>
        <w:rPr>
          <w:rFonts w:ascii="Arial" w:hAnsi="Arial" w:cs="Arial"/>
          <w:sz w:val="37"/>
          <w:sz-cs w:val="37"/>
          <w:b/>
          <w:i/>
          <w:color w:val="0B2750"/>
        </w:rPr>
        <w:t xml:space="preserve"/>
        <w:tab/>
        <w:t xml:space="preserve">9</w:t>
        <w:tab/>
        <w:t xml:space="preserve"/>
      </w:r>
      <w:r>
        <w:rPr>
          <w:rFonts w:ascii="Arial" w:hAnsi="Arial" w:cs="Arial"/>
          <w:sz w:val="37"/>
          <w:sz-cs w:val="37"/>
          <w:b/>
          <w:i/>
          <w:spacing w:val="0"/>
          <w:color w:val="0B2750"/>
        </w:rPr>
        <w:t xml:space="preserve">Houben, E. N. G. et al. ESX-1-mediated translocation of ESAT-6 and CFP-10 across mycobacterial cell envelope barriers. Mol. Microbiol. </w:t>
      </w:r>
      <w:r>
        <w:rPr>
          <w:rFonts w:ascii="Arial" w:hAnsi="Arial" w:cs="Arial"/>
          <w:sz w:val="37"/>
          <w:sz-cs w:val="37"/>
          <w:b/>
          <w:i/>
          <w:spacing w:val="0"/>
          <w:color w:val="0B2750"/>
        </w:rPr>
        <w:t xml:space="preserve">86</w:t>
      </w:r>
      <w:r>
        <w:rPr>
          <w:rFonts w:ascii="Arial" w:hAnsi="Arial" w:cs="Arial"/>
          <w:sz w:val="37"/>
          <w:sz-cs w:val="37"/>
          <w:b/>
          <w:i/>
          <w:spacing w:val="0"/>
          <w:color w:val="0B2750"/>
        </w:rPr>
        <w:t xml:space="preserve">, 870–884 (2012).</w:t>
      </w:r>
    </w:p>
    <w:p>
      <w:pPr>
        <w:ind w:left="720" w:first-line="-720"/>
      </w:pPr>
      <w:r>
        <w:rPr>
          <w:rFonts w:ascii="Arial" w:hAnsi="Arial" w:cs="Arial"/>
          <w:sz w:val="37"/>
          <w:sz-cs w:val="37"/>
          <w:b/>
          <w:i/>
          <w:color w:val="0B2750"/>
        </w:rPr>
        <w:t xml:space="preserve"/>
        <w:tab/>
        <w:t xml:space="preserve">10</w:t>
        <w:tab/>
        <w:t xml:space="preserve"/>
      </w:r>
      <w:r>
        <w:rPr>
          <w:rFonts w:ascii="Arial" w:hAnsi="Arial" w:cs="Arial"/>
          <w:sz w:val="37"/>
          <w:sz-cs w:val="37"/>
          <w:b/>
          <w:i/>
          <w:spacing w:val="0"/>
          <w:color w:val="0B2750"/>
        </w:rPr>
        <w:t xml:space="preserve">Bhatt, A. et al. The role of mycolic acid biosynthesis in mycobacterial membrane permeability. Mol. Microbiol. </w:t>
      </w:r>
      <w:r>
        <w:rPr>
          <w:rFonts w:ascii="Arial" w:hAnsi="Arial" w:cs="Arial"/>
          <w:sz w:val="37"/>
          <w:sz-cs w:val="37"/>
          <w:b/>
          <w:i/>
          <w:spacing w:val="0"/>
          <w:color w:val="0B2750"/>
        </w:rPr>
        <w:t xml:space="preserve">64</w:t>
      </w:r>
      <w:r>
        <w:rPr>
          <w:rFonts w:ascii="Arial" w:hAnsi="Arial" w:cs="Arial"/>
          <w:sz w:val="37"/>
          <w:sz-cs w:val="37"/>
          <w:b/>
          <w:i/>
          <w:spacing w:val="0"/>
          <w:color w:val="0B2750"/>
        </w:rPr>
        <w:t xml:space="preserve">, 1444–1454 (2007).</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