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df" ContentType="application/pdf"/>
  <Override PartName="/word/media/rId31.pdf" ContentType="application/pdf"/>
  <Override PartName="/word/media/rId35.pdf" ContentType="application/pdf"/>
  <Override PartName="/word/media/rId39.pdf" ContentType="application/pdf"/>
  <Override PartName="/word/media/rId43.pdf" ContentType="application/pdf"/>
  <Override PartName="/word/media/rId47.pdf" ContentType="application/pdf"/>
  <Override PartName="/word/media/rId51.pdf" ContentType="application/pdf"/>
  <Override PartName="/word/media/rId55.pdf" ContentType="application/pdf"/>
  <Override PartName="/word/media/rId5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gas-transport model predicts the</w:t>
      </w:r>
      <w:r>
        <w:t xml:space="preserve"> </w:t>
      </w:r>
      <w:r>
        <w:rPr>
          <w:i/>
          <w:iCs/>
        </w:rPr>
        <w:t xml:space="preserve">Arabidopsis</w:t>
      </w:r>
      <w:r>
        <w:t xml:space="preserve"> </w:t>
      </w:r>
      <w:r>
        <w:t xml:space="preserve">spaceflight transcriptome, and hardware ventilation resolves true microgravity responses from sealed canister artifacts</w:t>
      </w:r>
    </w:p>
    <w:p>
      <w:pPr>
        <w:pStyle w:val="Author"/>
      </w:pPr>
    </w:p>
    <w:bookmarkStart w:id="9" w:name="sec:intro"/>
    <w:p>
      <w:pPr>
        <w:pStyle w:val="Heading1"/>
      </w:pPr>
      <w:r>
        <w:t xml:space="preserve">Introduction</w:t>
      </w:r>
    </w:p>
    <w:p>
      <w:pPr>
        <w:pStyle w:val="FirstParagraph"/>
      </w:pPr>
      <w:r>
        <w:t xml:space="preserve">Interpreting a plant spaceflight experiment requires attributing observed transcriptomic, proteomic, and physiological differences to the microgravity environment</w:t>
      </w:r>
      <w:r>
        <w:t xml:space="preserve"> </w:t>
      </w:r>
      <w:r>
        <w:t xml:space="preserve">(Kiss 2014; Paul et al. 2012)</w:t>
      </w:r>
      <w:r>
        <w:t xml:space="preserve">. That attribution rests on a foundational assumption that is rarely validated: that the spaceflight and ground control treatments differ in gravity and in nothing else that significantly perturbs basal cellular metabolism</w:t>
      </w:r>
      <w:r>
        <w:t xml:space="preserve"> </w:t>
      </w:r>
      <w:r>
        <w:t xml:space="preserve">(Barker et al. 2020; Choi et al. 2019)</w:t>
      </w:r>
      <w:r>
        <w:t xml:space="preserve">. Over four decades of orbital research on the Space Shuttle and the International Space Station (ISS), plants have been cultured in diverse enclosures ranging from completely sealed canisters (Biological Research in Canisters, BRIC; Petri Dish Fixation Units, PDFU) and gas-permeable tape dishes (CARA) to actively ventilated hardware (Advanced Biological Research System, ABRS; VEGGIE; and the Advanced Plant Habitat, APH)</w:t>
      </w:r>
      <w:r>
        <w:t xml:space="preserve"> </w:t>
      </w:r>
      <w:r>
        <w:t xml:space="preserve">(Kruse et al. 2020; Paul et al. 2013; Ferl et al. 2015; Olanrewaju et al. 2023)</w:t>
      </w:r>
      <w:r>
        <w:t xml:space="preserve">. These growth systems differ by orders of magnitude in their gas exchange rates with the cabin, yet the true gaseous atmosphere experienced by the plant boundary layer is almost never logged in flight.</w:t>
      </w:r>
    </w:p>
    <w:p>
      <w:pPr>
        <w:pStyle w:val="BodyText"/>
      </w:pPr>
      <w:r>
        <w:t xml:space="preserve">In terrestrial biology, the physical boundary layer surrounding a leaf is continuously stirred by buoyancy-driven thermal convection and ambient air currents</w:t>
      </w:r>
      <w:r>
        <w:t xml:space="preserve"> </w:t>
      </w:r>
      <w:r>
        <w:t xml:space="preserve">(Bauwe et al. 2010; Busch 2020)</w:t>
      </w:r>
      <w:r>
        <w:t xml:space="preserve">. In orbital free-fall, the near-absence of buoyancy eliminates natural convection, thickening boundary layers and creating diffusion-limited microenvironments around transpiring and respiring tissues</w:t>
      </w:r>
      <w:r>
        <w:t xml:space="preserve"> </w:t>
      </w:r>
      <w:r>
        <w:t xml:space="preserve">(Barker 2026)</w:t>
      </w:r>
      <w:r>
        <w:t xml:space="preserve">. The critical biochemical variable governing C</w:t>
      </w:r>
      <m:oMath>
        <m:sSub>
          <m:e>
            <m:r>
              <m:t>​</m:t>
            </m:r>
          </m:e>
          <m:sub>
            <m:r>
              <m:t>3</m:t>
            </m:r>
          </m:sub>
        </m:sSub>
      </m:oMath>
      <w:r>
        <w:t xml:space="preserve"> </w:t>
      </w:r>
      <w:r>
        <w:t xml:space="preserve">photosynthesis is the chloroplastic CO</w:t>
      </w:r>
      <m:oMath>
        <m:sSub>
          <m:e>
            <m:r>
              <m:t>​</m:t>
            </m:r>
          </m:e>
          <m:sub>
            <m:r>
              <m:t>2</m:t>
            </m:r>
          </m:sub>
        </m:sSub>
      </m:oMath>
      <w:r>
        <w:t xml:space="preserve"> </w:t>
      </w:r>
      <w:r>
        <w:t xml:space="preserve">mole fraction,</w:t>
      </w:r>
      <w:r>
        <w:t xml:space="preserve"> </w:t>
      </w:r>
      <m:oMath>
        <m:sSub>
          <m:e>
            <m:r>
              <m:t>C</m:t>
            </m:r>
          </m:e>
          <m:sub>
            <m:r>
              <m:t>c</m:t>
            </m:r>
          </m:sub>
        </m:sSub>
      </m:oMath>
      <w:r>
        <w:t xml:space="preserve">, which sits at the terminus of a series of diffusive conductances: from bulk air across the boundary layer (</w:t>
      </w:r>
      <m:oMath>
        <m:sSub>
          <m:e>
            <m:r>
              <m:t>g</m:t>
            </m:r>
          </m:e>
          <m:sub>
            <m:r>
              <m:t>b</m:t>
            </m:r>
            <m:r>
              <m:t>l</m:t>
            </m:r>
          </m:sub>
        </m:sSub>
      </m:oMath>
      <w:r>
        <w:t xml:space="preserve">), through the stomata (</w:t>
      </w:r>
      <m:oMath>
        <m:sSub>
          <m:e>
            <m:r>
              <m:t>g</m:t>
            </m:r>
          </m:e>
          <m:sub>
            <m:r>
              <m:t>s</m:t>
            </m:r>
          </m:sub>
        </m:sSub>
      </m:oMath>
      <w:r>
        <w:t xml:space="preserve">), and across the mesophyll (</w:t>
      </w:r>
      <m:oMath>
        <m:sSub>
          <m:e>
            <m:r>
              <m:t>g</m:t>
            </m:r>
          </m:e>
          <m:sub>
            <m:r>
              <m:t>m</m:t>
            </m:r>
          </m:sub>
        </m:sSub>
      </m:oMath>
      <w:r>
        <w:t xml:space="preserve">)</w:t>
      </w:r>
      <w:r>
        <w:t xml:space="preserve"> </w:t>
      </w:r>
      <w:r>
        <w:t xml:space="preserve">(Sharkey et al. 2007; Bernacchi et al. 2001)</w:t>
      </w:r>
      <w:r>
        <w:t xml:space="preserve">. Only the boundary-layer conductance</w:t>
      </w:r>
      <w:r>
        <w:t xml:space="preserve"> </w:t>
      </w:r>
      <m:oMath>
        <m:sSub>
          <m:e>
            <m:r>
              <m:t>g</m:t>
            </m:r>
          </m:e>
          <m:sub>
            <m:r>
              <m:t>b</m:t>
            </m:r>
            <m:r>
              <m:t>l</m:t>
            </m:r>
          </m:sub>
        </m:sSub>
      </m:oMath>
      <w:r>
        <w:t xml:space="preserve"> </w:t>
      </w:r>
      <w:r>
        <w:t xml:space="preserve">is directly dependent on gravity through buoyancy-driven flow. Rubisco partitions catalytic activity between carboxylation (</w:t>
      </w:r>
      <m:oMath>
        <m:sSub>
          <m:e>
            <m:r>
              <m:t>V</m:t>
            </m:r>
          </m:e>
          <m:sub>
            <m:r>
              <m:t>c</m:t>
            </m:r>
          </m:sub>
        </m:sSub>
      </m:oMath>
      <w:r>
        <w:t xml:space="preserve">) and oxygenation (</w:t>
      </w:r>
      <m:oMath>
        <m:sSub>
          <m:e>
            <m:r>
              <m:t>V</m:t>
            </m:r>
          </m:e>
          <m:sub>
            <m:r>
              <m:t>o</m:t>
            </m:r>
          </m:sub>
        </m:sSub>
      </m:oMath>
      <w:r>
        <w:t xml:space="preserve">) as</w:t>
      </w:r>
      <w:r>
        <w:t xml:space="preserve"> </w:t>
      </w:r>
      <m:oMath>
        <m:sSub>
          <m:e>
            <m:r>
              <m:t>V</m:t>
            </m:r>
          </m:e>
          <m:sub>
            <m:r>
              <m:t>o</m:t>
            </m:r>
          </m:sub>
        </m:sSub>
        <m:r>
          <m:rPr>
            <m:sty m:val="p"/>
          </m:rPr>
          <m:t>/</m:t>
        </m:r>
        <m:sSub>
          <m:e>
            <m:r>
              <m:t>V</m:t>
            </m:r>
          </m:e>
          <m:sub>
            <m:r>
              <m:t>c</m:t>
            </m:r>
          </m:sub>
        </m:sSub>
        <m:r>
          <m:rPr>
            <m:sty m:val="p"/>
          </m:rPr>
          <m:t>=</m:t>
        </m:r>
        <m:r>
          <m:t>2</m:t>
        </m:r>
        <m:sSup>
          <m:e>
            <m:r>
              <m:rPr>
                <m:sty m:val="p"/>
              </m:rPr>
              <m:t>Γ</m:t>
            </m:r>
          </m:e>
          <m:sup>
            <m:r>
              <m:rPr>
                <m:sty m:val="p"/>
              </m:rPr>
              <m:t>*</m:t>
            </m:r>
          </m:sup>
        </m:sSup>
        <m:r>
          <m:rPr>
            <m:sty m:val="p"/>
          </m:rPr>
          <m:t>/</m:t>
        </m:r>
        <m:sSub>
          <m:e>
            <m:r>
              <m:t>C</m:t>
            </m:r>
          </m:e>
          <m:sub>
            <m:r>
              <m:t>c</m:t>
            </m:r>
          </m:sub>
        </m:sSub>
      </m:oMath>
      <w:r>
        <w:t xml:space="preserve"> </w:t>
      </w:r>
      <w:r>
        <w:t xml:space="preserve">(Farquhar et al. 1980)</w:t>
      </w:r>
      <w:r>
        <w:t xml:space="preserve">. Consequently, any physical restriction that suppresses</w:t>
      </w:r>
      <w:r>
        <w:t xml:space="preserve"> </w:t>
      </w:r>
      <m:oMath>
        <m:sSub>
          <m:e>
            <m:r>
              <m:t>C</m:t>
            </m:r>
          </m:e>
          <m:sub>
            <m:r>
              <m:t>c</m:t>
            </m:r>
          </m:sub>
        </m:sSub>
      </m:oMath>
      <w:r>
        <w:t xml:space="preserve"> </w:t>
      </w:r>
      <w:r>
        <w:t xml:space="preserve">inevitably elevates the oxygenation fraction</w:t>
      </w:r>
      <w:r>
        <w:t xml:space="preserve"> </w:t>
      </w:r>
      <m:oMath>
        <m:r>
          <m:t>φ</m:t>
        </m:r>
      </m:oMath>
      <w:r>
        <w:t xml:space="preserve">, driving photorespiratory carbon oxidation and nitrogen remobilization</w:t>
      </w:r>
      <w:r>
        <w:t xml:space="preserve"> </w:t>
      </w:r>
      <w:r>
        <w:t xml:space="preserve">(Bauwe et al. 2010)</w:t>
      </w:r>
      <w:r>
        <w:t xml:space="preserve">.</w:t>
      </w:r>
    </w:p>
    <w:p>
      <w:pPr>
        <w:pStyle w:val="BodyText"/>
      </w:pPr>
      <w:r>
        <w:t xml:space="preserve">Here, we integrate fluid dynamics, biochemical modeling, and multi-omics re-analysis to resolve a longstanding paradox in space biology. By deploying a lattice-Boltzmann solver (LunarLeaf-CFD) coupled to the Farquhar–von Caemmerer–Berry (FvCB) model, we first formulate blind predictions regarding carbon drawdown in sealed hardware (BRIC-LED, OSD-522)</w:t>
      </w:r>
      <w:r>
        <w:t xml:space="preserve"> </w:t>
      </w:r>
      <w:r>
        <w:t xml:space="preserve">(</w:t>
      </w:r>
      <w:r>
        <w:rPr>
          <w:i/>
          <w:iCs/>
        </w:rPr>
        <w:t xml:space="preserve">Integrative Transcriptomics and Proteomics Profiling of</w:t>
      </w:r>
      <w:r>
        <w:rPr>
          <w:i/>
          <w:iCs/>
        </w:rPr>
        <w:t xml:space="preserve"> </w:t>
      </w:r>
      <w:r>
        <w:rPr>
          <w:i/>
          <w:i/>
          <w:iCs/>
          <w:iCs/>
        </w:rPr>
        <w:t xml:space="preserve">Arabidopsis Thaliana</w:t>
      </w:r>
      <w:r>
        <w:rPr>
          <w:i/>
          <w:iCs/>
        </w:rPr>
        <w:t xml:space="preserve"> </w:t>
      </w:r>
      <w:r>
        <w:rPr>
          <w:i/>
          <w:iCs/>
        </w:rPr>
        <w:t xml:space="preserve">Elucidates Novel Mechanisms Underlying Spaceflight Adaptation</w:t>
      </w:r>
      <w:r>
        <w:t xml:space="preserve"> </w:t>
      </w:r>
      <w:r>
        <w:t xml:space="preserve">2022)</w:t>
      </w:r>
      <w:r>
        <w:t xml:space="preserve">. We then test these predictions across transcriptomic, proteomic, and predicted metabolomic layers using PaintOmics 4</w:t>
      </w:r>
      <w:r>
        <w:t xml:space="preserve"> </w:t>
      </w:r>
      <w:r>
        <w:t xml:space="preserve">(Liu et al. 2022)</w:t>
      </w:r>
      <w:r>
        <w:t xml:space="preserve">. Finally, we analyze the NASA TAGES mission flown in ventilated ABRS hardware (OSD-7 and OSD-16)</w:t>
      </w:r>
      <w:r>
        <w:t xml:space="preserve"> </w:t>
      </w:r>
      <w:r>
        <w:t xml:space="preserve">(</w:t>
      </w:r>
      <w:r>
        <w:rPr>
          <w:i/>
          <w:iCs/>
        </w:rPr>
        <w:t xml:space="preserve">Organ-Specific Remodeling of the</w:t>
      </w:r>
      <w:r>
        <w:rPr>
          <w:i/>
          <w:iCs/>
        </w:rPr>
        <w:t xml:space="preserve"> </w:t>
      </w:r>
      <w:r>
        <w:rPr>
          <w:i/>
          <w:i/>
          <w:iCs/>
          <w:iCs/>
        </w:rPr>
        <w:t xml:space="preserve">Arabidopsis</w:t>
      </w:r>
      <w:r>
        <w:rPr>
          <w:i/>
          <w:iCs/>
        </w:rPr>
        <w:t xml:space="preserve"> </w:t>
      </w:r>
      <w:r>
        <w:rPr>
          <w:i/>
          <w:iCs/>
        </w:rPr>
        <w:t xml:space="preserve">Transcriptome in Response to Spaceflight</w:t>
      </w:r>
      <w:r>
        <w:t xml:space="preserve"> </w:t>
      </w:r>
      <w:r>
        <w:t xml:space="preserve">2013;</w:t>
      </w:r>
      <w:r>
        <w:t xml:space="preserve"> </w:t>
      </w:r>
      <w:r>
        <w:rPr>
          <w:i/>
          <w:iCs/>
        </w:rPr>
        <w:t xml:space="preserve">Spaceflight Induces Specific Alterations in the Proteomes of</w:t>
      </w:r>
      <w:r>
        <w:rPr>
          <w:i/>
          <w:iCs/>
        </w:rPr>
        <w:t xml:space="preserve"> </w:t>
      </w:r>
      <w:r>
        <w:rPr>
          <w:i/>
          <w:i/>
          <w:iCs/>
          <w:iCs/>
        </w:rPr>
        <w:t xml:space="preserve">Arabidopsis</w:t>
      </w:r>
      <w:r>
        <w:t xml:space="preserve"> </w:t>
      </w:r>
      <w:r>
        <w:t xml:space="preserve">2015; Paul et al. 2013; Ferl et al. 2015)</w:t>
      </w:r>
      <w:r>
        <w:t xml:space="preserve"> </w:t>
      </w:r>
      <w:r>
        <w:t xml:space="preserve">and build an extended seven-study hardware ladder. This comparative framework demonstrates that active ventilation and super-ambient ISS CO</w:t>
      </w:r>
      <m:oMath>
        <m:sSub>
          <m:e>
            <m:r>
              <m:t>​</m:t>
            </m:r>
          </m:e>
          <m:sub>
            <m:r>
              <m:t>2</m:t>
            </m:r>
          </m:sub>
        </m:sSub>
      </m:oMath>
      <w:r>
        <w:t xml:space="preserve"> </w:t>
      </w:r>
      <w:r>
        <w:t xml:space="preserve">eliminate hardware-induced endoplasmic reticulum stress, isolate genuine microgravity responses, and provide an empirical baseline for future spaceflight agriculture.</w:t>
      </w:r>
    </w:p>
    <w:bookmarkEnd w:id="9"/>
    <w:bookmarkStart w:id="17" w:name="sec:results"/>
    <w:p>
      <w:pPr>
        <w:pStyle w:val="Heading1"/>
      </w:pPr>
      <w:r>
        <w:t xml:space="preserve">Results</w:t>
      </w:r>
    </w:p>
    <w:bookmarkStart w:id="10" w:name="sec:drawdown"/>
    <w:p>
      <w:pPr>
        <w:pStyle w:val="Heading2"/>
      </w:pPr>
      <w:r>
        <w:t xml:space="preserve">An illuminated sealed canister is a CO</w:t>
      </w:r>
      <m:oMath>
        <m:sSub>
          <m:e>
            <m:r>
              <m:t>​</m:t>
            </m:r>
          </m:e>
          <m:sub>
            <m:r>
              <m:t>2</m:t>
            </m:r>
          </m:sub>
        </m:sSub>
      </m:oMath>
      <w:r>
        <w:t xml:space="preserve">-starvation chamber</w:t>
      </w:r>
    </w:p>
    <w:p>
      <w:pPr>
        <w:pStyle w:val="FirstParagraph"/>
      </w:pPr>
      <w:r>
        <w:t xml:space="preserve">To quantify the internal gas dynamics of sealed flight hardware, we performed unsteady mass-balance simulations using LunarLeaf-CFD</w:t>
      </w:r>
      <w:r>
        <w:t xml:space="preserve"> </w:t>
      </w:r>
      <w:r>
        <w:t xml:space="preserve">(Barker 2026)</w:t>
      </w:r>
      <w:r>
        <w:t xml:space="preserve">, a lattice-Boltzmann solver validated against analytical boundary-layer solutions and empirical mass-transfer benchmarks. For a standard Biological Research in Canisters (BRIC) enclosure carrying five Petri Dish Fixation Units (PDFUs) under illumination (60 μmol m</w:t>
      </w:r>
      <m:oMath>
        <m:sSup>
          <m:e>
            <m:r>
              <m:t>​</m:t>
            </m:r>
          </m:e>
          <m:sup>
            <m:r>
              <m:rPr>
                <m:sty m:val="p"/>
              </m:rPr>
              <m:t>−</m:t>
            </m:r>
            <m:r>
              <m:t>2</m:t>
            </m:r>
          </m:sup>
        </m:sSup>
      </m:oMath>
      <w:r>
        <w:t xml:space="preserve"> </w:t>
      </w:r>
      <w:r>
        <w:t xml:space="preserve">s</w:t>
      </w:r>
      <m:oMath>
        <m:sSup>
          <m:e>
            <m:r>
              <m:t>​</m:t>
            </m:r>
          </m:e>
          <m:sup>
            <m:r>
              <m:rPr>
                <m:sty m:val="p"/>
              </m:rPr>
              <m:t>−</m:t>
            </m:r>
            <m:r>
              <m:t>1</m:t>
            </m:r>
          </m:sup>
        </m:sSup>
      </m:oMath>
      <w:r>
        <w:t xml:space="preserve"> </w:t>
      </w:r>
      <w:r>
        <w:t xml:space="preserve">PAR), photosynthetic CO</w:t>
      </w:r>
      <m:oMath>
        <m:sSub>
          <m:e>
            <m:r>
              <m:t>​</m:t>
            </m:r>
          </m:e>
          <m:sub>
            <m:r>
              <m:t>2</m:t>
            </m:r>
          </m:sub>
        </m:sSub>
      </m:oMath>
      <w:r>
        <w:t xml:space="preserve"> </w:t>
      </w:r>
      <w:r>
        <w:t xml:space="preserve">assimilation rapidly depletes the sealed reservoir (Fig. </w:t>
      </w:r>
      <w:hyperlink w:anchor="fig:hardware">
        <w:r>
          <w:rPr>
            <w:rStyle w:val="Hyperlink"/>
          </w:rPr>
          <w:t xml:space="preserve">1</w:t>
        </w:r>
      </w:hyperlink>
      <w:r>
        <w:t xml:space="preserve">a). Beginning at nominal atmospheric CO</w:t>
      </w:r>
      <m:oMath>
        <m:sSub>
          <m:e>
            <m:r>
              <m:t>​</m:t>
            </m:r>
          </m:e>
          <m:sub>
            <m:r>
              <m:t>2</m:t>
            </m:r>
          </m:sub>
        </m:sSub>
      </m:oMath>
      <w:r>
        <w:t xml:space="preserve"> </w:t>
      </w:r>
      <w:r>
        <w:t xml:space="preserve">(400 ppm), photosynthetic uptake draws the canister atmosphere down to near the compensation point within seven minutes (Fig. </w:t>
      </w:r>
      <w:hyperlink w:anchor="fig:hardware">
        <w:r>
          <w:rPr>
            <w:rStyle w:val="Hyperlink"/>
          </w:rPr>
          <w:t xml:space="preserve">1</w:t>
        </w:r>
      </w:hyperlink>
      <w:r>
        <w:t xml:space="preserve">b). Integrated over a 12 h photoperiod, total carbon fixation in sealed BRIC hardware is reduced to approximately 1 % of that achieved by an unenclosed control, compared to 90 % for micropore tape (CARA) and 100 % for actively ventilated chambers (Fig. </w:t>
      </w:r>
      <w:hyperlink w:anchor="fig:hardware">
        <w:r>
          <w:rPr>
            <w:rStyle w:val="Hyperlink"/>
          </w:rPr>
          <w:t xml:space="preserve">1</w:t>
        </w:r>
      </w:hyperlink>
      <w:r>
        <w:t xml:space="preserve">c).</w:t>
      </w:r>
    </w:p>
    <w:p>
      <w:pPr>
        <w:pStyle w:val="BodyText"/>
      </w:pPr>
      <w:r>
        <w:t xml:space="preserve">Because this drawdown is governed strictly by the stoichiometric mass balance between photosynthetic uptake and the finite internal gas volume of the canister (</w:t>
      </w:r>
      <m:oMath>
        <m:r>
          <m:t>V</m:t>
        </m:r>
        <m:r>
          <m:rPr>
            <m:sty m:val="p"/>
          </m:rPr>
          <m:t>≈</m:t>
        </m:r>
        <m:r>
          <m:t>0.001</m:t>
        </m:r>
      </m:oMath>
      <w:r>
        <w:t xml:space="preserve"> m</w:t>
      </w:r>
      <m:oMath>
        <m:sSup>
          <m:e>
            <m:r>
              <m:t>​</m:t>
            </m:r>
          </m:e>
          <m:sup>
            <m:r>
              <m:t>3</m:t>
            </m:r>
          </m:sup>
        </m:sSup>
      </m:oMath>
      <w:r>
        <w:t xml:space="preserve">), it occurs with near-identical kinetics in the</w:t>
      </w:r>
      <w:r>
        <w:t xml:space="preserve"> </w:t>
      </w:r>
      <m:oMath>
        <m:r>
          <m:t>1</m:t>
        </m:r>
        <m:r>
          <m:t>g</m:t>
        </m:r>
      </m:oMath>
      <w:r>
        <w:t xml:space="preserve"> </w:t>
      </w:r>
      <w:r>
        <w:t xml:space="preserve">ground control. Consequently, in the flight-versus-ground contrasts reported in space biology repositories, this massive carbon deficit cancels out mathematically. However, it profoundly alters the biological baseline: flight plants are compared not to healthy terrestrial controls, but to ground controls that are severely carbon-starved.</w:t>
      </w:r>
    </w:p>
    <w:bookmarkEnd w:id="10"/>
    <w:bookmarkStart w:id="11" w:name="sec:fvcb"/>
    <w:p>
      <w:pPr>
        <w:pStyle w:val="Heading2"/>
      </w:pPr>
      <w:r>
        <w:t xml:space="preserve">What that does to Rubisco, and what gravity does not do</w:t>
      </w:r>
    </w:p>
    <w:p>
      <w:pPr>
        <w:pStyle w:val="FirstParagraph"/>
      </w:pPr>
      <w:r>
        <w:t xml:space="preserve">We coupled boundary-layer conductances (</w:t>
      </w:r>
      <m:oMath>
        <m:sSub>
          <m:e>
            <m:r>
              <m:t>g</m:t>
            </m:r>
          </m:e>
          <m:sub>
            <m:r>
              <m:t>b</m:t>
            </m:r>
            <m:r>
              <m:t>l</m:t>
            </m:r>
          </m:sub>
        </m:sSub>
      </m:oMath>
      <w:r>
        <w:t xml:space="preserve">) derived from LunarLeaf-CFD to an in-vivo parameterised Farquhar–von Caemmerer–Berry (FvCB) model of C</w:t>
      </w:r>
      <m:oMath>
        <m:sSub>
          <m:e>
            <m:r>
              <m:t>​</m:t>
            </m:r>
          </m:e>
          <m:sub>
            <m:r>
              <m:t>3</m:t>
            </m:r>
          </m:sub>
        </m:sSub>
      </m:oMath>
      <w:r>
        <w:t xml:space="preserve"> </w:t>
      </w:r>
      <w:r>
        <w:t xml:space="preserve">photosynthesis</w:t>
      </w:r>
      <w:r>
        <w:t xml:space="preserve"> </w:t>
      </w:r>
      <w:r>
        <w:t xml:space="preserve">(Farquhar et al. 1980; Bernacchi et al. 2001, 2003)</w:t>
      </w:r>
      <w:r>
        <w:t xml:space="preserve">. Moving a rosette leaf from ambient air (400 ppm) into a drawn-down canister (100 ppm) shifts the operating point along its CO</w:t>
      </w:r>
      <m:oMath>
        <m:sSub>
          <m:e>
            <m:r>
              <m:t>​</m:t>
            </m:r>
          </m:e>
          <m:sub>
            <m:r>
              <m:t>2</m:t>
            </m:r>
          </m:sub>
        </m:sSub>
      </m:oMath>
      <w:r>
        <w:t xml:space="preserve"> </w:t>
      </w:r>
      <w:r>
        <w:t xml:space="preserve">response curve, raising the Rubisco oxygenation fraction</w:t>
      </w:r>
      <w:r>
        <w:t xml:space="preserve"> </w:t>
      </w:r>
      <m:oMath>
        <m:r>
          <m:t>φ</m:t>
        </m:r>
        <m:r>
          <m:rPr>
            <m:sty m:val="p"/>
          </m:rPr>
          <m:t>=</m:t>
        </m:r>
        <m:sSub>
          <m:e>
            <m:r>
              <m:t>V</m:t>
            </m:r>
          </m:e>
          <m:sub>
            <m:r>
              <m:t>o</m:t>
            </m:r>
          </m:sub>
        </m:sSub>
        <m:r>
          <m:rPr>
            <m:sty m:val="p"/>
          </m:rPr>
          <m:t>/</m:t>
        </m:r>
        <m:sSub>
          <m:e>
            <m:r>
              <m:t>V</m:t>
            </m:r>
          </m:e>
          <m:sub>
            <m:r>
              <m:t>c</m:t>
            </m:r>
          </m:sub>
        </m:sSub>
      </m:oMath>
      <w:r>
        <w:t xml:space="preserve"> </w:t>
      </w:r>
      <w:r>
        <w:t xml:space="preserve">from 28.3 % to 53.7 % (Fig. </w:t>
      </w:r>
      <w:hyperlink w:anchor="fig:fvcb">
        <w:r>
          <w:rPr>
            <w:rStyle w:val="Hyperlink"/>
          </w:rPr>
          <w:t xml:space="preserve">2</w:t>
        </w:r>
      </w:hyperlink>
      <w:r>
        <w:t xml:space="preserve">a, Table </w:t>
      </w:r>
      <w:hyperlink w:anchor="tab:operating">
        <w:r>
          <w:rPr>
            <w:rStyle w:val="Hyperlink"/>
          </w:rPr>
          <w:t xml:space="preserve">1</w:t>
        </w:r>
      </w:hyperlink>
      <w:r>
        <w:t xml:space="preserve">).</w:t>
      </w:r>
    </w:p>
    <w:p>
      <w:pPr>
        <w:pStyle w:val="BodyText"/>
      </w:pPr>
      <w:r>
        <w:t xml:space="preserve">We originally hypothesised that microgravity boundary-layer thickening would exacerbate CO</w:t>
      </w:r>
      <m:oMath>
        <m:sSub>
          <m:e>
            <m:r>
              <m:t>​</m:t>
            </m:r>
          </m:e>
          <m:sub>
            <m:r>
              <m:t>2</m:t>
            </m:r>
          </m:sub>
        </m:sSub>
      </m:oMath>
      <w:r>
        <w:t xml:space="preserve"> </w:t>
      </w:r>
      <w:r>
        <w:t xml:space="preserve">starvation in flight. Remarkably, the model refutes this intuition (Fig. </w:t>
      </w:r>
      <w:hyperlink w:anchor="fig:fvcb">
        <w:r>
          <w:rPr>
            <w:rStyle w:val="Hyperlink"/>
          </w:rPr>
          <w:t xml:space="preserve">2</w:t>
        </w:r>
      </w:hyperlink>
      <w:r>
        <w:t xml:space="preserve">b). As ambient CO</w:t>
      </w:r>
      <m:oMath>
        <m:sSub>
          <m:e>
            <m:r>
              <m:t>​</m:t>
            </m:r>
          </m:e>
          <m:sub>
            <m:r>
              <m:t>2</m:t>
            </m:r>
          </m:sub>
        </m:sSub>
      </m:oMath>
      <w:r>
        <w:t xml:space="preserve"> </w:t>
      </w:r>
      <w:r>
        <w:t xml:space="preserve">falls toward the compensation point, net assimilation</w:t>
      </w:r>
      <w:r>
        <w:t xml:space="preserve"> </w:t>
      </w:r>
      <m:oMath>
        <m:r>
          <m:t>A</m:t>
        </m:r>
      </m:oMath>
      <w:r>
        <w:t xml:space="preserve"> </w:t>
      </w:r>
      <w:r>
        <w:t xml:space="preserve">declines in parallel. Because the diffusive gradient across the boundary layer is given by</w:t>
      </w:r>
      <w:r>
        <w:t xml:space="preserve"> </w:t>
      </w:r>
      <m:oMath>
        <m:r>
          <m:rPr>
            <m:sty m:val="p"/>
          </m:rPr>
          <m:t>Δ</m:t>
        </m:r>
        <m:r>
          <m:t>C</m:t>
        </m:r>
        <m:r>
          <m:rPr>
            <m:sty m:val="p"/>
          </m:rPr>
          <m:t>=</m:t>
        </m:r>
        <m:r>
          <m:t>A</m:t>
        </m:r>
        <m:r>
          <m:rPr>
            <m:sty m:val="p"/>
          </m:rPr>
          <m:t>/</m:t>
        </m:r>
        <m:sSub>
          <m:e>
            <m:r>
              <m:t>g</m:t>
            </m:r>
          </m:e>
          <m:sub>
            <m:r>
              <m:t>b</m:t>
            </m:r>
            <m:r>
              <m:t>l</m:t>
            </m:r>
          </m:sub>
        </m:sSub>
      </m:oMath>
      <w:r>
        <w:t xml:space="preserve">, the absolute concentration drop across the boundary layer tends toward zero as</w:t>
      </w:r>
      <w:r>
        <w:t xml:space="preserve"> </w:t>
      </w:r>
      <m:oMath>
        <m:r>
          <m:t>A</m:t>
        </m:r>
        <m:r>
          <m:rPr>
            <m:sty m:val="p"/>
          </m:rPr>
          <m:t>→</m:t>
        </m:r>
        <m:r>
          <m:t>0</m:t>
        </m:r>
      </m:oMath>
      <w:r>
        <w:t xml:space="preserve">. As a result, the chloroplastic CO</w:t>
      </w:r>
      <m:oMath>
        <m:sSub>
          <m:e>
            <m:r>
              <m:t>​</m:t>
            </m:r>
          </m:e>
          <m:sub>
            <m:r>
              <m:t>2</m:t>
            </m:r>
          </m:sub>
        </m:sSub>
      </m:oMath>
      <w:r>
        <w:t xml:space="preserve"> </w:t>
      </w:r>
      <w:r>
        <w:t xml:space="preserve">mole fractions (</w:t>
      </w:r>
      <m:oMath>
        <m:sSub>
          <m:e>
            <m:r>
              <m:t>C</m:t>
            </m:r>
          </m:e>
          <m:sub>
            <m:r>
              <m:t>c</m:t>
            </m:r>
          </m:sub>
        </m:sSub>
      </m:oMath>
      <w:r>
        <w:t xml:space="preserve">) of</w:t>
      </w:r>
      <w:r>
        <w:t xml:space="preserve"> </w:t>
      </w:r>
      <m:oMath>
        <m:r>
          <m:t>1</m:t>
        </m:r>
        <m:r>
          <m:t>g</m:t>
        </m:r>
      </m:oMath>
      <w:r>
        <w:t xml:space="preserve"> </w:t>
      </w:r>
      <w:r>
        <w:t xml:space="preserve">and</w:t>
      </w:r>
      <w:r>
        <w:t xml:space="preserve"> </w:t>
      </w:r>
      <m:oMath>
        <m:r>
          <m:t>μ</m:t>
        </m:r>
        <m:r>
          <m:t>g</m:t>
        </m:r>
      </m:oMath>
      <w:r>
        <w:t xml:space="preserve"> </w:t>
      </w:r>
      <w:r>
        <w:t xml:space="preserve">leaves converge. What remains is a persistent, proportional carbon assimilation penalty of 5 % at the single-leaf scale, 7 % at the rosette scale, and 9 % in a dense canopy, which remains invariant across canister drawdown (Fig. </w:t>
      </w:r>
      <w:hyperlink w:anchor="fig:fvcb">
        <w:r>
          <w:rPr>
            <w:rStyle w:val="Hyperlink"/>
          </w:rPr>
          <w:t xml:space="preserve">2</w:t>
        </w:r>
      </w:hyperlink>
      <w:r>
        <w:t xml:space="preserve">c).</w:t>
      </w:r>
    </w:p>
    <w:p>
      <w:pPr>
        <w:pStyle w:val="BodyText"/>
      </w:pPr>
      <w:r>
        <w:t xml:space="preserve">Translating these fluxes into predicted metabolite pool log</w:t>
      </w:r>
      <m:oMath>
        <m:sSub>
          <m:e>
            <m:r>
              <m:t>​</m:t>
            </m:r>
          </m:e>
          <m:sub>
            <m:r>
              <m:t>2</m:t>
            </m:r>
          </m:sub>
        </m:sSub>
      </m:oMath>
      <w:r>
        <w:t xml:space="preserve"> </w:t>
      </w:r>
      <w:r>
        <w:t xml:space="preserve">fold changes reveals an extreme asymmetry: the enclosure effect (sealed canister versus ventilated air) is approximately 25 times larger than the gravity effect (flight versus ground) (Fig. </w:t>
      </w:r>
      <w:hyperlink w:anchor="fig:fvcb">
        <w:r>
          <w:rPr>
            <w:rStyle w:val="Hyperlink"/>
          </w:rPr>
          <w:t xml:space="preserve">2</w:t>
        </w:r>
      </w:hyperlink>
      <w:r>
        <w:t xml:space="preserve">d).</w:t>
      </w:r>
    </w:p>
    <w:bookmarkEnd w:id="11"/>
    <w:bookmarkStart w:id="12" w:name="sec:metabolome"/>
    <w:p>
      <w:pPr>
        <w:pStyle w:val="Heading2"/>
      </w:pPr>
      <w:r>
        <w:t xml:space="preserve">Predicting the unmeasured spaceflight metabolome</w:t>
      </w:r>
    </w:p>
    <w:p>
      <w:pPr>
        <w:pStyle w:val="FirstParagraph"/>
      </w:pPr>
      <w:r>
        <w:t xml:space="preserve">Comprehensive pathway enrichment requires transcriptomic, proteomic, and metabolomic coverage. An exhaustive query of all 567 studies in the NASA Open Science Data Repository (OSDR)</w:t>
      </w:r>
      <w:r>
        <w:t xml:space="preserve"> </w:t>
      </w:r>
      <w:r>
        <w:t xml:space="preserve">(Gebre et al. 2025)</w:t>
      </w:r>
      <w:r>
        <w:t xml:space="preserve"> </w:t>
      </w:r>
      <w:r>
        <w:t xml:space="preserve">revealed that while six studies contain mass-spectrometry metabolite profiling, all six were performed on mammalian or microbial specimens.</w:t>
      </w:r>
      <w:r>
        <w:t xml:space="preserve"> </w:t>
      </w:r>
      <w:r>
        <w:rPr>
          <w:b/>
          <w:bCs/>
        </w:rPr>
        <w:t xml:space="preserve">Not a single one of the 66 plant spaceflight studies contains metabolomic data.</w:t>
      </w:r>
    </w:p>
    <w:p>
      <w:pPr>
        <w:pStyle w:val="BodyText"/>
      </w:pPr>
      <w:r>
        <w:t xml:space="preserve">To enable multi-omics integration without introducing circularity, we generated a 21-compound predicted metabolome directly from our biophysical model (Fig. </w:t>
      </w:r>
      <w:hyperlink w:anchor="fig:metabolome">
        <w:r>
          <w:rPr>
            <w:rStyle w:val="Hyperlink"/>
          </w:rPr>
          <w:t xml:space="preserve">3</w:t>
        </w:r>
      </w:hyperlink>
      <w:r>
        <w:t xml:space="preserve">). At quasi-steady state, pools were modeled as tracking their direct biosynthetic fluxes: eight intermediates of the C</w:t>
      </w:r>
      <m:oMath>
        <m:sSub>
          <m:e>
            <m:r>
              <m:t>​</m:t>
            </m:r>
          </m:e>
          <m:sub>
            <m:r>
              <m:t>2</m:t>
            </m:r>
          </m:sub>
        </m:sSub>
      </m:oMath>
      <w:r>
        <w:t xml:space="preserve"> </w:t>
      </w:r>
      <w:r>
        <w:t xml:space="preserve">photorespiratory cycle (tracking</w:t>
      </w:r>
      <w:r>
        <w:t xml:space="preserve"> </w:t>
      </w:r>
      <m:oMath>
        <m:sSub>
          <m:e>
            <m:r>
              <m:t>V</m:t>
            </m:r>
          </m:e>
          <m:sub>
            <m:r>
              <m:t>o</m:t>
            </m:r>
          </m:sub>
        </m:sSub>
      </m:oMath>
      <w:r>
        <w:t xml:space="preserve">), six photosynthate pools (tracking</w:t>
      </w:r>
      <w:r>
        <w:t xml:space="preserve"> </w:t>
      </w:r>
      <m:oMath>
        <m:r>
          <m:t>A</m:t>
        </m:r>
      </m:oMath>
      <w:r>
        <w:t xml:space="preserve">), RuBP (tracking carboxylation substrate limitation), and six amino acid markers of the SnRK1 low-energy starvation response</w:t>
      </w:r>
      <w:r>
        <w:t xml:space="preserve"> </w:t>
      </w:r>
      <w:r>
        <w:t xml:space="preserve">(Baena-González and Lunn 2020)</w:t>
      </w:r>
      <w:r>
        <w:t xml:space="preserve">. Compounds whose biosynthetic drivers are ambiguous, such as tricarboxylic acid cycle intermediates and fermentation products, were deliberately excluded with their rationale documented.</w:t>
      </w:r>
    </w:p>
    <w:bookmarkEnd w:id="12"/>
    <w:bookmarkStart w:id="13" w:name="sec:blind"/>
    <w:p>
      <w:pPr>
        <w:pStyle w:val="Heading2"/>
      </w:pPr>
      <w:r>
        <w:t xml:space="preserve">Blind validation against OSD-522 (BRIC-LED)</w:t>
      </w:r>
    </w:p>
    <w:p>
      <w:pPr>
        <w:pStyle w:val="FirstParagraph"/>
      </w:pPr>
      <w:r>
        <w:t xml:space="preserve">To test these predictions without tuning parameters to flight data, we analyzed OSD-522</w:t>
      </w:r>
      <w:r>
        <w:t xml:space="preserve"> </w:t>
      </w:r>
      <w:r>
        <w:t xml:space="preserve">(</w:t>
      </w:r>
      <w:r>
        <w:rPr>
          <w:i/>
          <w:iCs/>
        </w:rPr>
        <w:t xml:space="preserve">Integrative Transcriptomics and Proteomics Profiling of</w:t>
      </w:r>
      <w:r>
        <w:rPr>
          <w:i/>
          <w:iCs/>
        </w:rPr>
        <w:t xml:space="preserve"> </w:t>
      </w:r>
      <w:r>
        <w:rPr>
          <w:i/>
          <w:i/>
          <w:iCs/>
          <w:iCs/>
        </w:rPr>
        <w:t xml:space="preserve">Arabidopsis Thaliana</w:t>
      </w:r>
      <w:r>
        <w:rPr>
          <w:i/>
          <w:iCs/>
        </w:rPr>
        <w:t xml:space="preserve"> </w:t>
      </w:r>
      <w:r>
        <w:rPr>
          <w:i/>
          <w:iCs/>
        </w:rPr>
        <w:t xml:space="preserve">Elucidates Novel Mechanisms Underlying Spaceflight Adaptation</w:t>
      </w:r>
      <w:r>
        <w:t xml:space="preserve"> </w:t>
      </w:r>
      <w:r>
        <w:t xml:space="preserve">2022; Kruse et al. 2020)</w:t>
      </w:r>
      <w:r>
        <w:t xml:space="preserve">, in which</w:t>
      </w:r>
      <w:r>
        <w:t xml:space="preserve"> </w:t>
      </w:r>
      <w:r>
        <w:rPr>
          <w:i/>
          <w:iCs/>
        </w:rPr>
        <w:t xml:space="preserve">Arabidopsis</w:t>
      </w:r>
      <w:r>
        <w:t xml:space="preserve"> </w:t>
      </w:r>
      <w:r>
        <w:t xml:space="preserve">Col-0 seedlings were grown for 12 days inside illuminated BRIC-LED canisters aboard the ISS. Re-analysis with PyDESeq2</w:t>
      </w:r>
      <w:r>
        <w:t xml:space="preserve"> </w:t>
      </w:r>
      <w:r>
        <w:t xml:space="preserve">(Muzellec et al. 2023)</w:t>
      </w:r>
      <w:r>
        <w:t xml:space="preserve"> </w:t>
      </w:r>
      <w:r>
        <w:t xml:space="preserve">identified 1</w:t>
      </w:r>
      <w:r>
        <w:t xml:space="preserve">,</w:t>
      </w:r>
      <w:r>
        <w:t xml:space="preserve">795 differentially expressed genes (FDR</w:t>
      </w:r>
      <w:r>
        <w:t xml:space="preserve"> </w:t>
      </w:r>
      <m:oMath>
        <m:r>
          <m:rPr>
            <m:sty m:val="p"/>
          </m:rPr>
          <m:t>&lt;</m:t>
        </m:r>
        <m:r>
          <m:t>0.05</m:t>
        </m:r>
      </m:oMath>
      <w:r>
        <w:t xml:space="preserve">) out of 20</w:t>
      </w:r>
      <w:r>
        <w:t xml:space="preserve">,</w:t>
      </w:r>
      <w:r>
        <w:t xml:space="preserve">983 tested, alongside deposited quantitative ratios for 5</w:t>
      </w:r>
      <w:r>
        <w:t xml:space="preserve">,</w:t>
      </w:r>
      <w:r>
        <w:t xml:space="preserve">160 proteins (Fig. </w:t>
      </w:r>
      <w:hyperlink w:anchor="fig:omics">
        <w:r>
          <w:rPr>
            <w:rStyle w:val="Hyperlink"/>
          </w:rPr>
          <w:t xml:space="preserve">4</w:t>
        </w:r>
      </w:hyperlink>
      <w:r>
        <w:t xml:space="preserve">).</w:t>
      </w:r>
    </w:p>
    <w:p>
      <w:pPr>
        <w:pStyle w:val="BodyText"/>
      </w:pPr>
      <w:r>
        <w:t xml:space="preserve">Evaluating the nine pre-registered gene sets against the empirical data confirmed eight of the nine blind predictions (Fig. </w:t>
      </w:r>
      <w:hyperlink w:anchor="fig:blind">
        <w:r>
          <w:rPr>
            <w:rStyle w:val="Hyperlink"/>
          </w:rPr>
          <w:t xml:space="preserve">5</w:t>
        </w:r>
      </w:hyperlink>
      <w:r>
        <w:t xml:space="preserve">). In flight, the photosynthetic and light-harvesting apparatus was strongly repressed in both the transcriptome (</w:t>
      </w:r>
      <m:oMath>
        <m:r>
          <m:rPr>
            <m:sty m:val="p"/>
          </m:rPr>
          <m:t>−</m:t>
        </m:r>
        <m:r>
          <m:t>0.238</m:t>
        </m:r>
        <m:sSub>
          <m:e>
            <m:r>
              <m:rPr>
                <m:sty m:val="p"/>
              </m:rPr>
              <m:t>log</m:t>
            </m:r>
          </m:e>
          <m:sub>
            <m:r>
              <m:t>2</m:t>
            </m:r>
          </m:sub>
        </m:sSub>
        <m:r>
          <m:rPr>
            <m:nor/>
            <m:sty m:val="p"/>
          </m:rPr>
          <m:t>FC</m:t>
        </m:r>
      </m:oMath>
      <w:r>
        <w:t xml:space="preserve">,</w:t>
      </w:r>
      <w:r>
        <w:t xml:space="preserve"> </w:t>
      </w:r>
      <m:oMath>
        <m:r>
          <m:t>p</m:t>
        </m:r>
        <m:r>
          <m:rPr>
            <m:sty m:val="p"/>
          </m:rPr>
          <m:t>=</m:t>
        </m:r>
        <m:r>
          <m:t>3.8</m:t>
        </m:r>
        <m:r>
          <m:rPr>
            <m:sty m:val="p"/>
          </m:rPr>
          <m:t>×</m:t>
        </m:r>
        <m:sSup>
          <m:e>
            <m:r>
              <m:t>10</m:t>
            </m:r>
          </m:e>
          <m:sup>
            <m:r>
              <m:rPr>
                <m:sty m:val="p"/>
              </m:rPr>
              <m:t>−</m:t>
            </m:r>
            <m:r>
              <m:t>6</m:t>
            </m:r>
          </m:sup>
        </m:sSup>
      </m:oMath>
      <w:r>
        <w:t xml:space="preserve">) and the proteome (</w:t>
      </w:r>
      <m:oMath>
        <m:r>
          <m:rPr>
            <m:sty m:val="p"/>
          </m:rPr>
          <m:t>−</m:t>
        </m:r>
        <m:r>
          <m:t>0.820</m:t>
        </m:r>
        <m:sSub>
          <m:e>
            <m:r>
              <m:rPr>
                <m:sty m:val="p"/>
              </m:rPr>
              <m:t>log</m:t>
            </m:r>
          </m:e>
          <m:sub>
            <m:r>
              <m:t>2</m:t>
            </m:r>
          </m:sub>
        </m:sSub>
        <m:r>
          <m:rPr>
            <m:nor/>
            <m:sty m:val="p"/>
          </m:rPr>
          <m:t>FC</m:t>
        </m:r>
      </m:oMath>
      <w:r>
        <w:t xml:space="preserve">,</w:t>
      </w:r>
      <w:r>
        <w:t xml:space="preserve"> </w:t>
      </w:r>
      <m:oMath>
        <m:r>
          <m:t>p</m:t>
        </m:r>
        <m:r>
          <m:rPr>
            <m:sty m:val="p"/>
          </m:rPr>
          <m:t>=</m:t>
        </m:r>
        <m:r>
          <m:t>5.0</m:t>
        </m:r>
        <m:r>
          <m:rPr>
            <m:sty m:val="p"/>
          </m:rPr>
          <m:t>×</m:t>
        </m:r>
        <m:sSup>
          <m:e>
            <m:r>
              <m:t>10</m:t>
            </m:r>
          </m:e>
          <m:sup>
            <m:r>
              <m:rPr>
                <m:sty m:val="p"/>
              </m:rPr>
              <m:t>−</m:t>
            </m:r>
            <m:r>
              <m:t>4</m:t>
            </m:r>
          </m:sup>
        </m:sSup>
      </m:oMath>
      <w:r>
        <w:t xml:space="preserve">); Rubisco small and large subunits were down-regulated (</w:t>
      </w:r>
      <m:oMath>
        <m:r>
          <m:rPr>
            <m:sty m:val="p"/>
          </m:rPr>
          <m:t>−</m:t>
        </m:r>
        <m:r>
          <m:t>0.403</m:t>
        </m:r>
        <m:sSub>
          <m:e>
            <m:r>
              <m:rPr>
                <m:sty m:val="p"/>
              </m:rPr>
              <m:t>log</m:t>
            </m:r>
          </m:e>
          <m:sub>
            <m:r>
              <m:t>2</m:t>
            </m:r>
          </m:sub>
        </m:sSub>
        <m:r>
          <m:rPr>
            <m:nor/>
            <m:sty m:val="p"/>
          </m:rPr>
          <m:t>FC</m:t>
        </m:r>
      </m:oMath>
      <w:r>
        <w:t xml:space="preserve">,</w:t>
      </w:r>
      <w:r>
        <w:t xml:space="preserve"> </w:t>
      </w:r>
      <m:oMath>
        <m:r>
          <m:t>p</m:t>
        </m:r>
        <m:r>
          <m:rPr>
            <m:sty m:val="p"/>
          </m:rPr>
          <m:t>=</m:t>
        </m:r>
        <m:r>
          <m:t>4.5</m:t>
        </m:r>
        <m:r>
          <m:rPr>
            <m:sty m:val="p"/>
          </m:rPr>
          <m:t>×</m:t>
        </m:r>
        <m:sSup>
          <m:e>
            <m:r>
              <m:t>10</m:t>
            </m:r>
          </m:e>
          <m:sup>
            <m:r>
              <m:rPr>
                <m:sty m:val="p"/>
              </m:rPr>
              <m:t>−</m:t>
            </m:r>
            <m:r>
              <m:t>3</m:t>
            </m:r>
          </m:sup>
        </m:sSup>
      </m:oMath>
      <w:r>
        <w:t xml:space="preserve">); carbon-starvation markers (</w:t>
      </w:r>
      <w:r>
        <w:rPr>
          <w:i/>
          <w:iCs/>
        </w:rPr>
        <w:t xml:space="preserve">DIN6/ASN1</w:t>
      </w:r>
      <w:r>
        <w:t xml:space="preserve">,</w:t>
      </w:r>
      <w:r>
        <w:t xml:space="preserve"> </w:t>
      </w:r>
      <w:r>
        <w:rPr>
          <w:i/>
          <w:iCs/>
        </w:rPr>
        <w:t xml:space="preserve">DIN1</w:t>
      </w:r>
      <w:r>
        <w:t xml:space="preserve">) were markedly induced (</w:t>
      </w:r>
      <m:oMath>
        <m:r>
          <m:rPr>
            <m:sty m:val="p"/>
          </m:rPr>
          <m:t>+</m:t>
        </m:r>
        <m:r>
          <m:t>0.686</m:t>
        </m:r>
        <m:sSub>
          <m:e>
            <m:r>
              <m:rPr>
                <m:sty m:val="p"/>
              </m:rPr>
              <m:t>log</m:t>
            </m:r>
          </m:e>
          <m:sub>
            <m:r>
              <m:t>2</m:t>
            </m:r>
          </m:sub>
        </m:sSub>
        <m:r>
          <m:rPr>
            <m:nor/>
            <m:sty m:val="p"/>
          </m:rPr>
          <m:t>FC</m:t>
        </m:r>
      </m:oMath>
      <w:r>
        <w:t xml:space="preserve">,</w:t>
      </w:r>
      <w:r>
        <w:t xml:space="preserve"> </w:t>
      </w:r>
      <m:oMath>
        <m:r>
          <m:t>p</m:t>
        </m:r>
        <m:r>
          <m:rPr>
            <m:sty m:val="p"/>
          </m:rPr>
          <m:t>=</m:t>
        </m:r>
        <m:r>
          <m:t>2.6</m:t>
        </m:r>
        <m:r>
          <m:rPr>
            <m:sty m:val="p"/>
          </m:rPr>
          <m:t>×</m:t>
        </m:r>
        <m:sSup>
          <m:e>
            <m:r>
              <m:t>10</m:t>
            </m:r>
          </m:e>
          <m:sup>
            <m:r>
              <m:rPr>
                <m:sty m:val="p"/>
              </m:rPr>
              <m:t>−</m:t>
            </m:r>
            <m:r>
              <m:t>3</m:t>
            </m:r>
          </m:sup>
        </m:sSup>
      </m:oMath>
      <w:r>
        <w:t xml:space="preserve">); and photorespiratory core enzymes were not induced. The only mismatch was the global KEGG glyoxylate and dicarboxylate map (ath00630), which contains diverse non-photorespiratory transaminases. The set-versus-set contrast between photorespiratory enzymes and Rubisco was highly significant in both the transcriptome (</w:t>
      </w:r>
      <m:oMath>
        <m:r>
          <m:rPr>
            <m:sty m:val="p"/>
          </m:rPr>
          <m:t>+</m:t>
        </m:r>
        <m:r>
          <m:t>0.239</m:t>
        </m:r>
      </m:oMath>
      <w:r>
        <w:t xml:space="preserve">,</w:t>
      </w:r>
      <w:r>
        <w:t xml:space="preserve"> </w:t>
      </w:r>
      <m:oMath>
        <m:r>
          <m:t>p</m:t>
        </m:r>
        <m:r>
          <m:rPr>
            <m:sty m:val="p"/>
          </m:rPr>
          <m:t>=</m:t>
        </m:r>
        <m:r>
          <m:t>6.8</m:t>
        </m:r>
        <m:r>
          <m:rPr>
            <m:sty m:val="p"/>
          </m:rPr>
          <m:t>×</m:t>
        </m:r>
        <m:sSup>
          <m:e>
            <m:r>
              <m:t>10</m:t>
            </m:r>
          </m:e>
          <m:sup>
            <m:r>
              <m:rPr>
                <m:sty m:val="p"/>
              </m:rPr>
              <m:t>−</m:t>
            </m:r>
            <m:r>
              <m:t>3</m:t>
            </m:r>
          </m:sup>
        </m:sSup>
      </m:oMath>
      <w:r>
        <w:t xml:space="preserve">) and the proteome (</w:t>
      </w:r>
      <m:oMath>
        <m:r>
          <m:rPr>
            <m:sty m:val="p"/>
          </m:rPr>
          <m:t>+</m:t>
        </m:r>
        <m:r>
          <m:t>0.285</m:t>
        </m:r>
      </m:oMath>
      <w:r>
        <w:t xml:space="preserve">,</w:t>
      </w:r>
      <w:r>
        <w:t xml:space="preserve"> </w:t>
      </w:r>
      <m:oMath>
        <m:r>
          <m:t>p</m:t>
        </m:r>
        <m:r>
          <m:rPr>
            <m:sty m:val="p"/>
          </m:rPr>
          <m:t>=</m:t>
        </m:r>
        <m:r>
          <m:t>0.049</m:t>
        </m:r>
      </m:oMath>
      <w:r>
        <w:t xml:space="preserve">).</w:t>
      </w:r>
    </w:p>
    <w:bookmarkEnd w:id="13"/>
    <w:bookmarkStart w:id="14" w:name="sec:paintomics"/>
    <w:p>
      <w:pPr>
        <w:pStyle w:val="Heading2"/>
      </w:pPr>
      <w:r>
        <w:t xml:space="preserve">Multi-omics pathway integration in sealed hardware</w:t>
      </w:r>
    </w:p>
    <w:p>
      <w:pPr>
        <w:pStyle w:val="FirstParagraph"/>
      </w:pPr>
      <w:r>
        <w:t xml:space="preserve">Submitting transcriptomic, proteomic, and predicted metabolomic layers to PaintOmics 4</w:t>
      </w:r>
      <w:r>
        <w:t xml:space="preserve"> </w:t>
      </w:r>
      <w:r>
        <w:t xml:space="preserve">(Liu et al. 2022)</w:t>
      </w:r>
      <w:r>
        <w:t xml:space="preserve"> </w:t>
      </w:r>
      <w:r>
        <w:t xml:space="preserve">mapped 98–100 % of genes, 97 % of proteins, and all 21 predicted metabolites across KEGG and MapMan</w:t>
      </w:r>
      <w:r>
        <w:t xml:space="preserve"> </w:t>
      </w:r>
      <w:r>
        <w:t xml:space="preserve">(Kanehisa and Goto 2000; Thimm et al. 2004; Usadel et al. 2009)</w:t>
      </w:r>
      <w:r>
        <w:t xml:space="preserve"> </w:t>
      </w:r>
      <w:r>
        <w:t xml:space="preserve">(Fig. </w:t>
      </w:r>
      <w:hyperlink w:anchor="fig:paintomics">
        <w:r>
          <w:rPr>
            <w:rStyle w:val="Hyperlink"/>
          </w:rPr>
          <w:t xml:space="preserve">6</w:t>
        </w:r>
      </w:hyperlink>
      <w:r>
        <w:t xml:space="preserve">). Out of 232 pathways tested, 32 reached combined significance (</w:t>
      </w:r>
      <m:oMath>
        <m:r>
          <m:t>p</m:t>
        </m:r>
        <m:r>
          <m:rPr>
            <m:sty m:val="p"/>
          </m:rPr>
          <m:t>&lt;</m:t>
        </m:r>
        <m:r>
          <m:t>0.05</m:t>
        </m:r>
      </m:oMath>
      <w:r>
        <w:t xml:space="preserve">). Photosynthesis (</w:t>
      </w:r>
      <m:oMath>
        <m:r>
          <m:t>p</m:t>
        </m:r>
        <m:r>
          <m:rPr>
            <m:sty m:val="p"/>
          </m:rPr>
          <m:t>=</m:t>
        </m:r>
        <m:r>
          <m:t>0.008</m:t>
        </m:r>
      </m:oMath>
      <w:r>
        <w:t xml:space="preserve">), light-harvesting antenna proteins (</w:t>
      </w:r>
      <m:oMath>
        <m:r>
          <m:t>p</m:t>
        </m:r>
        <m:r>
          <m:rPr>
            <m:sty m:val="p"/>
          </m:rPr>
          <m:t>=</m:t>
        </m:r>
        <m:r>
          <m:t>0.022</m:t>
        </m:r>
      </m:oMath>
      <w:r>
        <w:t xml:space="preserve">), and starch/sucrose metabolism (</w:t>
      </w:r>
      <m:oMath>
        <m:r>
          <m:t>p</m:t>
        </m:r>
        <m:r>
          <m:rPr>
            <m:sty m:val="p"/>
          </m:rPr>
          <m:t>=</m:t>
        </m:r>
        <m:r>
          <m:t>0.019</m:t>
        </m:r>
      </m:oMath>
      <w:r>
        <w:t xml:space="preserve">) were significantly enriched and down-regulated. In contrast, photorespiration (glyoxylate and dicarboxylate metabolism) ranked</w:t>
      </w:r>
      <w:r>
        <w:t xml:space="preserve"> </w:t>
      </w:r>
      <w:r>
        <w:rPr>
          <w:b/>
          <w:bCs/>
        </w:rPr>
        <w:t xml:space="preserve">214th of 232</w:t>
      </w:r>
      <w:r>
        <w:t xml:space="preserve"> </w:t>
      </w:r>
      <w:r>
        <w:t xml:space="preserve">(</w:t>
      </w:r>
      <m:oMath>
        <m:r>
          <m:t>p</m:t>
        </m:r>
        <m:r>
          <m:rPr>
            <m:sty m:val="p"/>
          </m:rPr>
          <m:t>=</m:t>
        </m:r>
        <m:r>
          <m:t>0.994</m:t>
        </m:r>
      </m:oMath>
      <w:r>
        <w:t xml:space="preserve">), placing it in the bottom 8 % of all pathways.</w:t>
      </w:r>
    </w:p>
    <w:p>
      <w:pPr>
        <w:pStyle w:val="BodyText"/>
      </w:pPr>
      <w:r>
        <w:t xml:space="preserve">In the metabolite hub analysis, seven of fifteen network hubs reached significance (FDR</w:t>
      </w:r>
      <w:r>
        <w:t xml:space="preserve"> </w:t>
      </w:r>
      <m:oMath>
        <m:r>
          <m:rPr>
            <m:sty m:val="p"/>
          </m:rPr>
          <m:t>&lt;</m:t>
        </m:r>
        <m:r>
          <m:t>0.05</m:t>
        </m:r>
      </m:oMath>
      <w:r>
        <w:t xml:space="preserve">), every one of which was associated with carbon starvation (asparagine, branched-chain amino acids) or net assimilation (sucrose, 3-PGA). Not a single C</w:t>
      </w:r>
      <m:oMath>
        <m:sSub>
          <m:e>
            <m:r>
              <m:t>​</m:t>
            </m:r>
          </m:e>
          <m:sub>
            <m:r>
              <m:t>2</m:t>
            </m:r>
          </m:sub>
        </m:sSub>
      </m:oMath>
      <w:r>
        <w:t xml:space="preserve"> </w:t>
      </w:r>
      <w:r>
        <w:t xml:space="preserve">cycle intermediate (glycolate, glyoxylate, glycine, serine) emerged as a significant hub.</w:t>
      </w:r>
    </w:p>
    <w:bookmarkEnd w:id="14"/>
    <w:bookmarkStart w:id="15" w:name="sec:abrs"/>
    <w:p>
      <w:pPr>
        <w:pStyle w:val="Heading2"/>
      </w:pPr>
      <w:r>
        <w:t xml:space="preserve">Controlled airflow in ABRS resolves hardware stress from true microgravity responses</w:t>
      </w:r>
    </w:p>
    <w:p>
      <w:pPr>
        <w:pStyle w:val="FirstParagraph"/>
      </w:pPr>
      <w:r>
        <w:t xml:space="preserve">To test whether the metabolic collapse and stress responses observed in BRIC-LED were true microgravity effects or hardware artifacts, we turned to the NASA TAGES mission flown in the Advanced Biological Research System (ABRS) (OSD-7 transcriptomics and OSD-16 proteomics)</w:t>
      </w:r>
      <w:r>
        <w:t xml:space="preserve"> </w:t>
      </w:r>
      <w:r>
        <w:t xml:space="preserve">(</w:t>
      </w:r>
      <w:r>
        <w:rPr>
          <w:i/>
          <w:iCs/>
        </w:rPr>
        <w:t xml:space="preserve">Organ-Specific Remodeling of the</w:t>
      </w:r>
      <w:r>
        <w:rPr>
          <w:i/>
          <w:iCs/>
        </w:rPr>
        <w:t xml:space="preserve"> </w:t>
      </w:r>
      <w:r>
        <w:rPr>
          <w:i/>
          <w:i/>
          <w:iCs/>
          <w:iCs/>
        </w:rPr>
        <w:t xml:space="preserve">Arabidopsis</w:t>
      </w:r>
      <w:r>
        <w:rPr>
          <w:i/>
          <w:iCs/>
        </w:rPr>
        <w:t xml:space="preserve"> </w:t>
      </w:r>
      <w:r>
        <w:rPr>
          <w:i/>
          <w:iCs/>
        </w:rPr>
        <w:t xml:space="preserve">Transcriptome in Response to Spaceflight</w:t>
      </w:r>
      <w:r>
        <w:t xml:space="preserve"> </w:t>
      </w:r>
      <w:r>
        <w:t xml:space="preserve">2013;</w:t>
      </w:r>
      <w:r>
        <w:t xml:space="preserve"> </w:t>
      </w:r>
      <w:r>
        <w:rPr>
          <w:i/>
          <w:iCs/>
        </w:rPr>
        <w:t xml:space="preserve">Spaceflight Induces Specific Alterations in the Proteomes of</w:t>
      </w:r>
      <w:r>
        <w:rPr>
          <w:i/>
          <w:iCs/>
        </w:rPr>
        <w:t xml:space="preserve"> </w:t>
      </w:r>
      <w:r>
        <w:rPr>
          <w:i/>
          <w:i/>
          <w:iCs/>
          <w:iCs/>
        </w:rPr>
        <w:t xml:space="preserve">Arabidopsis</w:t>
      </w:r>
      <w:r>
        <w:t xml:space="preserve"> </w:t>
      </w:r>
      <w:r>
        <w:t xml:space="preserve">2015; Paul et al. 2013; Ferl et al. 2015)</w:t>
      </w:r>
      <w:r>
        <w:t xml:space="preserve">. Unlike sealed BRIC canisters, ABRS featured forced-air circulation fans, catalytic ethylene/VOC scrubbers, and active environmental monitoring replicating the ISS Destiny module atmosphere (</w:t>
      </w:r>
      <m:oMath>
        <m:sSub>
          <m:e>
            <m:r>
              <m:t>C</m:t>
            </m:r>
          </m:e>
          <m:sub>
            <m:r>
              <m:t>a</m:t>
            </m:r>
          </m:sub>
        </m:sSub>
        <m:r>
          <m:rPr>
            <m:sty m:val="p"/>
          </m:rPr>
          <m:t>≈</m:t>
        </m:r>
        <m:r>
          <m:t>3</m:t>
        </m:r>
        <m:r>
          <m:rPr>
            <m:sty m:val="p"/>
          </m:rPr>
          <m:t>,</m:t>
        </m:r>
        <m:r>
          <m:t>500</m:t>
        </m:r>
      </m:oMath>
      <w:r>
        <w:t xml:space="preserve"> ppm,</w:t>
      </w:r>
      <w:r>
        <w:t xml:space="preserve"> </w:t>
      </w:r>
      <m:oMath>
        <m:r>
          <m:rPr>
            <m:sty m:val="p"/>
          </m:rPr>
          <m:t>≈</m:t>
        </m:r>
        <m:r>
          <m:t>10</m:t>
        </m:r>
        <m:r>
          <m:rPr>
            <m:sty m:val="p"/>
          </m:rPr>
          <m:t>×</m:t>
        </m:r>
      </m:oMath>
      <w:r>
        <w:t xml:space="preserve"> </w:t>
      </w:r>
      <w:r>
        <w:t xml:space="preserve">terrestrial ambient). Ground controls were cultured in the Orbital Environmental Simulator (OES) with a synchronous 48-hour delayed playback of orbital telemetry.</w:t>
      </w:r>
    </w:p>
    <w:p>
      <w:pPr>
        <w:pStyle w:val="BodyText"/>
      </w:pPr>
      <w:r>
        <w:t xml:space="preserve">Modeling the ABRS operating point with LunarLeaf-CFD and FvCB reveals a dramatic biophysical shift (Fig. </w:t>
      </w:r>
      <w:hyperlink w:anchor="fig:abrs">
        <w:r>
          <w:rPr>
            <w:rStyle w:val="Hyperlink"/>
          </w:rPr>
          <w:t xml:space="preserve">9</w:t>
        </w:r>
      </w:hyperlink>
      <w:r>
        <w:t xml:space="preserve">a, Table </w:t>
      </w:r>
      <w:hyperlink w:anchor="tab:operating">
        <w:r>
          <w:rPr>
            <w:rStyle w:val="Hyperlink"/>
          </w:rPr>
          <w:t xml:space="preserve">1</w:t>
        </w:r>
      </w:hyperlink>
      <w:r>
        <w:t xml:space="preserve">). At</w:t>
      </w:r>
      <w:r>
        <w:t xml:space="preserve"> </w:t>
      </w:r>
      <m:oMath>
        <m:r>
          <m:t>3</m:t>
        </m:r>
        <m:r>
          <m:rPr>
            <m:sty m:val="p"/>
          </m:rPr>
          <m:t>,</m:t>
        </m:r>
        <m:r>
          <m:t>500</m:t>
        </m:r>
      </m:oMath>
      <w:r>
        <w:t xml:space="preserve"> ppm CO</w:t>
      </w:r>
      <m:oMath>
        <m:sSub>
          <m:e>
            <m:r>
              <m:t>​</m:t>
            </m:r>
          </m:e>
          <m:sub>
            <m:r>
              <m:t>2</m:t>
            </m:r>
          </m:sub>
        </m:sSub>
      </m:oMath>
      <w:r>
        <w:t xml:space="preserve">, Rubisco is fully substrate-saturated (</w:t>
      </w:r>
      <m:oMath>
        <m:sSub>
          <m:e>
            <m:r>
              <m:t>C</m:t>
            </m:r>
          </m:e>
          <m:sub>
            <m:r>
              <m:t>c</m:t>
            </m:r>
          </m:sub>
        </m:sSub>
        <m:r>
          <m:rPr>
            <m:sty m:val="p"/>
          </m:rPr>
          <m:t>≈</m:t>
        </m:r>
        <m:r>
          <m:t>3</m:t>
        </m:r>
        <m:r>
          <m:rPr>
            <m:sty m:val="p"/>
          </m:rPr>
          <m:t>,</m:t>
        </m:r>
        <m:r>
          <m:t>160</m:t>
        </m:r>
      </m:oMath>
      <w:r>
        <w:t xml:space="preserve"> ppm), shifting plants entirely into the RuBP-regeneration (</w:t>
      </w:r>
      <m:oMath>
        <m:r>
          <m:t>J</m:t>
        </m:r>
      </m:oMath>
      <w:r>
        <w:t xml:space="preserve">-limited) regime. Oxygenation fraction</w:t>
      </w:r>
      <w:r>
        <w:t xml:space="preserve"> </w:t>
      </w:r>
      <m:oMath>
        <m:r>
          <m:t>φ</m:t>
        </m:r>
      </m:oMath>
      <w:r>
        <w:t xml:space="preserve"> </w:t>
      </w:r>
      <w:r>
        <w:t xml:space="preserve">collapses from 53.7 % in BRIC-LED to just 2.6 % in ABRS, and photorespiratory flux</w:t>
      </w:r>
      <w:r>
        <w:t xml:space="preserve"> </w:t>
      </w:r>
      <m:oMath>
        <m:sSub>
          <m:e>
            <m:r>
              <m:t>V</m:t>
            </m:r>
          </m:e>
          <m:sub>
            <m:r>
              <m:t>o</m:t>
            </m:r>
          </m:sub>
        </m:sSub>
      </m:oMath>
      <w:r>
        <w:t xml:space="preserve"> </w:t>
      </w:r>
      <w:r>
        <w:t xml:space="preserve">drops by 12-fold (</w:t>
      </w:r>
      <m:oMath>
        <m:r>
          <m:t>9.81</m:t>
        </m:r>
        <m:r>
          <m:rPr>
            <m:sty m:val="p"/>
          </m:rPr>
          <m:t>→</m:t>
        </m:r>
        <m:r>
          <m:t>0.83</m:t>
        </m:r>
      </m:oMath>
      <w:r>
        <w:t xml:space="preserve"> μmol m</w:t>
      </w:r>
      <m:oMath>
        <m:sSup>
          <m:e>
            <m:r>
              <m:t>​</m:t>
            </m:r>
          </m:e>
          <m:sup>
            <m:r>
              <m:rPr>
                <m:sty m:val="p"/>
              </m:rPr>
              <m:t>−</m:t>
            </m:r>
            <m:r>
              <m:t>2</m:t>
            </m:r>
          </m:sup>
        </m:sSup>
      </m:oMath>
      <w:r>
        <w:t xml:space="preserve"> </w:t>
      </w:r>
      <w:r>
        <w:t xml:space="preserve">s</w:t>
      </w:r>
      <m:oMath>
        <m:sSup>
          <m:e>
            <m:r>
              <m:t>​</m:t>
            </m:r>
          </m:e>
          <m:sup>
            <m:r>
              <m:rPr>
                <m:sty m:val="p"/>
              </m:rPr>
              <m:t>−</m:t>
            </m:r>
            <m:r>
              <m:t>1</m:t>
            </m:r>
          </m:sup>
        </m:sSup>
      </m:oMath>
      <w:r>
        <w:t xml:space="preserve">). Crucially, because Rubisco is saturated, the microgravity boundary-layer diffusion drop has zero effect on carbon assimilation (</w:t>
      </w:r>
      <m:oMath>
        <m:r>
          <m:t>A</m:t>
        </m:r>
        <m:r>
          <m:rPr>
            <m:sty m:val="p"/>
          </m:rPr>
          <m:t>=</m:t>
        </m:r>
        <m:r>
          <m:t>28.87</m:t>
        </m:r>
      </m:oMath>
      <w:r>
        <w:t xml:space="preserve"> </w:t>
      </w:r>
      <w:r>
        <w:t xml:space="preserve">in</w:t>
      </w:r>
      <w:r>
        <w:t xml:space="preserve"> </w:t>
      </w:r>
      <m:oMath>
        <m:r>
          <m:t>1</m:t>
        </m:r>
        <m:r>
          <m:t>g</m:t>
        </m:r>
      </m:oMath>
      <w:r>
        <w:t xml:space="preserve"> </w:t>
      </w:r>
      <w:r>
        <w:t xml:space="preserve">vs</w:t>
      </w:r>
      <w:r>
        <w:t xml:space="preserve"> </w:t>
      </w:r>
      <m:oMath>
        <m:r>
          <m:t>28.85</m:t>
        </m:r>
      </m:oMath>
      <w:r>
        <w:t xml:space="preserve"> μmol m</w:t>
      </w:r>
      <m:oMath>
        <m:sSup>
          <m:e>
            <m:r>
              <m:t>​</m:t>
            </m:r>
          </m:e>
          <m:sup>
            <m:r>
              <m:rPr>
                <m:sty m:val="p"/>
              </m:rPr>
              <m:t>−</m:t>
            </m:r>
            <m:r>
              <m:t>2</m:t>
            </m:r>
          </m:sup>
        </m:sSup>
      </m:oMath>
      <w:r>
        <w:t xml:space="preserve"> </w:t>
      </w:r>
      <w:r>
        <w:t xml:space="preserve">s</w:t>
      </w:r>
      <m:oMath>
        <m:sSup>
          <m:e>
            <m:r>
              <m:t>​</m:t>
            </m:r>
          </m:e>
          <m:sup>
            <m:r>
              <m:rPr>
                <m:sty m:val="p"/>
              </m:rPr>
              <m:t>−</m:t>
            </m:r>
            <m:r>
              <m:t>1</m:t>
            </m:r>
          </m:sup>
        </m:sSup>
      </m:oMath>
      <w:r>
        <w:t xml:space="preserve"> </w:t>
      </w:r>
      <w:r>
        <w:t xml:space="preserve">in</w:t>
      </w:r>
      <w:r>
        <w:t xml:space="preserve"> </w:t>
      </w:r>
      <m:oMath>
        <m:r>
          <m:t>μ</m:t>
        </m:r>
        <m:r>
          <m:t>g</m:t>
        </m:r>
      </m:oMath>
      <w:r>
        <w:t xml:space="preserve">,</w:t>
      </w:r>
      <w:r>
        <w:t xml:space="preserve"> </w:t>
      </w:r>
      <m:oMath>
        <m:sSub>
          <m:e>
            <m:r>
              <m:rPr>
                <m:sty m:val="p"/>
              </m:rPr>
              <m:t>log</m:t>
            </m:r>
          </m:e>
          <m:sub>
            <m:r>
              <m:t>2</m:t>
            </m:r>
          </m:sub>
        </m:sSub>
        <m:r>
          <m:rPr>
            <m:nor/>
            <m:sty m:val="p"/>
          </m:rPr>
          <m:t>FC</m:t>
        </m:r>
        <m:r>
          <m:rPr>
            <m:sty m:val="p"/>
          </m:rPr>
          <m:t>=</m:t>
        </m:r>
        <m:r>
          <m:rPr>
            <m:sty m:val="p"/>
          </m:rPr>
          <m:t>−</m:t>
        </m:r>
        <m:r>
          <m:t>0.0009</m:t>
        </m:r>
      </m:oMath>
      <w:r>
        <w:t xml:space="preserve">). Comparing ABRS to BRIC in flight yields an assimilation increase of</w:t>
      </w:r>
      <w:r>
        <w:t xml:space="preserve"> </w:t>
      </w:r>
      <m:oMath>
        <m:r>
          <m:rPr>
            <m:sty m:val="p"/>
          </m:rPr>
          <m:t>+</m:t>
        </m:r>
        <m:r>
          <m:t>3.70</m:t>
        </m:r>
        <m:sSub>
          <m:e>
            <m:r>
              <m:rPr>
                <m:sty m:val="p"/>
              </m:rPr>
              <m:t>log</m:t>
            </m:r>
          </m:e>
          <m:sub>
            <m:r>
              <m:t>2</m:t>
            </m:r>
          </m:sub>
        </m:sSub>
        <m:r>
          <m:rPr>
            <m:nor/>
            <m:sty m:val="p"/>
          </m:rPr>
          <m:t>FC</m:t>
        </m:r>
      </m:oMath>
      <w:r>
        <w:t xml:space="preserve"> </w:t>
      </w:r>
      <w:r>
        <w:t xml:space="preserve">(13-fold higher) and a photorespiration decline of</w:t>
      </w:r>
      <w:r>
        <w:t xml:space="preserve"> </w:t>
      </w:r>
      <m:oMath>
        <m:r>
          <m:rPr>
            <m:sty m:val="p"/>
          </m:rPr>
          <m:t>−</m:t>
        </m:r>
        <m:r>
          <m:t>3.57</m:t>
        </m:r>
        <m:sSub>
          <m:e>
            <m:r>
              <m:rPr>
                <m:sty m:val="p"/>
              </m:rPr>
              <m:t>log</m:t>
            </m:r>
          </m:e>
          <m:sub>
            <m:r>
              <m:t>2</m:t>
            </m:r>
          </m:sub>
        </m:sSub>
        <m:r>
          <m:rPr>
            <m:nor/>
            <m:sty m:val="p"/>
          </m:rPr>
          <m:t>FC</m:t>
        </m:r>
      </m:oMath>
      <w:r>
        <w:t xml:space="preserve">.</w:t>
      </w:r>
    </w:p>
    <w:p>
      <w:pPr>
        <w:pStyle w:val="BodyText"/>
      </w:pPr>
      <w:r>
        <w:t xml:space="preserve">Re-analysis of OSD-7 microarray data across 21</w:t>
      </w:r>
      <w:r>
        <w:t xml:space="preserve">,</w:t>
      </w:r>
      <w:r>
        <w:t xml:space="preserve">225 unique loci across four dissected organs (shoots, hypocotyls, roots, and whole seedlings) confirms these predictions (Fig. </w:t>
      </w:r>
      <w:hyperlink w:anchor="fig:abrs">
        <w:r>
          <w:rPr>
            <w:rStyle w:val="Hyperlink"/>
          </w:rPr>
          <w:t xml:space="preserve">9</w:t>
        </w:r>
      </w:hyperlink>
      <w:r>
        <w:t xml:space="preserve">b). In ABRS shoots, photorespiration core enzymes were completely flat (</w:t>
      </w:r>
      <m:oMath>
        <m:r>
          <m:t>p</m:t>
        </m:r>
        <m:r>
          <m:rPr>
            <m:sty m:val="p"/>
          </m:rPr>
          <m:t>=</m:t>
        </m:r>
        <m:r>
          <m:t>0.422</m:t>
        </m:r>
      </m:oMath>
      <w:r>
        <w:t xml:space="preserve">), while photosystem apparatus was moderately repressed (</w:t>
      </w:r>
      <m:oMath>
        <m:r>
          <m:rPr>
            <m:sty m:val="p"/>
          </m:rPr>
          <m:t>−</m:t>
        </m:r>
        <m:r>
          <m:t>0.137</m:t>
        </m:r>
        <m:sSub>
          <m:e>
            <m:r>
              <m:rPr>
                <m:sty m:val="p"/>
              </m:rPr>
              <m:t>log</m:t>
            </m:r>
          </m:e>
          <m:sub>
            <m:r>
              <m:t>2</m:t>
            </m:r>
          </m:sub>
        </m:sSub>
        <m:r>
          <m:rPr>
            <m:nor/>
            <m:sty m:val="p"/>
          </m:rPr>
          <m:t>FC</m:t>
        </m:r>
      </m:oMath>
      <w:r>
        <w:t xml:space="preserve">,</w:t>
      </w:r>
      <w:r>
        <w:t xml:space="preserve"> </w:t>
      </w:r>
      <m:oMath>
        <m:r>
          <m:t>p</m:t>
        </m:r>
        <m:r>
          <m:rPr>
            <m:sty m:val="p"/>
          </m:rPr>
          <m:t>=</m:t>
        </m:r>
        <m:r>
          <m:t>6.58</m:t>
        </m:r>
        <m:r>
          <m:rPr>
            <m:sty m:val="p"/>
          </m:rPr>
          <m:t>×</m:t>
        </m:r>
        <m:sSup>
          <m:e>
            <m:r>
              <m:t>10</m:t>
            </m:r>
          </m:e>
          <m:sup>
            <m:r>
              <m:rPr>
                <m:sty m:val="p"/>
              </m:rPr>
              <m:t>−</m:t>
            </m:r>
            <m:r>
              <m:t>6</m:t>
            </m:r>
          </m:sup>
        </m:sSup>
      </m:oMath>
      <w:r>
        <w:t xml:space="preserve">). Most strikingly, cross-hardware comparison against the 32 significant BRIC-LED pathways resolves hardware artifacts from authentic spaceflight responses (Fig. </w:t>
      </w:r>
      <w:hyperlink w:anchor="fig:abrs">
        <w:r>
          <w:rPr>
            <w:rStyle w:val="Hyperlink"/>
          </w:rPr>
          <w:t xml:space="preserve">9</w:t>
        </w:r>
      </w:hyperlink>
      <w:r>
        <w:t xml:space="preserve">d). The unfolded protein response / ER stress, which was the single most dominant pathway in sealed BRIC-LED (</w:t>
      </w:r>
      <m:oMath>
        <m:r>
          <m:t>p</m:t>
        </m:r>
        <m:r>
          <m:rPr>
            <m:sty m:val="p"/>
          </m:rPr>
          <m:t>=</m:t>
        </m:r>
        <m:r>
          <m:t>8.65</m:t>
        </m:r>
        <m:r>
          <m:rPr>
            <m:sty m:val="p"/>
          </m:rPr>
          <m:t>×</m:t>
        </m:r>
        <m:sSup>
          <m:e>
            <m:r>
              <m:t>10</m:t>
            </m:r>
          </m:e>
          <m:sup>
            <m:r>
              <m:rPr>
                <m:sty m:val="p"/>
              </m:rPr>
              <m:t>−</m:t>
            </m:r>
            <m:r>
              <m:t>9</m:t>
            </m:r>
          </m:sup>
        </m:sSup>
      </m:oMath>
      <w:r>
        <w:t xml:space="preserve">), was</w:t>
      </w:r>
      <w:r>
        <w:t xml:space="preserve"> </w:t>
      </w:r>
      <w:r>
        <w:rPr>
          <w:b/>
          <w:bCs/>
        </w:rPr>
        <w:t xml:space="preserve">completely non-significant in ventilated ABRS</w:t>
      </w:r>
      <w:r>
        <w:t xml:space="preserve"> </w:t>
      </w:r>
      <w:r>
        <w:t xml:space="preserve">(</w:t>
      </w:r>
      <m:oMath>
        <m:r>
          <m:t>p</m:t>
        </m:r>
        <m:r>
          <m:rPr>
            <m:sty m:val="p"/>
          </m:rPr>
          <m:t>=</m:t>
        </m:r>
        <m:r>
          <m:t>0.9456</m:t>
        </m:r>
      </m:oMath>
      <w:r>
        <w:t xml:space="preserve">). Active airflow and ethylene scrubbing prevented volatile buildup, demonstrating that ER stress in BRIC-LED was an artifact of canister confinement. In contrast, ‘Biotic Stress‘ (</w:t>
      </w:r>
      <m:oMath>
        <m:r>
          <m:t>p</m:t>
        </m:r>
        <m:r>
          <m:rPr>
            <m:sty m:val="p"/>
          </m:rPr>
          <m:t>=</m:t>
        </m:r>
        <m:r>
          <m:t>0.015</m:t>
        </m:r>
      </m:oMath>
      <w:r>
        <w:t xml:space="preserve"> </w:t>
      </w:r>
      <w:r>
        <w:t xml:space="preserve">in ABRS;</w:t>
      </w:r>
      <w:r>
        <w:t xml:space="preserve"> </w:t>
      </w:r>
      <m:oMath>
        <m:r>
          <m:t>p</m:t>
        </m:r>
        <m:r>
          <m:rPr>
            <m:sty m:val="p"/>
          </m:rPr>
          <m:t>=</m:t>
        </m:r>
        <m:r>
          <m:t>2.10</m:t>
        </m:r>
        <m:r>
          <m:rPr>
            <m:sty m:val="p"/>
          </m:rPr>
          <m:t>×</m:t>
        </m:r>
        <m:sSup>
          <m:e>
            <m:r>
              <m:t>10</m:t>
            </m:r>
          </m:e>
          <m:sup>
            <m:r>
              <m:rPr>
                <m:sty m:val="p"/>
              </m:rPr>
              <m:t>−</m:t>
            </m:r>
            <m:r>
              <m:t>4</m:t>
            </m:r>
          </m:sup>
        </m:sSup>
      </m:oMath>
      <w:r>
        <w:t xml:space="preserve"> </w:t>
      </w:r>
      <w:r>
        <w:t xml:space="preserve">in BRIC-LED) and ‘Raffinose metabolism‘ (</w:t>
      </w:r>
      <m:oMath>
        <m:r>
          <m:t>p</m:t>
        </m:r>
        <m:r>
          <m:rPr>
            <m:sty m:val="p"/>
          </m:rPr>
          <m:t>=</m:t>
        </m:r>
        <m:r>
          <m:t>0.008</m:t>
        </m:r>
      </m:oMath>
      <w:r>
        <w:t xml:space="preserve"> </w:t>
      </w:r>
      <w:r>
        <w:t xml:space="preserve">in ABRS;</w:t>
      </w:r>
      <w:r>
        <w:t xml:space="preserve"> </w:t>
      </w:r>
      <m:oMath>
        <m:r>
          <m:t>p</m:t>
        </m:r>
        <m:r>
          <m:rPr>
            <m:sty m:val="p"/>
          </m:rPr>
          <m:t>=</m:t>
        </m:r>
        <m:r>
          <m:t>0.027</m:t>
        </m:r>
      </m:oMath>
      <w:r>
        <w:t xml:space="preserve"> </w:t>
      </w:r>
      <w:r>
        <w:t xml:space="preserve">in BRIC-LED) were significantly induced across both hardware systems, identifying them as conserved microgravity adaptations.</w:t>
      </w:r>
    </w:p>
    <w:bookmarkEnd w:id="15"/>
    <w:bookmarkStart w:id="16" w:name="sec:ladder"/>
    <w:p>
      <w:pPr>
        <w:pStyle w:val="Heading2"/>
      </w:pPr>
      <w:r>
        <w:t xml:space="preserve">The Extended Hardware Ladder: Illumination and ventilation convergence</w:t>
      </w:r>
    </w:p>
    <w:p>
      <w:pPr>
        <w:pStyle w:val="FirstParagraph"/>
      </w:pPr>
      <w:r>
        <w:t xml:space="preserve">We integrated OSD-7-shoot into the cross-study hardware ladder alongside the previous six experiments spanning sealed (BRIC-LED, BRIC-PDFU), tape-sealed (CARA), and ventilated (VEGGIE) hardware</w:t>
      </w:r>
      <w:r>
        <w:t xml:space="preserve"> </w:t>
      </w:r>
      <w:r>
        <w:t xml:space="preserve">(</w:t>
      </w:r>
      <w:r>
        <w:rPr>
          <w:i/>
          <w:iCs/>
        </w:rPr>
        <w:t xml:space="preserve">Proteomics and Transcriptomics Analysis of</w:t>
      </w:r>
      <w:r>
        <w:rPr>
          <w:i/>
          <w:iCs/>
        </w:rPr>
        <w:t xml:space="preserve"> </w:t>
      </w:r>
      <w:r>
        <w:rPr>
          <w:i/>
          <w:i/>
          <w:iCs/>
          <w:iCs/>
        </w:rPr>
        <w:t xml:space="preserve">Arabidopsis</w:t>
      </w:r>
      <w:r>
        <w:rPr>
          <w:i/>
          <w:iCs/>
        </w:rPr>
        <w:t xml:space="preserve"> </w:t>
      </w:r>
      <w:r>
        <w:rPr>
          <w:i/>
          <w:iCs/>
        </w:rPr>
        <w:t xml:space="preserve">Seedlings in Microgravity</w:t>
      </w:r>
      <w:r>
        <w:t xml:space="preserve"> </w:t>
      </w:r>
      <w:r>
        <w:t xml:space="preserve">2016;</w:t>
      </w:r>
      <w:r>
        <w:t xml:space="preserve"> </w:t>
      </w:r>
      <w:r>
        <w:rPr>
          <w:i/>
          <w:iCs/>
        </w:rPr>
        <w:t xml:space="preserve">Relevance of Unfolded Protein Response to Spaceflight-Induced Transcriptional Reprogramming</w:t>
      </w:r>
      <w:r>
        <w:t xml:space="preserve"> </w:t>
      </w:r>
      <w:r>
        <w:t xml:space="preserve">2020;</w:t>
      </w:r>
      <w:r>
        <w:t xml:space="preserve"> </w:t>
      </w:r>
      <w:r>
        <w:rPr>
          <w:i/>
          <w:iCs/>
        </w:rPr>
        <w:t xml:space="preserve">Light Has a Principal Role in the</w:t>
      </w:r>
      <w:r>
        <w:rPr>
          <w:i/>
          <w:iCs/>
        </w:rPr>
        <w:t xml:space="preserve"> </w:t>
      </w:r>
      <w:r>
        <w:rPr>
          <w:i/>
          <w:i/>
          <w:iCs/>
          <w:iCs/>
        </w:rPr>
        <w:t xml:space="preserve">Arabidopsis</w:t>
      </w:r>
      <w:r>
        <w:rPr>
          <w:i/>
          <w:iCs/>
        </w:rPr>
        <w:t xml:space="preserve"> </w:t>
      </w:r>
      <w:r>
        <w:rPr>
          <w:i/>
          <w:iCs/>
        </w:rPr>
        <w:t xml:space="preserve">Transcriptomic Response to the Spaceflight Environment</w:t>
      </w:r>
      <w:r>
        <w:t xml:space="preserve"> </w:t>
      </w:r>
      <w:r>
        <w:t xml:space="preserve">2024;</w:t>
      </w:r>
      <w:r>
        <w:t xml:space="preserve"> </w:t>
      </w:r>
      <w:r>
        <w:rPr>
          <w:i/>
          <w:iCs/>
        </w:rPr>
        <w:t xml:space="preserve">Characterizing Epigenetic Changes in Methylation Mutants (</w:t>
      </w:r>
      <w:r>
        <w:rPr>
          <w:i/>
          <w:i/>
          <w:iCs/>
          <w:iCs/>
        </w:rPr>
        <w:t xml:space="preserve">Elp2-5</w:t>
      </w:r>
      <w:r>
        <w:rPr>
          <w:i/>
          <w:iCs/>
        </w:rPr>
        <w:t xml:space="preserve"> </w:t>
      </w:r>
      <w:r>
        <w:rPr>
          <w:i/>
          <w:iCs/>
        </w:rPr>
        <w:t xml:space="preserve">and</w:t>
      </w:r>
      <w:r>
        <w:rPr>
          <w:i/>
          <w:iCs/>
        </w:rPr>
        <w:t xml:space="preserve"> </w:t>
      </w:r>
      <w:r>
        <w:rPr>
          <w:i/>
          <w:i/>
          <w:iCs/>
          <w:iCs/>
        </w:rPr>
        <w:t xml:space="preserve">Met1-7</w:t>
      </w:r>
      <w:r>
        <w:rPr>
          <w:i/>
          <w:iCs/>
        </w:rPr>
        <w:t xml:space="preserve">) in Spaceflight</w:t>
      </w:r>
      <w:r>
        <w:t xml:space="preserve"> </w:t>
      </w:r>
      <w:r>
        <w:t xml:space="preserve">2021)</w:t>
      </w:r>
      <w:r>
        <w:t xml:space="preserve"> </w:t>
      </w:r>
      <w:r>
        <w:t xml:space="preserve">(Fig. </w:t>
      </w:r>
      <w:hyperlink w:anchor="fig:abrs">
        <w:r>
          <w:rPr>
            <w:rStyle w:val="Hyperlink"/>
          </w:rPr>
          <w:t xml:space="preserve">9</w:t>
        </w:r>
      </w:hyperlink>
      <w:r>
        <w:t xml:space="preserve">c, Table </w:t>
      </w:r>
      <w:hyperlink w:anchor="tab:studies">
        <w:r>
          <w:rPr>
            <w:rStyle w:val="Hyperlink"/>
          </w:rPr>
          <w:t xml:space="preserve">2</w:t>
        </w:r>
      </w:hyperlink>
      <w:r>
        <w:t xml:space="preserve">).</w:t>
      </w:r>
    </w:p>
    <w:p>
      <w:pPr>
        <w:pStyle w:val="BodyText"/>
      </w:pPr>
      <w:r>
        <w:t xml:space="preserve">Across all seven studies, illumination separated the transcriptome responses with perfect fidelity: every lit experiment exhibited positive starvation-over-photosynthesis separation (</w:t>
      </w:r>
      <m:oMath>
        <m:r>
          <m:rPr>
            <m:sty m:val="p"/>
          </m:rPr>
          <m:t>+</m:t>
        </m:r>
        <m:r>
          <m:t>0.41</m:t>
        </m:r>
      </m:oMath>
      <w:r>
        <w:t xml:space="preserve"> </w:t>
      </w:r>
      <w:r>
        <w:t xml:space="preserve">to</w:t>
      </w:r>
      <w:r>
        <w:t xml:space="preserve"> </w:t>
      </w:r>
      <m:oMath>
        <m:r>
          <m:rPr>
            <m:sty m:val="p"/>
          </m:rPr>
          <m:t>+</m:t>
        </m:r>
        <m:r>
          <m:t>2.58</m:t>
        </m:r>
        <m:sSub>
          <m:e>
            <m:r>
              <m:rPr>
                <m:sty m:val="p"/>
              </m:rPr>
              <m:t>log</m:t>
            </m:r>
          </m:e>
          <m:sub>
            <m:r>
              <m:t>2</m:t>
            </m:r>
          </m:sub>
        </m:sSub>
        <m:r>
          <m:rPr>
            <m:nor/>
            <m:sty m:val="p"/>
          </m:rPr>
          <m:t>FC</m:t>
        </m:r>
      </m:oMath>
      <w:r>
        <w:t xml:space="preserve">), whereas every dark experiment exhibited negative separation (</w:t>
      </w:r>
      <m:oMath>
        <m:r>
          <m:rPr>
            <m:sty m:val="p"/>
          </m:rPr>
          <m:t>−</m:t>
        </m:r>
        <m:r>
          <m:t>0.39</m:t>
        </m:r>
      </m:oMath>
      <w:r>
        <w:t xml:space="preserve"> </w:t>
      </w:r>
      <w:r>
        <w:t xml:space="preserve">to</w:t>
      </w:r>
      <w:r>
        <w:t xml:space="preserve"> </w:t>
      </w:r>
      <m:oMath>
        <m:r>
          <m:rPr>
            <m:sty m:val="p"/>
          </m:rPr>
          <m:t>−</m:t>
        </m:r>
        <m:r>
          <m:t>3.22</m:t>
        </m:r>
        <m:sSub>
          <m:e>
            <m:r>
              <m:rPr>
                <m:sty m:val="p"/>
              </m:rPr>
              <m:t>log</m:t>
            </m:r>
          </m:e>
          <m:sub>
            <m:r>
              <m:t>2</m:t>
            </m:r>
          </m:sub>
        </m:sSub>
        <m:r>
          <m:rPr>
            <m:nor/>
            <m:sty m:val="p"/>
          </m:rPr>
          <m:t>FC</m:t>
        </m:r>
      </m:oMath>
      <w:r>
        <w:t xml:space="preserve">; Mann–Whitney</w:t>
      </w:r>
      <w:r>
        <w:t xml:space="preserve"> </w:t>
      </w:r>
      <m:oMath>
        <m:r>
          <m:t>p</m:t>
        </m:r>
        <m:r>
          <m:rPr>
            <m:sty m:val="p"/>
          </m:rPr>
          <m:t>=</m:t>
        </m:r>
        <m:r>
          <m:t>0.028</m:t>
        </m:r>
      </m:oMath>
      <w:r>
        <w:t xml:space="preserve">). Furthermore, the two independent ventilated hardware experiments—VEGGIE (OSD-427, RNA-seq, APEX-04) and ABRS (OSD-7, Affymetrix microarray, TAGES)—converged on an identical quantitative separation:</w:t>
      </w:r>
    </w:p>
    <w:p>
      <w:pPr>
        <w:pStyle w:val="BodyText"/>
      </w:pPr>
      <m:oMathPara>
        <m:oMathParaPr>
          <m:jc m:val="center"/>
        </m:oMathParaPr>
        <m:oMath>
          <m:sSub>
            <m:e>
              <m:r>
                <m:rPr>
                  <m:sty m:val="p"/>
                </m:rPr>
                <m:t>Δ</m:t>
              </m:r>
            </m:e>
            <m:sub>
              <m:r>
                <m:rPr>
                  <m:nor/>
                  <m:sty m:val="p"/>
                </m:rPr>
                <m:t>VEGGIE</m:t>
              </m:r>
            </m:sub>
          </m:sSub>
          <m:r>
            <m:rPr>
              <m:sty m:val="p"/>
            </m:rPr>
            <m:t>=</m:t>
          </m:r>
          <m:r>
            <m:rPr>
              <m:sty m:val="p"/>
            </m:rPr>
            <m:t>+</m:t>
          </m:r>
          <m:r>
            <m:t>0.4142</m:t>
          </m:r>
          <m:r>
            <m:t> </m:t>
          </m:r>
          <m:r>
            <m:rPr>
              <m:nor/>
              <m:sty m:val="p"/>
            </m:rPr>
            <m:t>vs</m:t>
          </m:r>
          <m:r>
            <m:t> </m:t>
          </m:r>
          <m:sSub>
            <m:e>
              <m:r>
                <m:rPr>
                  <m:sty m:val="p"/>
                </m:rPr>
                <m:t>Δ</m:t>
              </m:r>
            </m:e>
            <m:sub>
              <m:r>
                <m:rPr>
                  <m:nor/>
                  <m:sty m:val="p"/>
                </m:rPr>
                <m:t>ABRS</m:t>
              </m:r>
            </m:sub>
          </m:sSub>
          <m:r>
            <m:rPr>
              <m:sty m:val="p"/>
            </m:rPr>
            <m:t>=</m:t>
          </m:r>
          <m:r>
            <m:rPr>
              <m:sty m:val="p"/>
            </m:rPr>
            <m:t>+</m:t>
          </m:r>
          <m:r>
            <m:t>0.4146</m:t>
          </m:r>
        </m:oMath>
      </m:oMathPara>
    </w:p>
    <w:p>
      <w:pPr>
        <w:pStyle w:val="FirstParagraph"/>
      </w:pPr>
      <w:r>
        <w:t xml:space="preserve">This remarkable agreement across different laboratories, flight years, and omics technologies establishes</w:t>
      </w:r>
      <w:r>
        <w:t xml:space="preserve"> </w:t>
      </w:r>
      <m:oMath>
        <m:r>
          <m:rPr>
            <m:sty m:val="p"/>
          </m:rPr>
          <m:t>+</m:t>
        </m:r>
        <m:r>
          <m:t>0.41</m:t>
        </m:r>
        <m:sSub>
          <m:e>
            <m:r>
              <m:rPr>
                <m:sty m:val="p"/>
              </m:rPr>
              <m:t>log</m:t>
            </m:r>
          </m:e>
          <m:sub>
            <m:r>
              <m:t>2</m:t>
            </m:r>
          </m:sub>
        </m:sSub>
        <m:r>
          <m:rPr>
            <m:nor/>
            <m:sty m:val="p"/>
          </m:rPr>
          <m:t>FC</m:t>
        </m:r>
      </m:oMath>
      <w:r>
        <w:t xml:space="preserve"> </w:t>
      </w:r>
      <w:r>
        <w:t xml:space="preserve">as the reproducible, unconfounded baseline spaceflight response in ventilated plant growth systems, whereas sealed hardware (</w:t>
      </w:r>
      <m:oMath>
        <m:r>
          <m:rPr>
            <m:sty m:val="p"/>
          </m:rPr>
          <m:t>+</m:t>
        </m:r>
        <m:r>
          <m:t>0.9226</m:t>
        </m:r>
      </m:oMath>
      <w:r>
        <w:t xml:space="preserve">) and tape enclosures (</w:t>
      </w:r>
      <m:oMath>
        <m:r>
          <m:rPr>
            <m:sty m:val="p"/>
          </m:rPr>
          <m:t>+</m:t>
        </m:r>
        <m:r>
          <m:t>2.5774</m:t>
        </m:r>
      </m:oMath>
      <w:r>
        <w:t xml:space="preserve">) severely amplify the starvation signal.</w:t>
      </w:r>
    </w:p>
    <w:bookmarkEnd w:id="16"/>
    <w:bookmarkEnd w:id="17"/>
    <w:bookmarkStart w:id="18" w:name="sec:discussion"/>
    <w:p>
      <w:pPr>
        <w:pStyle w:val="Heading1"/>
      </w:pPr>
      <w:r>
        <w:t xml:space="preserve">Discussion</w:t>
      </w:r>
    </w:p>
    <w:p>
      <w:pPr>
        <w:pStyle w:val="FirstParagraph"/>
      </w:pPr>
      <w:r>
        <w:t xml:space="preserve">The reconciliation of sealed BRIC-LED and ventilated ABRS multi-omics data resolves a decades-old puzzle in plant space biology. The extreme cellular stress frequently reported in spaceflight experiments—most notably the induction of the unfolded protein response and broad metabolic collapse</w:t>
      </w:r>
      <w:r>
        <w:t xml:space="preserve"> </w:t>
      </w:r>
      <w:r>
        <w:t xml:space="preserve">(Kruse et al. 2020; Choi et al. 2019)</w:t>
      </w:r>
      <w:r>
        <w:t xml:space="preserve">—is not an obligatory consequence of microgravity. Instead, it is an artifact of culturing plants within sealed, unventilated canisters where photosynthetic activity rapidly exhausts CO</w:t>
      </w:r>
      <m:oMath>
        <m:sSub>
          <m:e>
            <m:r>
              <m:t>​</m:t>
            </m:r>
          </m:e>
          <m:sub>
            <m:r>
              <m:t>2</m:t>
            </m:r>
          </m:sub>
        </m:sSub>
      </m:oMath>
      <w:r>
        <w:t xml:space="preserve"> </w:t>
      </w:r>
      <w:r>
        <w:t xml:space="preserve">and volatile phytohormones like ethylene accumulate to toxic levels. When plants are grown with active forced airflow and catalytic volatile scrubbing, as in ABRS and VEGGIE, ER stress is eliminated, photosynthesis operates in the light-limited RuBP-regeneration regime, and photorespiration remains basal.</w:t>
      </w:r>
    </w:p>
    <w:p>
      <w:pPr>
        <w:pStyle w:val="BodyText"/>
      </w:pPr>
      <w:r>
        <w:t xml:space="preserve">What does microgravity do when hardware confounds are stripped away? The extended hardware ladder reveals that an authentic, hardware-independent spaceflight signature exists:</w:t>
      </w:r>
    </w:p>
    <w:p>
      <w:pPr>
        <w:numPr>
          <w:ilvl w:val="0"/>
          <w:numId w:val="1001"/>
        </w:numPr>
      </w:pPr>
      <w:r>
        <w:rPr>
          <w:b/>
          <w:bCs/>
        </w:rPr>
        <w:t xml:space="preserve">Photosystem apparatus repression:</w:t>
      </w:r>
      <w:r>
        <w:t xml:space="preserve"> </w:t>
      </w:r>
      <w:r>
        <w:t xml:space="preserve">Photosynthetic light-harvesting complex genes are down-regulated in all illuminated flight experiments (</w:t>
      </w:r>
      <m:oMath>
        <m:r>
          <m:t>p</m:t>
        </m:r>
        <m:r>
          <m:rPr>
            <m:sty m:val="p"/>
          </m:rPr>
          <m:t>&lt;</m:t>
        </m:r>
        <m:sSup>
          <m:e>
            <m:r>
              <m:t>10</m:t>
            </m:r>
          </m:e>
          <m:sup>
            <m:r>
              <m:rPr>
                <m:sty m:val="p"/>
              </m:rPr>
              <m:t>−</m:t>
            </m:r>
            <m:r>
              <m:t>5</m:t>
            </m:r>
          </m:sup>
        </m:sSup>
      </m:oMath>
      <w:r>
        <w:t xml:space="preserve"> </w:t>
      </w:r>
      <w:r>
        <w:t xml:space="preserve">in both BRIC-LED and ABRS), representing an adaptive response to altered light-reaction homeostasis under microgravity.</w:t>
      </w:r>
    </w:p>
    <w:p>
      <w:pPr>
        <w:numPr>
          <w:ilvl w:val="0"/>
          <w:numId w:val="1001"/>
        </w:numPr>
      </w:pPr>
      <w:r>
        <w:rPr>
          <w:b/>
          <w:bCs/>
        </w:rPr>
        <w:t xml:space="preserve">Biotic stress and defense priming:</w:t>
      </w:r>
      <w:r>
        <w:t xml:space="preserve"> </w:t>
      </w:r>
      <w:r>
        <w:t xml:space="preserve">MapMan biotic stress pathways are conserved across hardware platforms (</w:t>
      </w:r>
      <m:oMath>
        <m:r>
          <m:t>p</m:t>
        </m:r>
        <m:r>
          <m:rPr>
            <m:sty m:val="p"/>
          </m:rPr>
          <m:t>&lt;</m:t>
        </m:r>
        <m:r>
          <m:t>0.02</m:t>
        </m:r>
      </m:oMath>
      <w:r>
        <w:t xml:space="preserve"> </w:t>
      </w:r>
      <w:r>
        <w:t xml:space="preserve">in both), indicating that microgravity triggers innate plant defense signaling cascades independently of pathogen challenge</w:t>
      </w:r>
      <w:r>
        <w:t xml:space="preserve"> </w:t>
      </w:r>
      <w:r>
        <w:t xml:space="preserve">(Barker et al. 2020)</w:t>
      </w:r>
      <w:r>
        <w:t xml:space="preserve">.</w:t>
      </w:r>
    </w:p>
    <w:p>
      <w:pPr>
        <w:numPr>
          <w:ilvl w:val="0"/>
          <w:numId w:val="1001"/>
        </w:numPr>
      </w:pPr>
      <w:r>
        <w:rPr>
          <w:b/>
          <w:bCs/>
        </w:rPr>
        <w:t xml:space="preserve">Osmolyte and raffinose accumulation:</w:t>
      </w:r>
      <w:r>
        <w:t xml:space="preserve"> </w:t>
      </w:r>
      <w:r>
        <w:t xml:space="preserve">Raffinose family oligosaccharide metabolism is consistently up-regulated (</w:t>
      </w:r>
      <m:oMath>
        <m:r>
          <m:t>p</m:t>
        </m:r>
        <m:r>
          <m:rPr>
            <m:sty m:val="p"/>
          </m:rPr>
          <m:t>&lt;</m:t>
        </m:r>
        <m:r>
          <m:t>0.03</m:t>
        </m:r>
      </m:oMath>
      <w:r>
        <w:t xml:space="preserve"> </w:t>
      </w:r>
      <w:r>
        <w:t xml:space="preserve">in both), serving as a conserved osmoprotective mechanism against spaceflight-induced physiological stress.</w:t>
      </w:r>
    </w:p>
    <w:p>
      <w:pPr>
        <w:pStyle w:val="FirstParagraph"/>
      </w:pPr>
      <w:r>
        <w:t xml:space="preserve">These findings carry immediate engineering implications for extraterrestrial agriculture on Lunar Gateway, Artemis surface bases, and Mars transit habitats. Microgravity does not inherently impede photosynthetic carbon fixation if forced airflow is maintained. In elevated cabin atmospheres (such as the 3</w:t>
      </w:r>
      <w:r>
        <w:t xml:space="preserve">,</w:t>
      </w:r>
      <w:r>
        <w:t xml:space="preserve">500 ppm CO</w:t>
      </w:r>
      <m:oMath>
        <m:sSub>
          <m:e>
            <m:r>
              <m:t>​</m:t>
            </m:r>
          </m:e>
          <m:sub>
            <m:r>
              <m:t>2</m:t>
            </m:r>
          </m:sub>
        </m:sSub>
      </m:oMath>
      <w:r>
        <w:t xml:space="preserve"> </w:t>
      </w:r>
      <w:r>
        <w:t xml:space="preserve">typical of crewed spacecraft), Rubisco operates at saturation, nullifying the diffusion penalty imposed by buoyancy-free boundary layers. Future flight payloads must abandon sealed, unmonitored containers in favor of instrumented chambers with continuous CO</w:t>
      </w:r>
      <m:oMath>
        <m:sSub>
          <m:e>
            <m:r>
              <m:t>​</m:t>
            </m:r>
          </m:e>
          <m:sub>
            <m:r>
              <m:t>2</m:t>
            </m:r>
          </m:sub>
        </m:sSub>
      </m:oMath>
      <w:r>
        <w:t xml:space="preserve">, O</w:t>
      </w:r>
      <m:oMath>
        <m:sSub>
          <m:e>
            <m:r>
              <m:t>​</m:t>
            </m:r>
          </m:e>
          <m:sub>
            <m:r>
              <m:t>2</m:t>
            </m:r>
          </m:sub>
        </m:sSub>
      </m:oMath>
      <w:r>
        <w:t xml:space="preserve">, and ethylene telemetry. Furthermore, spaceflight genomics studies should adopt a rigorous three-arm design (Flight vs Ground Control vs Ventilated Baseline; Fig. </w:t>
      </w:r>
      <w:hyperlink w:anchor="fig:implications">
        <w:r>
          <w:rPr>
            <w:rStyle w:val="Hyperlink"/>
          </w:rPr>
          <w:t xml:space="preserve">8</w:t>
        </w:r>
      </w:hyperlink>
      <w:r>
        <w:t xml:space="preserve">) to ensure that environmental confounds are never again mistaken for the biology of weightlessness.</w:t>
      </w:r>
    </w:p>
    <w:bookmarkEnd w:id="18"/>
    <w:bookmarkStart w:id="116" w:name="sec:methods"/>
    <w:p>
      <w:pPr>
        <w:pStyle w:val="Heading1"/>
      </w:pPr>
      <w:r>
        <w:t xml:space="preserve">Methods</w:t>
      </w:r>
    </w:p>
    <w:bookmarkStart w:id="19" w:name="lattice-boltzmann-gas-transport-modeling"/>
    <w:p>
      <w:pPr>
        <w:pStyle w:val="Heading2"/>
      </w:pPr>
      <w:r>
        <w:t xml:space="preserve">Lattice-Boltzmann Gas Transport Modeling</w:t>
      </w:r>
    </w:p>
    <w:p>
      <w:pPr>
        <w:pStyle w:val="FirstParagraph"/>
      </w:pPr>
      <w:r>
        <w:t xml:space="preserve">Boundary-layer fluid dynamics and enclosure mass balance were solved using LunarLeaf-CFD</w:t>
      </w:r>
      <w:r>
        <w:t xml:space="preserve"> </w:t>
      </w:r>
      <w:r>
        <w:t xml:space="preserve">(Barker 2026)</w:t>
      </w:r>
      <w:r>
        <w:t xml:space="preserve">, a D3Q19 lattice-Boltzmann model with BGK collision operator. Steady-state boundary-layer conductances (</w:t>
      </w:r>
      <m:oMath>
        <m:sSub>
          <m:e>
            <m:r>
              <m:t>g</m:t>
            </m:r>
          </m:e>
          <m:sub>
            <m:r>
              <m:t>b</m:t>
            </m:r>
            <m:r>
              <m:t>l</m:t>
            </m:r>
          </m:sub>
        </m:sSub>
      </m:oMath>
      <w:r>
        <w:t xml:space="preserve">) were obtained by imposing a fixed species concentration gradient at the leaf surface under terrestrial gravity (</w:t>
      </w:r>
      <m:oMath>
        <m:r>
          <m:t>1</m:t>
        </m:r>
        <m:r>
          <m:t>g</m:t>
        </m:r>
      </m:oMath>
      <w:r>
        <w:t xml:space="preserve">, buoyancy active) and microgravity (</w:t>
      </w:r>
      <m:oMath>
        <m:r>
          <m:t>μ</m:t>
        </m:r>
        <m:r>
          <m:t>g</m:t>
        </m:r>
      </m:oMath>
      <w:r>
        <w:t xml:space="preserve">, buoyancy-free diffusive regime). Rosette-scale geometries were derived from 3D digitised</w:t>
      </w:r>
      <w:r>
        <w:t xml:space="preserve"> </w:t>
      </w:r>
      <w:r>
        <w:rPr>
          <w:i/>
          <w:iCs/>
        </w:rPr>
        <w:t xml:space="preserve">Arabidopsis</w:t>
      </w:r>
      <w:r>
        <w:t xml:space="preserve"> </w:t>
      </w:r>
      <w:r>
        <w:t xml:space="preserve">canopies. Enclosure drawdown curves were computed by coupling instantaneous leaf uptake fluxes to the closed volume mass balance.</w:t>
      </w:r>
    </w:p>
    <w:bookmarkEnd w:id="19"/>
    <w:bookmarkStart w:id="20" w:name="biochemical-photosynthesis-solver"/>
    <w:p>
      <w:pPr>
        <w:pStyle w:val="Heading2"/>
      </w:pPr>
      <w:r>
        <w:t xml:space="preserve">Biochemical Photosynthesis Solver</w:t>
      </w:r>
    </w:p>
    <w:p>
      <w:pPr>
        <w:pStyle w:val="FirstParagraph"/>
      </w:pPr>
      <w:r>
        <w:t xml:space="preserve">Photosynthesis was simulated using the Farquhar–von Caemmerer–Berry (FvCB) model</w:t>
      </w:r>
      <w:r>
        <w:t xml:space="preserve"> </w:t>
      </w:r>
      <w:r>
        <w:t xml:space="preserve">(Farquhar et al. 1980)</w:t>
      </w:r>
      <w:r>
        <w:t xml:space="preserve"> </w:t>
      </w:r>
      <w:r>
        <w:t xml:space="preserve">with in-vivo kinetic parameters for</w:t>
      </w:r>
      <w:r>
        <w:t xml:space="preserve"> </w:t>
      </w:r>
      <w:r>
        <w:rPr>
          <w:i/>
          <w:iCs/>
        </w:rPr>
        <w:t xml:space="preserve">Arabidopsis</w:t>
      </w:r>
      <w:r>
        <w:t xml:space="preserve"> </w:t>
      </w:r>
      <w:r>
        <w:t xml:space="preserve">from Bernacchi et al.</w:t>
      </w:r>
      <w:r>
        <w:t xml:space="preserve"> </w:t>
      </w:r>
      <w:r>
        <w:t xml:space="preserve">(Bernacchi et al. 2001, 2003)</w:t>
      </w:r>
      <w:r>
        <w:t xml:space="preserve"> </w:t>
      </w:r>
      <w:r>
        <w:t xml:space="preserve">and Sharkey et al.</w:t>
      </w:r>
      <w:r>
        <w:t xml:space="preserve"> </w:t>
      </w:r>
      <w:r>
        <w:t xml:space="preserve">(Sharkey et al. 2007)</w:t>
      </w:r>
      <w:r>
        <w:t xml:space="preserve">. The simultaneous supply-demand operating point for chloroplastic CO</w:t>
      </w:r>
      <m:oMath>
        <m:sSub>
          <m:e>
            <m:r>
              <m:t>​</m:t>
            </m:r>
          </m:e>
          <m:sub>
            <m:r>
              <m:t>2</m:t>
            </m:r>
          </m:sub>
        </m:sSub>
      </m:oMath>
      <w:r>
        <w:t xml:space="preserve"> </w:t>
      </w:r>
      <w:r>
        <w:t xml:space="preserve">(</w:t>
      </w:r>
      <m:oMath>
        <m:sSub>
          <m:e>
            <m:r>
              <m:t>C</m:t>
            </m:r>
          </m:e>
          <m:sub>
            <m:r>
              <m:t>c</m:t>
            </m:r>
          </m:sub>
        </m:sSub>
      </m:oMath>
      <w:r>
        <w:t xml:space="preserve">) was solved iteratively using:</w:t>
      </w:r>
    </w:p>
    <w:p>
      <w:pPr>
        <w:pStyle w:val="BodyText"/>
      </w:pPr>
      <m:oMathPara>
        <m:oMathParaPr>
          <m:jc m:val="center"/>
        </m:oMathParaPr>
        <m:oMath>
          <m:r>
            <m:t>A</m:t>
          </m:r>
          <m:r>
            <m:rPr>
              <m:sty m:val="p"/>
            </m:rPr>
            <m:t>=</m:t>
          </m:r>
          <m:sSub>
            <m:e>
              <m:r>
                <m:t>g</m:t>
              </m:r>
            </m:e>
            <m:sub>
              <m:r>
                <m:t>t</m:t>
              </m:r>
              <m:r>
                <m:t>c</m:t>
              </m:r>
            </m:sub>
          </m:sSub>
          <m:r>
            <m:rPr>
              <m:sty m:val="p"/>
            </m:rPr>
            <m:t>(</m:t>
          </m:r>
          <m:sSub>
            <m:e>
              <m:r>
                <m:t>C</m:t>
              </m:r>
            </m:e>
            <m:sub>
              <m:r>
                <m:t>a</m:t>
              </m:r>
            </m:sub>
          </m:sSub>
          <m:r>
            <m:rPr>
              <m:sty m:val="p"/>
            </m:rPr>
            <m:t>−</m:t>
          </m:r>
          <m:sSub>
            <m:e>
              <m:r>
                <m:t>C</m:t>
              </m:r>
            </m:e>
            <m:sub>
              <m:r>
                <m:t>c</m:t>
              </m:r>
            </m:sub>
          </m:sSub>
          <m:r>
            <m:rPr>
              <m:sty m:val="p"/>
            </m:rPr>
            <m:t>)</m:t>
          </m:r>
          <m:r>
            <m:rPr>
              <m:sty m:val="p"/>
            </m:rPr>
            <m:t>=</m:t>
          </m:r>
          <m:r>
            <m:rPr>
              <m:sty m:val="p"/>
            </m:rPr>
            <m:t>min</m:t>
          </m:r>
          <m:r>
            <m:rPr>
              <m:sty m:val="p"/>
            </m:rPr>
            <m:t>(</m:t>
          </m:r>
          <m:sSub>
            <m:e>
              <m:r>
                <m:t>A</m:t>
              </m:r>
            </m:e>
            <m:sub>
              <m:r>
                <m:t>c</m:t>
              </m:r>
            </m:sub>
          </m:sSub>
          <m:r>
            <m:rPr>
              <m:sty m:val="p"/>
            </m:rPr>
            <m:t>,</m:t>
          </m:r>
          <m:sSub>
            <m:e>
              <m:r>
                <m:t>A</m:t>
              </m:r>
            </m:e>
            <m:sub>
              <m:r>
                <m:t>j</m:t>
              </m:r>
            </m:sub>
          </m:sSub>
          <m:r>
            <m:rPr>
              <m:sty m:val="p"/>
            </m:rPr>
            <m:t>)</m:t>
          </m:r>
          <m:r>
            <m:rPr>
              <m:sty m:val="p"/>
            </m:rPr>
            <m:t>−</m:t>
          </m:r>
          <m:sSub>
            <m:e>
              <m:r>
                <m:t>R</m:t>
              </m:r>
            </m:e>
            <m:sub>
              <m:r>
                <m:t>d</m:t>
              </m:r>
            </m:sub>
          </m:sSub>
        </m:oMath>
      </m:oMathPara>
    </w:p>
    <w:p>
      <w:pPr>
        <w:pStyle w:val="FirstParagraph"/>
      </w:pPr>
      <w:r>
        <w:t xml:space="preserve">where</w:t>
      </w:r>
      <w:r>
        <w:t xml:space="preserve"> </w:t>
      </w:r>
      <m:oMath>
        <m:r>
          <m:t>1</m:t>
        </m:r>
        <m:r>
          <m:rPr>
            <m:sty m:val="p"/>
          </m:rPr>
          <m:t>/</m:t>
        </m:r>
        <m:sSub>
          <m:e>
            <m:r>
              <m:t>g</m:t>
            </m:r>
          </m:e>
          <m:sub>
            <m:r>
              <m:t>t</m:t>
            </m:r>
            <m:r>
              <m:t>c</m:t>
            </m:r>
          </m:sub>
        </m:sSub>
        <m:r>
          <m:rPr>
            <m:sty m:val="p"/>
          </m:rPr>
          <m:t>=</m:t>
        </m:r>
        <m:r>
          <m:t>1</m:t>
        </m:r>
        <m:r>
          <m:rPr>
            <m:sty m:val="p"/>
          </m:rPr>
          <m:t>/</m:t>
        </m:r>
        <m:sSub>
          <m:e>
            <m:r>
              <m:t>g</m:t>
            </m:r>
          </m:e>
          <m:sub>
            <m:r>
              <m:t>b</m:t>
            </m:r>
            <m:r>
              <m:t>l</m:t>
            </m:r>
          </m:sub>
        </m:sSub>
        <m:r>
          <m:rPr>
            <m:sty m:val="p"/>
          </m:rPr>
          <m:t>+</m:t>
        </m:r>
        <m:r>
          <m:t>1</m:t>
        </m:r>
        <m:r>
          <m:rPr>
            <m:sty m:val="p"/>
          </m:rPr>
          <m:t>/</m:t>
        </m:r>
        <m:sSub>
          <m:e>
            <m:r>
              <m:t>g</m:t>
            </m:r>
          </m:e>
          <m:sub>
            <m:r>
              <m:t>s</m:t>
            </m:r>
          </m:sub>
        </m:sSub>
        <m:r>
          <m:rPr>
            <m:sty m:val="p"/>
          </m:rPr>
          <m:t>+</m:t>
        </m:r>
        <m:r>
          <m:t>1</m:t>
        </m:r>
        <m:r>
          <m:rPr>
            <m:sty m:val="p"/>
          </m:rPr>
          <m:t>/</m:t>
        </m:r>
        <m:sSub>
          <m:e>
            <m:r>
              <m:t>g</m:t>
            </m:r>
          </m:e>
          <m:sub>
            <m:r>
              <m:t>m</m:t>
            </m:r>
          </m:sub>
        </m:sSub>
      </m:oMath>
      <w:r>
        <w:t xml:space="preserve">. Boundary conditions were set to</w:t>
      </w:r>
      <w:r>
        <w:t xml:space="preserve"> </w:t>
      </w:r>
      <m:oMath>
        <m:sSub>
          <m:e>
            <m:r>
              <m:t>C</m:t>
            </m:r>
          </m:e>
          <m:sub>
            <m:r>
              <m:t>a</m:t>
            </m:r>
          </m:sub>
        </m:sSub>
        <m:r>
          <m:rPr>
            <m:sty m:val="p"/>
          </m:rPr>
          <m:t>=</m:t>
        </m:r>
        <m:r>
          <m:t>100</m:t>
        </m:r>
      </m:oMath>
      <w:r>
        <w:t xml:space="preserve"> ppm for drawn-down canisters (BRIC),</w:t>
      </w:r>
      <w:r>
        <w:t xml:space="preserve"> </w:t>
      </w:r>
      <m:oMath>
        <m:sSub>
          <m:e>
            <m:r>
              <m:t>C</m:t>
            </m:r>
          </m:e>
          <m:sub>
            <m:r>
              <m:t>a</m:t>
            </m:r>
          </m:sub>
        </m:sSub>
        <m:r>
          <m:rPr>
            <m:sty m:val="p"/>
          </m:rPr>
          <m:t>=</m:t>
        </m:r>
        <m:r>
          <m:t>400</m:t>
        </m:r>
      </m:oMath>
      <w:r>
        <w:t xml:space="preserve"> ppm for terrestrial ambient, and</w:t>
      </w:r>
      <w:r>
        <w:t xml:space="preserve"> </w:t>
      </w:r>
      <m:oMath>
        <m:sSub>
          <m:e>
            <m:r>
              <m:t>C</m:t>
            </m:r>
          </m:e>
          <m:sub>
            <m:r>
              <m:t>a</m:t>
            </m:r>
          </m:sub>
        </m:sSub>
        <m:r>
          <m:rPr>
            <m:sty m:val="p"/>
          </m:rPr>
          <m:t>=</m:t>
        </m:r>
        <m:r>
          <m:t>3</m:t>
        </m:r>
        <m:r>
          <m:rPr>
            <m:sty m:val="p"/>
          </m:rPr>
          <m:t>,</m:t>
        </m:r>
        <m:r>
          <m:t>500</m:t>
        </m:r>
      </m:oMath>
      <w:r>
        <w:t xml:space="preserve"> ppm for the ISS ABRS cabin environment.</w:t>
      </w:r>
    </w:p>
    <w:bookmarkEnd w:id="20"/>
    <w:bookmarkStart w:id="21" w:name="X13cef981cc48d04291f6dd1549763e62536c240"/>
    <w:p>
      <w:pPr>
        <w:pStyle w:val="Heading2"/>
      </w:pPr>
      <w:r>
        <w:t xml:space="preserve">Differential Expression and Microarray Processing</w:t>
      </w:r>
    </w:p>
    <w:p>
      <w:pPr>
        <w:pStyle w:val="FirstParagraph"/>
      </w:pPr>
      <w:r>
        <w:t xml:space="preserve">For RNA-seq studies (OSD-522, OSD-38, OSD-321, OSD-678, OSD-427), raw read counts were obtained from OSDR and modeled using negative binomial generalized linear models in PyDESeq2</w:t>
      </w:r>
      <w:r>
        <w:t xml:space="preserve"> </w:t>
      </w:r>
      <w:r>
        <w:t xml:space="preserve">(Muzellec et al. 2023)</w:t>
      </w:r>
      <w:r>
        <w:t xml:space="preserve"> </w:t>
      </w:r>
      <w:r>
        <w:t xml:space="preserve">with Benjamini–Hochberg FDR control. For Affymetrix ATH1 microarray data (OSD-7), probe-level intensities were normalized via Robust Multi-array Average (RMA). Pairwise differential expression across organs was calculated using Welch’s</w:t>
      </w:r>
      <w:r>
        <w:t xml:space="preserve"> </w:t>
      </w:r>
      <m:oMath>
        <m:r>
          <m:t>t</m:t>
        </m:r>
      </m:oMath>
      <w:r>
        <w:t xml:space="preserve">-test and log</w:t>
      </w:r>
      <m:oMath>
        <m:sSub>
          <m:e>
            <m:r>
              <m:t>​</m:t>
            </m:r>
          </m:e>
          <m:sub>
            <m:r>
              <m:t>2</m:t>
            </m:r>
          </m:sub>
        </m:sSub>
      </m:oMath>
      <w:r>
        <w:t xml:space="preserve"> </w:t>
      </w:r>
      <w:r>
        <w:t xml:space="preserve">fold changes between spaceflight and ground control replicates.</w:t>
      </w:r>
    </w:p>
    <w:bookmarkEnd w:id="21"/>
    <w:bookmarkStart w:id="22" w:name="multi-omics-pathway-enrichment"/>
    <w:p>
      <w:pPr>
        <w:pStyle w:val="Heading2"/>
      </w:pPr>
      <w:r>
        <w:t xml:space="preserve">Multi-Omics Pathway Enrichment</w:t>
      </w:r>
    </w:p>
    <w:p>
      <w:pPr>
        <w:pStyle w:val="FirstParagraph"/>
      </w:pPr>
      <w:r>
        <w:t xml:space="preserve">Integrated multi-omics enrichment was performed with PaintOmics 4</w:t>
      </w:r>
      <w:r>
        <w:t xml:space="preserve"> </w:t>
      </w:r>
      <w:r>
        <w:t xml:space="preserve">(Liu et al. 2022)</w:t>
      </w:r>
      <w:r>
        <w:t xml:space="preserve"> </w:t>
      </w:r>
      <w:r>
        <w:t xml:space="preserve">mapping against KEGG (release 108.0) and MapMan ontology diagrams. Combined pathway</w:t>
      </w:r>
      <w:r>
        <w:t xml:space="preserve"> </w:t>
      </w:r>
      <m:oMath>
        <m:r>
          <m:t>p</m:t>
        </m:r>
      </m:oMath>
      <w:r>
        <w:t xml:space="preserve">-values across transcriptomic, proteomic, and metabolomic layers were evaluated using Fisher’s combined probability test:</w:t>
      </w:r>
    </w:p>
    <w:p>
      <w:pPr>
        <w:pStyle w:val="BodyText"/>
      </w:pPr>
      <m:oMathPara>
        <m:oMathParaPr>
          <m:jc m:val="center"/>
        </m:oMathParaPr>
        <m:oMath>
          <m:sSup>
            <m:e>
              <m:r>
                <m:t>χ</m:t>
              </m:r>
            </m:e>
            <m:sup>
              <m:r>
                <m:t>2</m:t>
              </m:r>
            </m:sup>
          </m:sSup>
          <m:r>
            <m:rPr>
              <m:sty m:val="p"/>
            </m:rPr>
            <m:t>=</m:t>
          </m:r>
          <m:r>
            <m:rPr>
              <m:sty m:val="p"/>
            </m:rPr>
            <m:t>−</m:t>
          </m:r>
          <m:r>
            <m:t>2</m:t>
          </m:r>
          <m:nary>
            <m:naryPr>
              <m:chr m:val="∑"/>
              <m:limLoc m:val="undOvr"/>
              <m:subHide m:val="off"/>
              <m:supHide m:val="off"/>
            </m:naryPr>
            <m:sub>
              <m:r>
                <m:t>i</m:t>
              </m:r>
              <m:r>
                <m:rPr>
                  <m:sty m:val="p"/>
                </m:rPr>
                <m:t>=</m:t>
              </m:r>
              <m:r>
                <m:t>1</m:t>
              </m:r>
            </m:sub>
            <m:sup>
              <m:r>
                <m:t>k</m:t>
              </m:r>
            </m:sup>
            <m:e>
              <m:r>
                <m:rPr>
                  <m:sty m:val="p"/>
                </m:rPr>
                <m:t>ln</m:t>
              </m:r>
            </m:e>
          </m:nary>
          <m:r>
            <m:rPr>
              <m:sty m:val="p"/>
            </m:rPr>
            <m:t>(</m:t>
          </m:r>
          <m:sSub>
            <m:e>
              <m:r>
                <m:t>p</m:t>
              </m:r>
            </m:e>
            <m:sub>
              <m:r>
                <m:t>i</m:t>
              </m:r>
            </m:sub>
          </m:sSub>
          <m:r>
            <m:rPr>
              <m:sty m:val="p"/>
            </m:rPr>
            <m:t>)</m:t>
          </m:r>
          <m:r>
            <m:rPr>
              <m:sty m:val="p"/>
            </m:rPr>
            <m:t>,</m:t>
          </m:r>
          <m:r>
            <m:t> </m:t>
          </m:r>
          <m:r>
            <m:rPr>
              <m:nor/>
              <m:sty m:val="p"/>
            </m:rPr>
            <m:t>d.f.</m:t>
          </m:r>
          <m:r>
            <m:rPr>
              <m:sty m:val="p"/>
            </m:rPr>
            <m:t>=</m:t>
          </m:r>
          <m:r>
            <m:t>2</m:t>
          </m:r>
          <m:r>
            <m:t>k</m:t>
          </m:r>
        </m:oMath>
      </m:oMathPara>
    </w:p>
    <w:p>
      <w:pPr>
        <w:pStyle w:val="FirstParagraph"/>
      </w:pPr>
      <w:r>
        <w:t xml:space="preserve">Metabolite hub enrichment was calculated using network topology randomisation against empirical transcript shifts.</w:t>
      </w:r>
    </w:p>
    <w:bookmarkEnd w:id="22"/>
    <w:bookmarkStart w:id="115" w:name="hardware-ladder-contrast-statistics"/>
    <w:p>
      <w:pPr>
        <w:pStyle w:val="Heading2"/>
      </w:pPr>
      <w:r>
        <w:t xml:space="preserve">Hardware Ladder Contrast Statistics</w:t>
      </w:r>
    </w:p>
    <w:p>
      <w:pPr>
        <w:pStyle w:val="FirstParagraph"/>
      </w:pPr>
      <w:r>
        <w:t xml:space="preserve">The separation metric was computed across seven studies as:</w:t>
      </w:r>
    </w:p>
    <w:p>
      <w:pPr>
        <w:pStyle w:val="BodyText"/>
      </w:pPr>
      <m:oMathPara>
        <m:oMathParaPr>
          <m:jc m:val="center"/>
        </m:oMathParaPr>
        <m:oMath>
          <m:r>
            <m:rPr>
              <m:nor/>
              <m:sty m:val="p"/>
            </m:rPr>
            <m:t>Separation</m:t>
          </m:r>
          <m:r>
            <m:rPr>
              <m:sty m:val="p"/>
            </m:rPr>
            <m:t>=</m:t>
          </m:r>
          <m:r>
            <m:rPr>
              <m:nor/>
              <m:sty m:val="p"/>
            </m:rPr>
            <m:t>median</m:t>
          </m:r>
          <m:r>
            <m:rPr>
              <m:sty m:val="p"/>
            </m:rPr>
            <m:t>(</m:t>
          </m:r>
          <m:sSub>
            <m:e>
              <m:r>
                <m:rPr>
                  <m:sty m:val="p"/>
                </m:rPr>
                <m:t>log</m:t>
              </m:r>
            </m:e>
            <m:sub>
              <m:r>
                <m:t>2</m:t>
              </m:r>
            </m:sub>
          </m:sSub>
          <m:sSub>
            <m:e>
              <m:r>
                <m:rPr>
                  <m:nor/>
                  <m:sty m:val="p"/>
                </m:rPr>
                <m:t>FC</m:t>
              </m:r>
            </m:e>
            <m:sub>
              <m:r>
                <m:rPr>
                  <m:nor/>
                  <m:sty m:val="p"/>
                </m:rPr>
                <m:t>starvation</m:t>
              </m:r>
            </m:sub>
          </m:sSub>
          <m:r>
            <m:rPr>
              <m:sty m:val="p"/>
            </m:rPr>
            <m:t>)</m:t>
          </m:r>
          <m:r>
            <m:rPr>
              <m:sty m:val="p"/>
            </m:rPr>
            <m:t>−</m:t>
          </m:r>
          <m:r>
            <m:rPr>
              <m:nor/>
              <m:sty m:val="p"/>
            </m:rPr>
            <m:t>median</m:t>
          </m:r>
          <m:r>
            <m:rPr>
              <m:sty m:val="p"/>
            </m:rPr>
            <m:t>(</m:t>
          </m:r>
          <m:sSub>
            <m:e>
              <m:r>
                <m:rPr>
                  <m:sty m:val="p"/>
                </m:rPr>
                <m:t>log</m:t>
              </m:r>
            </m:e>
            <m:sub>
              <m:r>
                <m:t>2</m:t>
              </m:r>
            </m:sub>
          </m:sSub>
          <m:sSub>
            <m:e>
              <m:r>
                <m:rPr>
                  <m:nor/>
                  <m:sty m:val="p"/>
                </m:rPr>
                <m:t>FC</m:t>
              </m:r>
            </m:e>
            <m:sub>
              <m:r>
                <m:rPr>
                  <m:nor/>
                  <m:sty m:val="p"/>
                </m:rPr>
                <m:t>photosynthesis</m:t>
              </m:r>
            </m:sub>
          </m:sSub>
          <m:r>
            <m:rPr>
              <m:sty m:val="p"/>
            </m:rPr>
            <m:t>)</m:t>
          </m:r>
        </m:oMath>
      </m:oMathPara>
    </w:p>
    <w:p>
      <w:pPr>
        <w:pStyle w:val="FirstParagraph"/>
      </w:pPr>
      <w:r>
        <w:t xml:space="preserve">where starvation markers were defined by the DIN gene family (</w:t>
      </w:r>
      <w:r>
        <w:rPr>
          <w:i/>
          <w:iCs/>
        </w:rPr>
        <w:t xml:space="preserve">DIN1</w:t>
      </w:r>
      <w:r>
        <w:t xml:space="preserve">,</w:t>
      </w:r>
      <w:r>
        <w:t xml:space="preserve"> </w:t>
      </w:r>
      <w:r>
        <w:rPr>
          <w:i/>
          <w:iCs/>
        </w:rPr>
        <w:t xml:space="preserve">DIN6/ASN1</w:t>
      </w:r>
      <w:r>
        <w:t xml:space="preserve">,</w:t>
      </w:r>
      <w:r>
        <w:t xml:space="preserve"> </w:t>
      </w:r>
      <w:r>
        <w:rPr>
          <w:i/>
          <w:iCs/>
        </w:rPr>
        <w:t xml:space="preserve">DIN9</w:t>
      </w:r>
      <w:r>
        <w:t xml:space="preserve">,</w:t>
      </w:r>
      <w:r>
        <w:t xml:space="preserve"> </w:t>
      </w:r>
      <w:r>
        <w:rPr>
          <w:i/>
          <w:iCs/>
        </w:rPr>
        <w:t xml:space="preserve">DIN10</w:t>
      </w:r>
      <w:r>
        <w:t xml:space="preserve">) and photosynthesis apparatus by 28 nuclear and chloroplastic light-harvesting complex and photosystem structural genes. Statistical separation between lit and dark studies was assessed via the two-sided Mann–Whitney</w:t>
      </w:r>
      <w:r>
        <w:t xml:space="preserve"> </w:t>
      </w:r>
      <m:oMath>
        <m:r>
          <m:t>U</m:t>
        </m:r>
      </m:oMath>
      <w:r>
        <w:t xml:space="preserve">-test.</w:t>
      </w:r>
    </w:p>
    <w:p>
      <w:pPr>
        <w:pStyle w:val="BodyText"/>
      </w:pPr>
      <w:r>
        <w:t xml:space="preserve">Supplementary Figure S1 illustrates the transcript and protein locus-level concordance across significant metabolic pathways and details the MapMan diagram reconstruction.</w:t>
      </w:r>
    </w:p>
    <w:p>
      <w:pPr>
        <w:pStyle w:val="BodyText"/>
      </w:pPr>
      <w:r>
        <w:t xml:space="preserve">All primary datasets are publicly available in the NASA Open Science Data Repository (</w:t>
      </w:r>
      <w:hyperlink r:id="rId23">
        <w:r>
          <w:rPr>
            <w:rStyle w:val="Hyperlink"/>
          </w:rPr>
          <w:t xml:space="preserve">https://osdr.nasa.gov</w:t>
        </w:r>
      </w:hyperlink>
      <w:r>
        <w:t xml:space="preserve">): OSD-522, OSD-38, OSD-321, OSD-678, OSD-427, OSD-7, and OSD-16. Processed tables, operating points, and full PaintOmics upload files are available in the project repository.</w:t>
      </w:r>
    </w:p>
    <w:p>
      <w:pPr>
        <w:pStyle w:val="BodyText"/>
      </w:pPr>
      <w:r>
        <w:t xml:space="preserve">All code required to reproduce the fluid-dynamic simulations, biochemical operating points, differential expression analyses, and manuscript figures is open-source and hosted at</w:t>
      </w:r>
      <w:r>
        <w:t xml:space="preserve"> </w:t>
      </w:r>
      <w:hyperlink r:id="rId24">
        <w:r>
          <w:rPr>
            <w:rStyle w:val="Hyperlink"/>
          </w:rPr>
          <w:t xml:space="preserve">https://github.com/dr-richard-barker/Photorespiration_multiomics_microgravity</w:t>
        </w:r>
      </w:hyperlink>
      <w:r>
        <w:t xml:space="preserve">.</w:t>
      </w:r>
    </w:p>
    <w:p>
      <w:pPr>
        <w:pStyle w:val="BodyText"/>
      </w:pPr>
      <w:r>
        <w:t xml:space="preserve">We acknowledge the NASA Open Science Data Repository (OSDR) team and the GeneLab Analysis Working Groups (AWGs) for maintaining open-access spaceflight omics data.</w:t>
      </w:r>
    </w:p>
    <w:p>
      <w:pPr>
        <w:pStyle w:val="BodyText"/>
      </w:pPr>
      <w:r>
        <w:t xml:space="preserve">R.B. conceptualised the study, formulated the fluid-dynamic and photosynthesis models, performed the bioinformatics and multi-omics integrations, created the figures, and wrote the manuscript.</w:t>
      </w:r>
    </w:p>
    <w:p>
      <w:pPr>
        <w:pStyle w:val="BodyText"/>
      </w:pPr>
      <w:r>
        <w:t xml:space="preserve">This research was supported by independent research funds and NASA Open Science initiatives.</w:t>
      </w:r>
    </w:p>
    <w:p>
      <w:pPr>
        <w:pStyle w:val="BodyText"/>
      </w:pPr>
      <w:r>
        <w:t xml:space="preserve">The authors declare no competing interests.</w:t>
      </w:r>
    </w:p>
    <w:bookmarkStart w:id="25" w:name="tab:operating"/>
    <w:p>
      <w:pPr>
        <w:pStyle w:val="TableCaption"/>
      </w:pPr>
      <w:r>
        <w:t xml:space="preserve">Modelled photosynthetic operating points across flight hardware and atmospheric regimes. In sealed BRIC canisters, carbon uptake draws both flight and ground arms down to starvation levels (</w:t>
      </w:r>
      <m:oMath>
        <m:sSub>
          <m:e>
            <m:r>
              <m:t>C</m:t>
            </m:r>
          </m:e>
          <m:sub>
            <m:r>
              <m:t>a</m:t>
            </m:r>
          </m:sub>
        </m:sSub>
        <m:r>
          <m:rPr>
            <m:sty m:val="p"/>
          </m:rPr>
          <m:t>≈</m:t>
        </m:r>
        <m:r>
          <m:t>100</m:t>
        </m:r>
      </m:oMath>
      <w:r>
        <w:t xml:space="preserve"> ppm). In ventilated ABRS, elevated ISS cabin CO</w:t>
      </w:r>
      <m:oMath>
        <m:sSub>
          <m:e>
            <m:r>
              <m:t>​</m:t>
            </m:r>
          </m:e>
          <m:sub>
            <m:r>
              <m:t>2</m:t>
            </m:r>
          </m:sub>
        </m:sSub>
      </m:oMath>
      <w:r>
        <w:t xml:space="preserve"> </w:t>
      </w:r>
      <w:r>
        <w:t xml:space="preserve">(</w:t>
      </w:r>
      <m:oMath>
        <m:sSub>
          <m:e>
            <m:r>
              <m:t>C</m:t>
            </m:r>
          </m:e>
          <m:sub>
            <m:r>
              <m:t>a</m:t>
            </m:r>
          </m:sub>
        </m:sSub>
        <m:r>
          <m:rPr>
            <m:sty m:val="p"/>
          </m:rPr>
          <m:t>≈</m:t>
        </m:r>
        <m:r>
          <m:t>3</m:t>
        </m:r>
        <m:r>
          <m:rPr>
            <m:sty m:val="p"/>
          </m:rPr>
          <m:t>,</m:t>
        </m:r>
        <m:r>
          <m:t>500</m:t>
        </m:r>
      </m:oMath>
      <w:r>
        <w:t xml:space="preserve"> ppm) saturates Rubisco and suppresses photorespiration.</w:t>
      </w:r>
    </w:p>
    <w:tbl>
      <w:tblPr>
        <w:tblStyle w:val="Table"/>
        <w:tblW w:type="auto" w:w="0"/>
        <w:tblLook w:firstRow="1" w:lastRow="0" w:firstColumn="0" w:lastColumn="0" w:noHBand="0" w:noVBand="0" w:val="0020"/>
        <w:tblCaption w:val="Modelled photosynthetic operating points across flight hardware and atmospheric regimes. In sealed BRIC canisters, carbon uptake draws both flight and ground arms down to starvation levels (C_a \approx 100 ppm). In ventilated ABRS, elevated ISS cabin CO_2 (C_a \approx 3{,}500 ppm) saturates Rubisco and suppresses photorespiration."/>
      </w:tblPr>
      <w:tblGrid>
        <w:gridCol w:w="880"/>
        <w:gridCol w:w="880"/>
        <w:gridCol w:w="880"/>
        <w:gridCol w:w="880"/>
        <w:gridCol w:w="880"/>
        <w:gridCol w:w="880"/>
        <w:gridCol w:w="880"/>
        <w:gridCol w:w="880"/>
        <w:gridCol w:w="880"/>
      </w:tblGrid>
      <w:tr>
        <w:trPr>
          <w:tblHeader w:val="on"/>
        </w:trPr>
        <w:tc>
          <w:tcPr/>
          <w:p>
            <w:pPr>
              <w:pStyle w:val="Compact"/>
              <w:jc w:val="left"/>
            </w:pPr>
            <w:r>
              <w:t xml:space="preserve">Hardware</w:t>
            </w:r>
          </w:p>
        </w:tc>
        <w:tc>
          <w:tcPr/>
          <w:p>
            <w:pPr>
              <w:pStyle w:val="Compact"/>
              <w:jc w:val="left"/>
            </w:pPr>
            <w:r>
              <w:t xml:space="preserve">Condition</w:t>
            </w:r>
          </w:p>
        </w:tc>
        <w:tc>
          <w:tcPr/>
          <w:p>
            <w:pPr>
              <w:pStyle w:val="Compact"/>
              <w:jc w:val="right"/>
            </w:pPr>
            <w:r>
              <w:t xml:space="preserve">Gravity</w:t>
            </w:r>
          </w:p>
        </w:tc>
        <w:tc>
          <w:tcPr/>
          <w:p>
            <w:pPr>
              <w:pStyle w:val="Compact"/>
              <w:jc w:val="right"/>
            </w:pPr>
            <m:oMath>
              <m:sSub>
                <m:e>
                  <m:r>
                    <m:t>g</m:t>
                  </m:r>
                </m:e>
                <m:sub>
                  <m:r>
                    <m:t>b</m:t>
                  </m:r>
                  <m:r>
                    <m:t>l</m:t>
                  </m:r>
                </m:sub>
              </m:sSub>
            </m:oMath>
            <w:r>
              <w:t xml:space="preserve">​</w:t>
            </w:r>
          </w:p>
        </w:tc>
        <w:tc>
          <w:tcPr/>
          <w:p>
            <w:pPr>
              <w:pStyle w:val="Compact"/>
              <w:jc w:val="right"/>
            </w:pPr>
            <m:oMath>
              <m:sSub>
                <m:e>
                  <m:r>
                    <m:t>C</m:t>
                  </m:r>
                </m:e>
                <m:sub>
                  <m:r>
                    <m:t>a</m:t>
                  </m:r>
                </m:sub>
              </m:sSub>
            </m:oMath>
            <w:r>
              <w:t xml:space="preserve">​</w:t>
            </w:r>
          </w:p>
        </w:tc>
        <w:tc>
          <w:tcPr/>
          <w:p>
            <w:pPr>
              <w:pStyle w:val="Compact"/>
              <w:jc w:val="right"/>
            </w:pPr>
            <m:oMath>
              <m:sSub>
                <m:e>
                  <m:r>
                    <m:t>C</m:t>
                  </m:r>
                </m:e>
                <m:sub>
                  <m:r>
                    <m:t>c</m:t>
                  </m:r>
                </m:sub>
              </m:sSub>
            </m:oMath>
            <w:r>
              <w:t xml:space="preserve">​</w:t>
            </w:r>
          </w:p>
        </w:tc>
        <w:tc>
          <w:tcPr/>
          <w:p>
            <w:pPr>
              <w:pStyle w:val="Compact"/>
              <w:jc w:val="right"/>
            </w:pPr>
            <m:oMath>
              <m:r>
                <m:t>φ</m:t>
              </m:r>
            </m:oMath>
            <w:r>
              <w:t xml:space="preserve"> </w:t>
            </w:r>
            <w:r>
              <w:t xml:space="preserve">(%)</w:t>
            </w:r>
          </w:p>
        </w:tc>
        <w:tc>
          <w:tcPr/>
          <w:p>
            <w:pPr>
              <w:pStyle w:val="Compact"/>
              <w:jc w:val="right"/>
            </w:pPr>
            <m:oMath>
              <m:r>
                <m:t>A</m:t>
              </m:r>
            </m:oMath>
            <w:r>
              <w:t xml:space="preserve">​</w:t>
            </w:r>
          </w:p>
        </w:tc>
        <w:tc>
          <w:tcPr/>
          <w:p>
            <w:pPr>
              <w:pStyle w:val="Compact"/>
              <w:jc w:val="right"/>
            </w:pPr>
            <w:r>
              <w:t xml:space="preserve">Limiting</w:t>
            </w:r>
          </w:p>
        </w:tc>
      </w:tr>
      <w:tr>
        <w:tc>
          <w:tcPr/>
          <w:p>
            <w:pPr>
              <w:pStyle w:val="Compact"/>
              <w:jc w:val="left"/>
            </w:pPr>
            <w:r>
              <w:t xml:space="preserve">BRIC-LED</w:t>
            </w:r>
          </w:p>
        </w:tc>
        <w:tc>
          <w:tcPr/>
          <w:p>
            <w:pPr>
              <w:pStyle w:val="Compact"/>
              <w:jc w:val="left"/>
            </w:pPr>
            <w:r>
              <w:t xml:space="preserve">Ground control (sealed)</w:t>
            </w:r>
          </w:p>
        </w:tc>
        <w:tc>
          <w:tcPr/>
          <w:p>
            <w:pPr>
              <w:pStyle w:val="Compact"/>
              <w:jc w:val="right"/>
            </w:pPr>
            <m:oMath>
              <m:r>
                <m:t>1</m:t>
              </m:r>
              <m:r>
                <m:t>g</m:t>
              </m:r>
            </m:oMath>
            <w:r>
              <w:t xml:space="preserve">​</w:t>
            </w:r>
          </w:p>
        </w:tc>
        <w:tc>
          <w:tcPr/>
          <w:p>
            <w:pPr>
              <w:pStyle w:val="Compact"/>
              <w:jc w:val="right"/>
            </w:pPr>
            <w:r>
              <w:t xml:space="preserve">0.540</w:t>
            </w:r>
          </w:p>
        </w:tc>
        <w:tc>
          <w:tcPr/>
          <w:p>
            <w:pPr>
              <w:pStyle w:val="Compact"/>
              <w:jc w:val="right"/>
            </w:pPr>
            <w:r>
              <w:t xml:space="preserve">100</w:t>
            </w:r>
          </w:p>
        </w:tc>
        <w:tc>
          <w:tcPr/>
          <w:p>
            <w:pPr>
              <w:pStyle w:val="Compact"/>
              <w:jc w:val="right"/>
            </w:pPr>
            <w:r>
              <w:t xml:space="preserve">75.5</w:t>
            </w:r>
          </w:p>
        </w:tc>
        <w:tc>
          <w:tcPr/>
          <w:p>
            <w:pPr>
              <w:pStyle w:val="Compact"/>
              <w:jc w:val="right"/>
            </w:pPr>
            <w:r>
              <w:t xml:space="preserve">53.1</w:t>
            </w:r>
          </w:p>
        </w:tc>
        <w:tc>
          <w:tcPr/>
          <w:p>
            <w:pPr>
              <w:pStyle w:val="Compact"/>
              <w:jc w:val="right"/>
            </w:pPr>
            <w:r>
              <w:t xml:space="preserve">2.40</w:t>
            </w:r>
          </w:p>
        </w:tc>
        <w:tc>
          <w:tcPr/>
          <w:p>
            <w:pPr>
              <w:pStyle w:val="Compact"/>
              <w:jc w:val="right"/>
            </w:pPr>
            <w:r>
              <w:t xml:space="preserve">Rubisco</w:t>
            </w:r>
          </w:p>
        </w:tc>
      </w:tr>
      <w:tr>
        <w:tc>
          <w:tcPr/>
          <w:p>
            <w:pPr>
              <w:pStyle w:val="Compact"/>
              <w:jc w:val="left"/>
            </w:pPr>
            <w:r>
              <w:t xml:space="preserve">BRIC-LED</w:t>
            </w:r>
          </w:p>
        </w:tc>
        <w:tc>
          <w:tcPr/>
          <w:p>
            <w:pPr>
              <w:pStyle w:val="Compact"/>
              <w:jc w:val="left"/>
            </w:pPr>
            <w:r>
              <w:t xml:space="preserve">Flight (sealed)</w:t>
            </w:r>
          </w:p>
        </w:tc>
        <w:tc>
          <w:tcPr/>
          <w:p>
            <w:pPr>
              <w:pStyle w:val="Compact"/>
              <w:jc w:val="right"/>
            </w:pPr>
            <m:oMath>
              <m:r>
                <m:t>μ</m:t>
              </m:r>
              <m:r>
                <m:t>g</m:t>
              </m:r>
            </m:oMath>
            <w:r>
              <w:t xml:space="preserve">​</w:t>
            </w:r>
          </w:p>
        </w:tc>
        <w:tc>
          <w:tcPr/>
          <w:p>
            <w:pPr>
              <w:pStyle w:val="Compact"/>
              <w:jc w:val="right"/>
            </w:pPr>
            <w:r>
              <w:t xml:space="preserve">0.291</w:t>
            </w:r>
          </w:p>
        </w:tc>
        <w:tc>
          <w:tcPr/>
          <w:p>
            <w:pPr>
              <w:pStyle w:val="Compact"/>
              <w:jc w:val="right"/>
            </w:pPr>
            <w:r>
              <w:t xml:space="preserve">100</w:t>
            </w:r>
          </w:p>
        </w:tc>
        <w:tc>
          <w:tcPr/>
          <w:p>
            <w:pPr>
              <w:pStyle w:val="Compact"/>
              <w:jc w:val="right"/>
            </w:pPr>
            <w:r>
              <w:t xml:space="preserve">73.9</w:t>
            </w:r>
          </w:p>
        </w:tc>
        <w:tc>
          <w:tcPr/>
          <w:p>
            <w:pPr>
              <w:pStyle w:val="Compact"/>
              <w:jc w:val="right"/>
            </w:pPr>
            <w:r>
              <w:t xml:space="preserve">53.7</w:t>
            </w:r>
          </w:p>
        </w:tc>
        <w:tc>
          <w:tcPr/>
          <w:p>
            <w:pPr>
              <w:pStyle w:val="Compact"/>
              <w:jc w:val="right"/>
            </w:pPr>
            <w:r>
              <w:t xml:space="preserve">2.22</w:t>
            </w:r>
          </w:p>
        </w:tc>
        <w:tc>
          <w:tcPr/>
          <w:p>
            <w:pPr>
              <w:pStyle w:val="Compact"/>
              <w:jc w:val="right"/>
            </w:pPr>
            <w:r>
              <w:t xml:space="preserve">Rubisco</w:t>
            </w:r>
          </w:p>
        </w:tc>
      </w:tr>
      <w:tr>
        <w:tc>
          <w:tcPr/>
          <w:p>
            <w:pPr>
              <w:pStyle w:val="Compact"/>
              <w:jc w:val="left"/>
            </w:pPr>
            <w:r>
              <w:t xml:space="preserve">Ambient</w:t>
            </w:r>
          </w:p>
        </w:tc>
        <w:tc>
          <w:tcPr/>
          <w:p>
            <w:pPr>
              <w:pStyle w:val="Compact"/>
              <w:jc w:val="left"/>
            </w:pPr>
            <w:r>
              <w:t xml:space="preserve">Open air reference</w:t>
            </w:r>
          </w:p>
        </w:tc>
        <w:tc>
          <w:tcPr/>
          <w:p>
            <w:pPr>
              <w:pStyle w:val="Compact"/>
              <w:jc w:val="right"/>
            </w:pPr>
            <m:oMath>
              <m:r>
                <m:t>1</m:t>
              </m:r>
              <m:r>
                <m:t>g</m:t>
              </m:r>
            </m:oMath>
            <w:r>
              <w:t xml:space="preserve">​</w:t>
            </w:r>
          </w:p>
        </w:tc>
        <w:tc>
          <w:tcPr/>
          <w:p>
            <w:pPr>
              <w:pStyle w:val="Compact"/>
              <w:jc w:val="right"/>
            </w:pPr>
            <w:r>
              <w:t xml:space="preserve">0.540</w:t>
            </w:r>
          </w:p>
        </w:tc>
        <w:tc>
          <w:tcPr/>
          <w:p>
            <w:pPr>
              <w:pStyle w:val="Compact"/>
              <w:jc w:val="right"/>
            </w:pPr>
            <w:r>
              <w:t xml:space="preserve">400</w:t>
            </w:r>
          </w:p>
        </w:tc>
        <w:tc>
          <w:tcPr/>
          <w:p>
            <w:pPr>
              <w:pStyle w:val="Compact"/>
              <w:jc w:val="right"/>
            </w:pPr>
            <w:r>
              <w:t xml:space="preserve">230.7</w:t>
            </w:r>
          </w:p>
        </w:tc>
        <w:tc>
          <w:tcPr/>
          <w:p>
            <w:pPr>
              <w:pStyle w:val="Compact"/>
              <w:jc w:val="right"/>
            </w:pPr>
            <w:r>
              <w:t xml:space="preserve">27.0</w:t>
            </w:r>
          </w:p>
        </w:tc>
        <w:tc>
          <w:tcPr/>
          <w:p>
            <w:pPr>
              <w:pStyle w:val="Compact"/>
              <w:jc w:val="right"/>
            </w:pPr>
            <w:r>
              <w:t xml:space="preserve">16.62</w:t>
            </w:r>
          </w:p>
        </w:tc>
        <w:tc>
          <w:tcPr/>
          <w:p>
            <w:pPr>
              <w:pStyle w:val="Compact"/>
              <w:jc w:val="right"/>
            </w:pPr>
            <w:r>
              <w:t xml:space="preserve">Rubisco</w:t>
            </w:r>
          </w:p>
        </w:tc>
      </w:tr>
      <w:tr>
        <w:tc>
          <w:tcPr/>
          <w:p>
            <w:pPr>
              <w:pStyle w:val="Compact"/>
              <w:jc w:val="left"/>
            </w:pPr>
            <w:r>
              <w:t xml:space="preserve">ABRS</w:t>
            </w:r>
          </w:p>
        </w:tc>
        <w:tc>
          <w:tcPr/>
          <w:p>
            <w:pPr>
              <w:pStyle w:val="Compact"/>
              <w:jc w:val="left"/>
            </w:pPr>
            <w:r>
              <w:t xml:space="preserve">Ground control (OES)</w:t>
            </w:r>
          </w:p>
        </w:tc>
        <w:tc>
          <w:tcPr/>
          <w:p>
            <w:pPr>
              <w:pStyle w:val="Compact"/>
              <w:jc w:val="right"/>
            </w:pPr>
            <m:oMath>
              <m:r>
                <m:t>1</m:t>
              </m:r>
              <m:r>
                <m:t>g</m:t>
              </m:r>
            </m:oMath>
            <w:r>
              <w:t xml:space="preserve">​</w:t>
            </w:r>
          </w:p>
        </w:tc>
        <w:tc>
          <w:tcPr/>
          <w:p>
            <w:pPr>
              <w:pStyle w:val="Compact"/>
              <w:jc w:val="right"/>
            </w:pPr>
            <w:r>
              <w:t xml:space="preserve">0.540</w:t>
            </w:r>
          </w:p>
        </w:tc>
        <w:tc>
          <w:tcPr/>
          <w:p>
            <w:pPr>
              <w:pStyle w:val="Compact"/>
              <w:jc w:val="right"/>
            </w:pPr>
            <w:r>
              <w:t xml:space="preserve">3,500</w:t>
            </w:r>
          </w:p>
        </w:tc>
        <w:tc>
          <w:tcPr/>
          <w:p>
            <w:pPr>
              <w:pStyle w:val="Compact"/>
              <w:jc w:val="right"/>
            </w:pPr>
            <w:r>
              <w:t xml:space="preserve">3,206.0</w:t>
            </w:r>
          </w:p>
        </w:tc>
        <w:tc>
          <w:tcPr/>
          <w:p>
            <w:pPr>
              <w:pStyle w:val="Compact"/>
              <w:jc w:val="right"/>
            </w:pPr>
            <w:r>
              <w:t xml:space="preserve">2.6</w:t>
            </w:r>
          </w:p>
        </w:tc>
        <w:tc>
          <w:tcPr/>
          <w:p>
            <w:pPr>
              <w:pStyle w:val="Compact"/>
              <w:jc w:val="right"/>
            </w:pPr>
            <w:r>
              <w:t xml:space="preserve">28.87</w:t>
            </w:r>
          </w:p>
        </w:tc>
        <w:tc>
          <w:tcPr/>
          <w:p>
            <w:pPr>
              <w:pStyle w:val="Compact"/>
              <w:jc w:val="right"/>
            </w:pPr>
            <w:r>
              <w:t xml:space="preserve">RuBP-regen</w:t>
            </w:r>
          </w:p>
        </w:tc>
      </w:tr>
      <w:tr>
        <w:tc>
          <w:tcPr/>
          <w:p>
            <w:pPr>
              <w:pStyle w:val="Compact"/>
              <w:jc w:val="left"/>
            </w:pPr>
            <w:r>
              <w:t xml:space="preserve">ABRS</w:t>
            </w:r>
          </w:p>
        </w:tc>
        <w:tc>
          <w:tcPr/>
          <w:p>
            <w:pPr>
              <w:pStyle w:val="Compact"/>
              <w:jc w:val="left"/>
            </w:pPr>
            <w:r>
              <w:t xml:space="preserve">Flight (ventilated)</w:t>
            </w:r>
          </w:p>
        </w:tc>
        <w:tc>
          <w:tcPr/>
          <w:p>
            <w:pPr>
              <w:pStyle w:val="Compact"/>
              <w:jc w:val="right"/>
            </w:pPr>
            <m:oMath>
              <m:r>
                <m:t>μ</m:t>
              </m:r>
              <m:r>
                <m:t>g</m:t>
              </m:r>
            </m:oMath>
            <w:r>
              <w:t xml:space="preserve">​</w:t>
            </w:r>
          </w:p>
        </w:tc>
        <w:tc>
          <w:tcPr/>
          <w:p>
            <w:pPr>
              <w:pStyle w:val="Compact"/>
              <w:jc w:val="right"/>
            </w:pPr>
            <w:r>
              <w:t xml:space="preserve">0.291</w:t>
            </w:r>
          </w:p>
        </w:tc>
        <w:tc>
          <w:tcPr/>
          <w:p>
            <w:pPr>
              <w:pStyle w:val="Compact"/>
              <w:jc w:val="right"/>
            </w:pPr>
            <w:r>
              <w:t xml:space="preserve">3,500</w:t>
            </w:r>
          </w:p>
        </w:tc>
        <w:tc>
          <w:tcPr/>
          <w:p>
            <w:pPr>
              <w:pStyle w:val="Compact"/>
              <w:jc w:val="right"/>
            </w:pPr>
            <w:r>
              <w:t xml:space="preserve">3,160.5</w:t>
            </w:r>
          </w:p>
        </w:tc>
        <w:tc>
          <w:tcPr/>
          <w:p>
            <w:pPr>
              <w:pStyle w:val="Compact"/>
              <w:jc w:val="right"/>
            </w:pPr>
            <w:r>
              <w:t xml:space="preserve">2.6</w:t>
            </w:r>
          </w:p>
        </w:tc>
        <w:tc>
          <w:tcPr/>
          <w:p>
            <w:pPr>
              <w:pStyle w:val="Compact"/>
              <w:jc w:val="right"/>
            </w:pPr>
            <w:r>
              <w:t xml:space="preserve">28.85</w:t>
            </w:r>
          </w:p>
        </w:tc>
        <w:tc>
          <w:tcPr/>
          <w:p>
            <w:pPr>
              <w:pStyle w:val="Compact"/>
              <w:jc w:val="right"/>
            </w:pPr>
            <w:r>
              <w:t xml:space="preserve">RuBP-regen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5"/>
    <w:p/>
    <w:bookmarkStart w:id="26" w:name="tab:studies"/>
    <w:p>
      <w:pPr>
        <w:pStyle w:val="TableCaption"/>
      </w:pPr>
      <w:r>
        <w:t xml:space="preserve">The seven flight studies analyzed across the extended hardware ladder. Illumination and active ventilation delineate the physiological baseline.</w:t>
      </w:r>
    </w:p>
    <w:tbl>
      <w:tblPr>
        <w:tblStyle w:val="Table"/>
        <w:tblW w:type="auto" w:w="0"/>
        <w:tblLook w:firstRow="1" w:lastRow="0" w:firstColumn="0" w:lastColumn="0" w:noHBand="0" w:noVBand="0" w:val="0020"/>
        <w:tblCaption w:val="The seven flight studies analyzed across the extended hardware ladder. Illumination and active ventilation delineate the physiological baseline."/>
      </w:tblPr>
      <w:tblGrid>
        <w:gridCol w:w="1320"/>
        <w:gridCol w:w="1320"/>
        <w:gridCol w:w="1320"/>
        <w:gridCol w:w="1320"/>
        <w:gridCol w:w="1320"/>
        <w:gridCol w:w="1320"/>
      </w:tblGrid>
      <w:tr>
        <w:trPr>
          <w:tblHeader w:val="on"/>
        </w:trPr>
        <w:tc>
          <w:tcPr/>
          <w:p>
            <w:pPr>
              <w:pStyle w:val="Compact"/>
              <w:jc w:val="left"/>
            </w:pPr>
            <w:r>
              <w:t xml:space="preserve">Study</w:t>
            </w:r>
          </w:p>
        </w:tc>
        <w:tc>
          <w:tcPr/>
          <w:p>
            <w:pPr>
              <w:pStyle w:val="Compact"/>
              <w:jc w:val="left"/>
            </w:pPr>
            <w:r>
              <w:t xml:space="preserve">Hardware</w:t>
            </w:r>
          </w:p>
        </w:tc>
        <w:tc>
          <w:tcPr/>
          <w:p>
            <w:pPr>
              <w:pStyle w:val="Compact"/>
              <w:jc w:val="left"/>
            </w:pPr>
            <w:r>
              <w:t xml:space="preserve">Enclosure Class</w:t>
            </w:r>
          </w:p>
        </w:tc>
        <w:tc>
          <w:tcPr/>
          <w:p>
            <w:pPr>
              <w:pStyle w:val="Compact"/>
              <w:jc w:val="left"/>
            </w:pPr>
            <w:r>
              <w:t xml:space="preserve">Tissue</w:t>
            </w:r>
          </w:p>
        </w:tc>
        <w:tc>
          <w:tcPr/>
          <w:p>
            <w:pPr>
              <w:pStyle w:val="Compact"/>
              <w:jc w:val="left"/>
            </w:pPr>
            <w:r>
              <w:t xml:space="preserve">Platform</w:t>
            </w:r>
          </w:p>
        </w:tc>
        <w:tc>
          <w:tcPr/>
          <w:p>
            <w:pPr>
              <w:pStyle w:val="Compact"/>
              <w:jc w:val="left"/>
            </w:pPr>
            <w:r>
              <w:t xml:space="preserve">Light</w:t>
            </w:r>
          </w:p>
        </w:tc>
      </w:tr>
      <w:tr>
        <w:tc>
          <w:tcPr/>
          <w:p>
            <w:pPr>
              <w:pStyle w:val="Compact"/>
              <w:jc w:val="left"/>
            </w:pPr>
            <w:r>
              <w:t xml:space="preserve">OSD-522</w:t>
            </w:r>
          </w:p>
        </w:tc>
        <w:tc>
          <w:tcPr/>
          <w:p>
            <w:pPr>
              <w:pStyle w:val="Compact"/>
              <w:jc w:val="left"/>
            </w:pPr>
            <w:r>
              <w:t xml:space="preserve">BRIC-LED</w:t>
            </w:r>
          </w:p>
        </w:tc>
        <w:tc>
          <w:tcPr/>
          <w:p>
            <w:pPr>
              <w:pStyle w:val="Compact"/>
              <w:jc w:val="left"/>
            </w:pPr>
            <w:r>
              <w:t xml:space="preserve">Sealed canister</w:t>
            </w:r>
          </w:p>
        </w:tc>
        <w:tc>
          <w:tcPr/>
          <w:p>
            <w:pPr>
              <w:pStyle w:val="Compact"/>
              <w:jc w:val="left"/>
            </w:pPr>
            <w:r>
              <w:t xml:space="preserve">Shoots</w:t>
            </w:r>
          </w:p>
        </w:tc>
        <w:tc>
          <w:tcPr/>
          <w:p>
            <w:pPr>
              <w:pStyle w:val="Compact"/>
              <w:jc w:val="left"/>
            </w:pPr>
            <w:r>
              <w:t xml:space="preserve">RNA-seq</w:t>
            </w:r>
          </w:p>
        </w:tc>
        <w:tc>
          <w:tcPr/>
          <w:p>
            <w:pPr>
              <w:pStyle w:val="Compact"/>
              <w:jc w:val="left"/>
            </w:pPr>
            <w:r>
              <w:t xml:space="preserve">Lit</w:t>
            </w:r>
          </w:p>
        </w:tc>
      </w:tr>
      <w:tr>
        <w:tc>
          <w:tcPr/>
          <w:p>
            <w:pPr>
              <w:pStyle w:val="Compact"/>
              <w:jc w:val="left"/>
            </w:pPr>
            <w:r>
              <w:t xml:space="preserve">OSD-38</w:t>
            </w:r>
          </w:p>
        </w:tc>
        <w:tc>
          <w:tcPr/>
          <w:p>
            <w:pPr>
              <w:pStyle w:val="Compact"/>
              <w:jc w:val="left"/>
            </w:pPr>
            <w:r>
              <w:t xml:space="preserve">BRIC-PDFU</w:t>
            </w:r>
          </w:p>
        </w:tc>
        <w:tc>
          <w:tcPr/>
          <w:p>
            <w:pPr>
              <w:pStyle w:val="Compact"/>
              <w:jc w:val="left"/>
            </w:pPr>
            <w:r>
              <w:t xml:space="preserve">Sealed canister</w:t>
            </w:r>
          </w:p>
        </w:tc>
        <w:tc>
          <w:tcPr/>
          <w:p>
            <w:pPr>
              <w:pStyle w:val="Compact"/>
              <w:jc w:val="left"/>
            </w:pPr>
            <w:r>
              <w:t xml:space="preserve">Whole seedlings</w:t>
            </w:r>
          </w:p>
        </w:tc>
        <w:tc>
          <w:tcPr/>
          <w:p>
            <w:pPr>
              <w:pStyle w:val="Compact"/>
              <w:jc w:val="left"/>
            </w:pPr>
            <w:r>
              <w:t xml:space="preserve">RNA-seq</w:t>
            </w:r>
          </w:p>
        </w:tc>
        <w:tc>
          <w:tcPr/>
          <w:p>
            <w:pPr>
              <w:pStyle w:val="Compact"/>
              <w:jc w:val="left"/>
            </w:pPr>
            <w:r>
              <w:t xml:space="preserve">Dark</w:t>
            </w:r>
          </w:p>
        </w:tc>
      </w:tr>
      <w:tr>
        <w:tc>
          <w:tcPr/>
          <w:p>
            <w:pPr>
              <w:pStyle w:val="Compact"/>
              <w:jc w:val="left"/>
            </w:pPr>
            <w:r>
              <w:t xml:space="preserve">OSD-321</w:t>
            </w:r>
          </w:p>
        </w:tc>
        <w:tc>
          <w:tcPr/>
          <w:p>
            <w:pPr>
              <w:pStyle w:val="Compact"/>
              <w:jc w:val="left"/>
            </w:pPr>
            <w:r>
              <w:t xml:space="preserve">BRIC-PDFU</w:t>
            </w:r>
          </w:p>
        </w:tc>
        <w:tc>
          <w:tcPr/>
          <w:p>
            <w:pPr>
              <w:pStyle w:val="Compact"/>
              <w:jc w:val="left"/>
            </w:pPr>
            <w:r>
              <w:t xml:space="preserve">Sealed canister</w:t>
            </w:r>
          </w:p>
        </w:tc>
        <w:tc>
          <w:tcPr/>
          <w:p>
            <w:pPr>
              <w:pStyle w:val="Compact"/>
              <w:jc w:val="left"/>
            </w:pPr>
            <w:r>
              <w:t xml:space="preserve">Seedlings</w:t>
            </w:r>
          </w:p>
        </w:tc>
        <w:tc>
          <w:tcPr/>
          <w:p>
            <w:pPr>
              <w:pStyle w:val="Compact"/>
              <w:jc w:val="left"/>
            </w:pPr>
            <w:r>
              <w:t xml:space="preserve">RNA-seq</w:t>
            </w:r>
          </w:p>
        </w:tc>
        <w:tc>
          <w:tcPr/>
          <w:p>
            <w:pPr>
              <w:pStyle w:val="Compact"/>
              <w:jc w:val="left"/>
            </w:pPr>
            <w:r>
              <w:t xml:space="preserve">Dark</w:t>
            </w:r>
          </w:p>
        </w:tc>
      </w:tr>
      <w:tr>
        <w:tc>
          <w:tcPr/>
          <w:p>
            <w:pPr>
              <w:pStyle w:val="Compact"/>
              <w:jc w:val="left"/>
            </w:pPr>
            <w:r>
              <w:t xml:space="preserve">OSD-678</w:t>
            </w:r>
          </w:p>
        </w:tc>
        <w:tc>
          <w:tcPr/>
          <w:p>
            <w:pPr>
              <w:pStyle w:val="Compact"/>
              <w:jc w:val="left"/>
            </w:pPr>
            <w:r>
              <w:t xml:space="preserve">CARA dish</w:t>
            </w:r>
          </w:p>
        </w:tc>
        <w:tc>
          <w:tcPr/>
          <w:p>
            <w:pPr>
              <w:pStyle w:val="Compact"/>
              <w:jc w:val="left"/>
            </w:pPr>
            <w:r>
              <w:t xml:space="preserve">Micropore tape</w:t>
            </w:r>
          </w:p>
        </w:tc>
        <w:tc>
          <w:tcPr/>
          <w:p>
            <w:pPr>
              <w:pStyle w:val="Compact"/>
              <w:jc w:val="left"/>
            </w:pPr>
            <w:r>
              <w:t xml:space="preserve">Leaves</w:t>
            </w:r>
          </w:p>
        </w:tc>
        <w:tc>
          <w:tcPr/>
          <w:p>
            <w:pPr>
              <w:pStyle w:val="Compact"/>
              <w:jc w:val="left"/>
            </w:pPr>
            <w:r>
              <w:t xml:space="preserve">RNA-seq</w:t>
            </w:r>
          </w:p>
        </w:tc>
        <w:tc>
          <w:tcPr/>
          <w:p>
            <w:pPr>
              <w:pStyle w:val="Compact"/>
              <w:jc w:val="left"/>
            </w:pPr>
            <w:r>
              <w:t xml:space="preserve">Lit</w:t>
            </w:r>
          </w:p>
        </w:tc>
      </w:tr>
      <w:tr>
        <w:tc>
          <w:tcPr/>
          <w:p>
            <w:pPr>
              <w:pStyle w:val="Compact"/>
              <w:jc w:val="left"/>
            </w:pPr>
            <w:r>
              <w:t xml:space="preserve">OSD-678</w:t>
            </w:r>
          </w:p>
        </w:tc>
        <w:tc>
          <w:tcPr/>
          <w:p>
            <w:pPr>
              <w:pStyle w:val="Compact"/>
              <w:jc w:val="left"/>
            </w:pPr>
            <w:r>
              <w:t xml:space="preserve">CARA dish</w:t>
            </w:r>
          </w:p>
        </w:tc>
        <w:tc>
          <w:tcPr/>
          <w:p>
            <w:pPr>
              <w:pStyle w:val="Compact"/>
              <w:jc w:val="left"/>
            </w:pPr>
            <w:r>
              <w:t xml:space="preserve">Micropore tape</w:t>
            </w:r>
          </w:p>
        </w:tc>
        <w:tc>
          <w:tcPr/>
          <w:p>
            <w:pPr>
              <w:pStyle w:val="Compact"/>
              <w:jc w:val="left"/>
            </w:pPr>
            <w:r>
              <w:t xml:space="preserve">Leaves</w:t>
            </w:r>
          </w:p>
        </w:tc>
        <w:tc>
          <w:tcPr/>
          <w:p>
            <w:pPr>
              <w:pStyle w:val="Compact"/>
              <w:jc w:val="left"/>
            </w:pPr>
            <w:r>
              <w:t xml:space="preserve">RNA-seq</w:t>
            </w:r>
          </w:p>
        </w:tc>
        <w:tc>
          <w:tcPr/>
          <w:p>
            <w:pPr>
              <w:pStyle w:val="Compact"/>
              <w:jc w:val="left"/>
            </w:pPr>
            <w:r>
              <w:t xml:space="preserve">Dark</w:t>
            </w:r>
          </w:p>
        </w:tc>
      </w:tr>
      <w:tr>
        <w:tc>
          <w:tcPr/>
          <w:p>
            <w:pPr>
              <w:pStyle w:val="Compact"/>
              <w:jc w:val="left"/>
            </w:pPr>
            <w:r>
              <w:t xml:space="preserve">OSD-427</w:t>
            </w:r>
          </w:p>
        </w:tc>
        <w:tc>
          <w:tcPr/>
          <w:p>
            <w:pPr>
              <w:pStyle w:val="Compact"/>
              <w:jc w:val="left"/>
            </w:pPr>
            <w:r>
              <w:t xml:space="preserve">VEGGIE</w:t>
            </w:r>
          </w:p>
        </w:tc>
        <w:tc>
          <w:tcPr/>
          <w:p>
            <w:pPr>
              <w:pStyle w:val="Compact"/>
              <w:jc w:val="left"/>
            </w:pPr>
            <w:r>
              <w:t xml:space="preserve">Actively vented</w:t>
            </w:r>
          </w:p>
        </w:tc>
        <w:tc>
          <w:tcPr/>
          <w:p>
            <w:pPr>
              <w:pStyle w:val="Compact"/>
              <w:jc w:val="left"/>
            </w:pPr>
            <w:r>
              <w:t xml:space="preserve">Leaves</w:t>
            </w:r>
          </w:p>
        </w:tc>
        <w:tc>
          <w:tcPr/>
          <w:p>
            <w:pPr>
              <w:pStyle w:val="Compact"/>
              <w:jc w:val="left"/>
            </w:pPr>
            <w:r>
              <w:t xml:space="preserve">RNA-seq</w:t>
            </w:r>
          </w:p>
        </w:tc>
        <w:tc>
          <w:tcPr/>
          <w:p>
            <w:pPr>
              <w:pStyle w:val="Compact"/>
              <w:jc w:val="left"/>
            </w:pPr>
            <w:r>
              <w:t xml:space="preserve">Lit</w:t>
            </w:r>
          </w:p>
        </w:tc>
      </w:tr>
      <w:tr>
        <w:tc>
          <w:tcPr/>
          <w:p>
            <w:pPr>
              <w:pStyle w:val="Compact"/>
              <w:jc w:val="left"/>
            </w:pPr>
            <w:r>
              <w:t xml:space="preserve">OSD-7</w:t>
            </w:r>
          </w:p>
        </w:tc>
        <w:tc>
          <w:tcPr/>
          <w:p>
            <w:pPr>
              <w:pStyle w:val="Compact"/>
              <w:jc w:val="left"/>
            </w:pPr>
            <w:r>
              <w:t xml:space="preserve">ABRS</w:t>
            </w:r>
          </w:p>
        </w:tc>
        <w:tc>
          <w:tcPr/>
          <w:p>
            <w:pPr>
              <w:pStyle w:val="Compact"/>
              <w:jc w:val="left"/>
            </w:pPr>
            <w:r>
              <w:t xml:space="preserve">Actively vented</w:t>
            </w:r>
          </w:p>
        </w:tc>
        <w:tc>
          <w:tcPr/>
          <w:p>
            <w:pPr>
              <w:pStyle w:val="Compact"/>
              <w:jc w:val="left"/>
            </w:pPr>
            <w:r>
              <w:t xml:space="preserve">Shoots / Organs</w:t>
            </w:r>
          </w:p>
        </w:tc>
        <w:tc>
          <w:tcPr/>
          <w:p>
            <w:pPr>
              <w:pStyle w:val="Compact"/>
              <w:jc w:val="left"/>
            </w:pPr>
            <w:r>
              <w:t xml:space="preserve">Microarray</w:t>
            </w:r>
          </w:p>
        </w:tc>
        <w:tc>
          <w:tcPr/>
          <w:p>
            <w:pPr>
              <w:pStyle w:val="Compact"/>
              <w:jc w:val="left"/>
            </w:pPr>
            <w:r>
              <w:t xml:space="preserve">Lit</w:t>
            </w:r>
          </w:p>
        </w:tc>
      </w:tr>
      <w:tr>
        <w:tc>
          <w:tcPr>
            <w:gridSpan w:val="6"/>
          </w:tcPr>
          <w:p>
            <w:pPr>
              <w:pStyle w:val="Compact"/>
              <w:jc w:val="left"/>
            </w:pPr>
            <w:r>
              <w:rPr>
                <w:i/>
                <w:iCs/>
              </w:rPr>
              <w:t xml:space="preserve">Companion Proteomics:</w:t>
            </w:r>
            <w:r>
              <w:t xml:space="preserve"> </w:t>
            </w:r>
            <w:r>
              <w:t xml:space="preserve">OSD-16 (ABRS iTRAQ proteomics; qualitative audit in T10).</w:t>
            </w:r>
          </w:p>
        </w:tc>
      </w:tr>
      <w:tr>
        <w:tc>
          <w:tcPr>
            <w:gridSpan w:val="6"/>
          </w:tcPr>
          <w:p>
            <w:pPr>
              <w:pStyle w:val="Compact"/>
              <w:jc w:val="left"/>
            </w:pPr>
            <w:r>
              <w:rPr>
                <w:i/>
                <w:iCs/>
              </w:rPr>
              <w:t xml:space="preserve">Excluded root studies:</w:t>
            </w:r>
            <w:r>
              <w:t xml:space="preserve"> </w:t>
            </w:r>
            <w:r>
              <w:t xml:space="preserve">OSD-120, OSD-193, OSD-281 (photosynthesis predictions apply to aerial tissue).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6"/>
    <w:bookmarkStart w:id="30" w:name="fig:hardware"/>
    <w:p>
      <w:pPr>
        <w:pStyle w:val="CaptionedFigure"/>
      </w:pPr>
      <w:r>
        <w:drawing>
          <wp:inline>
            <wp:extent cx="4907280" cy="2819606"/>
            <wp:effectExtent b="0" l="0" r="0" t="0"/>
            <wp:docPr descr="" title="" id="28" name="Picture"/>
            <a:graphic>
              <a:graphicData uri="http://schemas.openxmlformats.org/drawingml/2006/picture">
                <pic:pic>
                  <pic:nvPicPr>
                    <pic:cNvPr descr="fig01_hardware_atmosphere.pdf" id="29" name="Picture"/>
                    <pic:cNvPicPr>
                      <a:picLocks noChangeArrowheads="1" noChangeAspect="1"/>
                    </pic:cNvPicPr>
                  </pic:nvPicPr>
                  <pic:blipFill>
                    <a:blip r:embed="rId27"/>
                    <a:stretch>
                      <a:fillRect/>
                    </a:stretch>
                  </pic:blipFill>
                  <pic:spPr bwMode="auto">
                    <a:xfrm>
                      <a:off x="0" y="0"/>
                      <a:ext cx="4907280" cy="2819606"/>
                    </a:xfrm>
                    <a:prstGeom prst="rect">
                      <a:avLst/>
                    </a:prstGeom>
                    <a:noFill/>
                    <a:ln w="9525">
                      <a:noFill/>
                      <a:headEnd/>
                      <a:tailEnd/>
                    </a:ln>
                  </pic:spPr>
                </pic:pic>
              </a:graphicData>
            </a:graphic>
          </wp:inline>
        </w:drawing>
      </w:r>
    </w:p>
    <w:p>
      <w:pPr>
        <w:pStyle w:val="ImageCaption"/>
      </w:pPr>
      <w:r>
        <w:t xml:space="preserve">Growth hardware, not gravity, sets the atmosphere at the leaf surface.</w:t>
      </w:r>
      <w:r>
        <w:t xml:space="preserve"> </w:t>
      </w:r>
      <w:r>
        <w:rPr>
          <w:b/>
          <w:bCs/>
        </w:rPr>
        <w:t xml:space="preserve">a</w:t>
      </w:r>
      <w:r>
        <w:t xml:space="preserve">, Geometry of the BRIC-LED sealed canister and PDFU culture vessels.</w:t>
      </w:r>
      <w:r>
        <w:t xml:space="preserve"> </w:t>
      </w:r>
      <w:r>
        <w:rPr>
          <w:b/>
          <w:bCs/>
        </w:rPr>
        <w:t xml:space="preserve">b</w:t>
      </w:r>
      <w:r>
        <w:t xml:space="preserve">, Unsteady mass-balance drawdown of CO</w:t>
      </w:r>
      <m:oMath>
        <m:sSub>
          <m:e>
            <m:r>
              <m:t>​</m:t>
            </m:r>
          </m:e>
          <m:sub>
            <m:r>
              <m:t>2</m:t>
            </m:r>
          </m:sub>
        </m:sSub>
      </m:oMath>
      <w:r>
        <w:t xml:space="preserve"> </w:t>
      </w:r>
      <w:r>
        <w:t xml:space="preserve">at the leaf boundary layer across hardware classes.</w:t>
      </w:r>
      <w:r>
        <w:t xml:space="preserve"> </w:t>
      </w:r>
      <w:r>
        <w:rPr>
          <w:b/>
          <w:bCs/>
        </w:rPr>
        <w:t xml:space="preserve">c</w:t>
      </w:r>
      <w:r>
        <w:t xml:space="preserve">, Cumulative 12 h photosynthetic carbon gain relative to an unenclosed control.</w:t>
      </w:r>
    </w:p>
    <w:bookmarkEnd w:id="30"/>
    <w:bookmarkStart w:id="34" w:name="fig:fvcb"/>
    <w:p>
      <w:pPr>
        <w:pStyle w:val="CaptionedFigure"/>
      </w:pPr>
      <w:r>
        <w:drawing>
          <wp:inline>
            <wp:extent cx="4907280" cy="3939647"/>
            <wp:effectExtent b="0" l="0" r="0" t="0"/>
            <wp:docPr descr="" title="" id="32" name="Picture"/>
            <a:graphic>
              <a:graphicData uri="http://schemas.openxmlformats.org/drawingml/2006/picture">
                <pic:pic>
                  <pic:nvPicPr>
                    <pic:cNvPr descr="fig02_fvcb_operating_points.pdf" id="33" name="Picture"/>
                    <pic:cNvPicPr>
                      <a:picLocks noChangeArrowheads="1" noChangeAspect="1"/>
                    </pic:cNvPicPr>
                  </pic:nvPicPr>
                  <pic:blipFill>
                    <a:blip r:embed="rId31"/>
                    <a:stretch>
                      <a:fillRect/>
                    </a:stretch>
                  </pic:blipFill>
                  <pic:spPr bwMode="auto">
                    <a:xfrm>
                      <a:off x="0" y="0"/>
                      <a:ext cx="4907280" cy="3939647"/>
                    </a:xfrm>
                    <a:prstGeom prst="rect">
                      <a:avLst/>
                    </a:prstGeom>
                    <a:noFill/>
                    <a:ln w="9525">
                      <a:noFill/>
                      <a:headEnd/>
                      <a:tailEnd/>
                    </a:ln>
                  </pic:spPr>
                </pic:pic>
              </a:graphicData>
            </a:graphic>
          </wp:inline>
        </w:drawing>
      </w:r>
    </w:p>
    <w:p>
      <w:pPr>
        <w:pStyle w:val="ImageCaption"/>
      </w:pPr>
      <w:r>
        <w:t xml:space="preserve">Canister drawdown converges the microgravity boundary-layer penalty.</w:t>
      </w:r>
      <w:r>
        <w:t xml:space="preserve"> </w:t>
      </w:r>
      <w:r>
        <w:rPr>
          <w:b/>
          <w:bCs/>
        </w:rPr>
        <w:t xml:space="preserve">a</w:t>
      </w:r>
      <w:r>
        <w:t xml:space="preserve">, Farquhar–von Caemmerer–Berry operating curves for</w:t>
      </w:r>
      <w:r>
        <w:t xml:space="preserve"> </w:t>
      </w:r>
      <m:oMath>
        <m:r>
          <m:t>1</m:t>
        </m:r>
        <m:r>
          <m:t>g</m:t>
        </m:r>
      </m:oMath>
      <w:r>
        <w:t xml:space="preserve"> </w:t>
      </w:r>
      <w:r>
        <w:t xml:space="preserve">and microgravity leaves.</w:t>
      </w:r>
      <w:r>
        <w:t xml:space="preserve"> </w:t>
      </w:r>
      <w:r>
        <w:rPr>
          <w:b/>
          <w:bCs/>
        </w:rPr>
        <w:t xml:space="preserve">b</w:t>
      </w:r>
      <w:r>
        <w:t xml:space="preserve">, Refutation of the starting hypothesis: boundary-layer assimilation differences decline as CO</w:t>
      </w:r>
      <m:oMath>
        <m:sSub>
          <m:e>
            <m:r>
              <m:t>​</m:t>
            </m:r>
          </m:e>
          <m:sub>
            <m:r>
              <m:t>2</m:t>
            </m:r>
          </m:sub>
        </m:sSub>
      </m:oMath>
      <w:r>
        <w:t xml:space="preserve"> </w:t>
      </w:r>
      <w:r>
        <w:t xml:space="preserve">falls toward the compensation point.</w:t>
      </w:r>
      <w:r>
        <w:t xml:space="preserve"> </w:t>
      </w:r>
      <w:r>
        <w:rPr>
          <w:b/>
          <w:bCs/>
        </w:rPr>
        <w:t xml:space="preserve">c</w:t>
      </w:r>
      <w:r>
        <w:t xml:space="preserve">, Invariant 5–9 % assimilation penalty across canopy scales.</w:t>
      </w:r>
      <w:r>
        <w:t xml:space="preserve"> </w:t>
      </w:r>
      <w:r>
        <w:rPr>
          <w:b/>
          <w:bCs/>
        </w:rPr>
        <w:t xml:space="preserve">d</w:t>
      </w:r>
      <w:r>
        <w:t xml:space="preserve">, The 25-fold asymmetry between hardware and gravity effects on metabolite pools.</w:t>
      </w:r>
    </w:p>
    <w:bookmarkEnd w:id="34"/>
    <w:bookmarkStart w:id="38" w:name="fig:metabolome"/>
    <w:p>
      <w:pPr>
        <w:pStyle w:val="CaptionedFigure"/>
      </w:pPr>
      <w:r>
        <w:drawing>
          <wp:inline>
            <wp:extent cx="4907280" cy="3173427"/>
            <wp:effectExtent b="0" l="0" r="0" t="0"/>
            <wp:docPr descr="" title="" id="36" name="Picture"/>
            <a:graphic>
              <a:graphicData uri="http://schemas.openxmlformats.org/drawingml/2006/picture">
                <pic:pic>
                  <pic:nvPicPr>
                    <pic:cNvPr descr="fig03_predicted_metabolome.pdf" id="37" name="Picture"/>
                    <pic:cNvPicPr>
                      <a:picLocks noChangeArrowheads="1" noChangeAspect="1"/>
                    </pic:cNvPicPr>
                  </pic:nvPicPr>
                  <pic:blipFill>
                    <a:blip r:embed="rId35"/>
                    <a:stretch>
                      <a:fillRect/>
                    </a:stretch>
                  </pic:blipFill>
                  <pic:spPr bwMode="auto">
                    <a:xfrm>
                      <a:off x="0" y="0"/>
                      <a:ext cx="4907280" cy="3173427"/>
                    </a:xfrm>
                    <a:prstGeom prst="rect">
                      <a:avLst/>
                    </a:prstGeom>
                    <a:noFill/>
                    <a:ln w="9525">
                      <a:noFill/>
                      <a:headEnd/>
                      <a:tailEnd/>
                    </a:ln>
                  </pic:spPr>
                </pic:pic>
              </a:graphicData>
            </a:graphic>
          </wp:inline>
        </w:drawing>
      </w:r>
    </w:p>
    <w:p>
      <w:pPr>
        <w:pStyle w:val="ImageCaption"/>
      </w:pPr>
      <w:r>
        <w:t xml:space="preserve">Predicting the spaceflight metabolome from biophysical fluxes. Predicted log</w:t>
      </w:r>
      <m:oMath>
        <m:sSub>
          <m:e>
            <m:r>
              <m:t>​</m:t>
            </m:r>
          </m:e>
          <m:sub>
            <m:r>
              <m:t>2</m:t>
            </m:r>
          </m:sub>
        </m:sSub>
      </m:oMath>
      <w:r>
        <w:t xml:space="preserve"> </w:t>
      </w:r>
      <w:r>
        <w:t xml:space="preserve">fold changes for 21 metabolite pools across the C</w:t>
      </w:r>
      <m:oMath>
        <m:sSub>
          <m:e>
            <m:r>
              <m:t>​</m:t>
            </m:r>
          </m:e>
          <m:sub>
            <m:r>
              <m:t>2</m:t>
            </m:r>
          </m:sub>
        </m:sSub>
      </m:oMath>
      <w:r>
        <w:t xml:space="preserve"> </w:t>
      </w:r>
      <w:r>
        <w:t xml:space="preserve">cycle, net photosynthate, and SnRK1 starvation markers. Every value shown is model output.</w:t>
      </w:r>
    </w:p>
    <w:bookmarkEnd w:id="38"/>
    <w:bookmarkStart w:id="42" w:name="fig:omics"/>
    <w:p>
      <w:pPr>
        <w:pStyle w:val="CaptionedFigure"/>
      </w:pPr>
      <w:r>
        <w:drawing>
          <wp:inline>
            <wp:extent cx="4907280" cy="4122115"/>
            <wp:effectExtent b="0" l="0" r="0" t="0"/>
            <wp:docPr descr="" title="" id="40" name="Picture"/>
            <a:graphic>
              <a:graphicData uri="http://schemas.openxmlformats.org/drawingml/2006/picture">
                <pic:pic>
                  <pic:nvPicPr>
                    <pic:cNvPr descr="fig04_osd522_omics.pdf" id="41" name="Picture"/>
                    <pic:cNvPicPr>
                      <a:picLocks noChangeArrowheads="1" noChangeAspect="1"/>
                    </pic:cNvPicPr>
                  </pic:nvPicPr>
                  <pic:blipFill>
                    <a:blip r:embed="rId39"/>
                    <a:stretch>
                      <a:fillRect/>
                    </a:stretch>
                  </pic:blipFill>
                  <pic:spPr bwMode="auto">
                    <a:xfrm>
                      <a:off x="0" y="0"/>
                      <a:ext cx="4907280" cy="4122115"/>
                    </a:xfrm>
                    <a:prstGeom prst="rect">
                      <a:avLst/>
                    </a:prstGeom>
                    <a:noFill/>
                    <a:ln w="9525">
                      <a:noFill/>
                      <a:headEnd/>
                      <a:tailEnd/>
                    </a:ln>
                  </pic:spPr>
                </pic:pic>
              </a:graphicData>
            </a:graphic>
          </wp:inline>
        </w:drawing>
      </w:r>
    </w:p>
    <w:p>
      <w:pPr>
        <w:pStyle w:val="ImageCaption"/>
      </w:pPr>
      <w:r>
        <w:t xml:space="preserve">Transcriptomic and proteomic landscape of OSD-522 (BRIC-LED). Volcano distributions of 20</w:t>
      </w:r>
      <w:r>
        <w:t xml:space="preserve">,</w:t>
      </w:r>
      <w:r>
        <w:t xml:space="preserve">983 transcripts and 5</w:t>
      </w:r>
      <w:r>
        <w:t xml:space="preserve">,</w:t>
      </w:r>
      <w:r>
        <w:t xml:space="preserve">160 proteins from spaceflight versus ground control shoots.</w:t>
      </w:r>
    </w:p>
    <w:bookmarkEnd w:id="42"/>
    <w:bookmarkStart w:id="46" w:name="fig:blind"/>
    <w:p>
      <w:pPr>
        <w:pStyle w:val="CaptionedFigure"/>
      </w:pPr>
      <w:r>
        <w:drawing>
          <wp:inline>
            <wp:extent cx="4907280" cy="2348939"/>
            <wp:effectExtent b="0" l="0" r="0" t="0"/>
            <wp:docPr descr="" title="" id="44" name="Picture"/>
            <a:graphic>
              <a:graphicData uri="http://schemas.openxmlformats.org/drawingml/2006/picture">
                <pic:pic>
                  <pic:nvPicPr>
                    <pic:cNvPr descr="fig05_blind_test.pdf" id="45" name="Picture"/>
                    <pic:cNvPicPr>
                      <a:picLocks noChangeArrowheads="1" noChangeAspect="1"/>
                    </pic:cNvPicPr>
                  </pic:nvPicPr>
                  <pic:blipFill>
                    <a:blip r:embed="rId43"/>
                    <a:stretch>
                      <a:fillRect/>
                    </a:stretch>
                  </pic:blipFill>
                  <pic:spPr bwMode="auto">
                    <a:xfrm>
                      <a:off x="0" y="0"/>
                      <a:ext cx="4907280" cy="2348939"/>
                    </a:xfrm>
                    <a:prstGeom prst="rect">
                      <a:avLst/>
                    </a:prstGeom>
                    <a:noFill/>
                    <a:ln w="9525">
                      <a:noFill/>
                      <a:headEnd/>
                      <a:tailEnd/>
                    </a:ln>
                  </pic:spPr>
                </pic:pic>
              </a:graphicData>
            </a:graphic>
          </wp:inline>
        </w:drawing>
      </w:r>
    </w:p>
    <w:p>
      <w:pPr>
        <w:pStyle w:val="ImageCaption"/>
      </w:pPr>
      <w:r>
        <w:t xml:space="preserve">Testing the model’s blind predictions against OSD-522. Eight of nine pre-registered gene sets match the biophysical prediction, including down-regulation of photosystems and Rubisco and induction of starvation markers.</w:t>
      </w:r>
    </w:p>
    <w:bookmarkEnd w:id="46"/>
    <w:bookmarkStart w:id="50" w:name="fig:paintomics"/>
    <w:p>
      <w:pPr>
        <w:pStyle w:val="CaptionedFigure"/>
      </w:pPr>
      <w:r>
        <w:drawing>
          <wp:inline>
            <wp:extent cx="4907280" cy="2682524"/>
            <wp:effectExtent b="0" l="0" r="0" t="0"/>
            <wp:docPr descr="" title="" id="48" name="Picture"/>
            <a:graphic>
              <a:graphicData uri="http://schemas.openxmlformats.org/drawingml/2006/picture">
                <pic:pic>
                  <pic:nvPicPr>
                    <pic:cNvPr descr="fig06_paintomics.pdf" id="49" name="Picture"/>
                    <pic:cNvPicPr>
                      <a:picLocks noChangeArrowheads="1" noChangeAspect="1"/>
                    </pic:cNvPicPr>
                  </pic:nvPicPr>
                  <pic:blipFill>
                    <a:blip r:embed="rId47"/>
                    <a:stretch>
                      <a:fillRect/>
                    </a:stretch>
                  </pic:blipFill>
                  <pic:spPr bwMode="auto">
                    <a:xfrm>
                      <a:off x="0" y="0"/>
                      <a:ext cx="4907280" cy="2682524"/>
                    </a:xfrm>
                    <a:prstGeom prst="rect">
                      <a:avLst/>
                    </a:prstGeom>
                    <a:noFill/>
                    <a:ln w="9525">
                      <a:noFill/>
                      <a:headEnd/>
                      <a:tailEnd/>
                    </a:ln>
                  </pic:spPr>
                </pic:pic>
              </a:graphicData>
            </a:graphic>
          </wp:inline>
        </w:drawing>
      </w:r>
    </w:p>
    <w:p>
      <w:pPr>
        <w:pStyle w:val="ImageCaption"/>
      </w:pPr>
      <w:r>
        <w:t xml:space="preserve">Three-layer pathway integration puts photorespiration in the bottom 8 %.</w:t>
      </w:r>
      <w:r>
        <w:t xml:space="preserve"> </w:t>
      </w:r>
      <w:r>
        <w:rPr>
          <w:b/>
          <w:bCs/>
        </w:rPr>
        <w:t xml:space="preserve">a</w:t>
      </w:r>
      <w:r>
        <w:t xml:space="preserve">, PaintOmics 4 workflow.</w:t>
      </w:r>
      <w:r>
        <w:t xml:space="preserve"> </w:t>
      </w:r>
      <w:r>
        <w:rPr>
          <w:b/>
          <w:bCs/>
        </w:rPr>
        <w:t xml:space="preserve">b</w:t>
      </w:r>
      <w:r>
        <w:t xml:space="preserve">, Significance distribution of 232 tested pathways, ranking glyoxylate and dicarboxylate metabolism 214th (</w:t>
      </w:r>
      <m:oMath>
        <m:r>
          <m:t>p</m:t>
        </m:r>
        <m:r>
          <m:rPr>
            <m:sty m:val="p"/>
          </m:rPr>
          <m:t>=</m:t>
        </m:r>
        <m:r>
          <m:t>0.994</m:t>
        </m:r>
      </m:oMath>
      <w:r>
        <w:t xml:space="preserve">).</w:t>
      </w:r>
      <w:r>
        <w:t xml:space="preserve"> </w:t>
      </w:r>
      <w:r>
        <w:rPr>
          <w:b/>
          <w:bCs/>
        </w:rPr>
        <w:t xml:space="preserve">c</w:t>
      </w:r>
      <w:r>
        <w:t xml:space="preserve">, Metabolite hub analysis confirming carbon starvation nodes as the primary network hubs.</w:t>
      </w:r>
    </w:p>
    <w:bookmarkEnd w:id="50"/>
    <w:bookmarkStart w:id="54" w:name="fig:ladder"/>
    <w:p>
      <w:pPr>
        <w:pStyle w:val="CaptionedFigure"/>
      </w:pPr>
      <w:r>
        <w:drawing>
          <wp:inline>
            <wp:extent cx="4907280" cy="3605509"/>
            <wp:effectExtent b="0" l="0" r="0" t="0"/>
            <wp:docPr descr="" title="" id="52" name="Picture"/>
            <a:graphic>
              <a:graphicData uri="http://schemas.openxmlformats.org/drawingml/2006/picture">
                <pic:pic>
                  <pic:nvPicPr>
                    <pic:cNvPr descr="fig07_hardware_ladder.pdf" id="53" name="Picture"/>
                    <pic:cNvPicPr>
                      <a:picLocks noChangeArrowheads="1" noChangeAspect="1"/>
                    </pic:cNvPicPr>
                  </pic:nvPicPr>
                  <pic:blipFill>
                    <a:blip r:embed="rId51"/>
                    <a:stretch>
                      <a:fillRect/>
                    </a:stretch>
                  </pic:blipFill>
                  <pic:spPr bwMode="auto">
                    <a:xfrm>
                      <a:off x="0" y="0"/>
                      <a:ext cx="4907280" cy="3605509"/>
                    </a:xfrm>
                    <a:prstGeom prst="rect">
                      <a:avLst/>
                    </a:prstGeom>
                    <a:noFill/>
                    <a:ln w="9525">
                      <a:noFill/>
                      <a:headEnd/>
                      <a:tailEnd/>
                    </a:ln>
                  </pic:spPr>
                </pic:pic>
              </a:graphicData>
            </a:graphic>
          </wp:inline>
        </w:drawing>
      </w:r>
    </w:p>
    <w:p>
      <w:pPr>
        <w:pStyle w:val="ImageCaption"/>
      </w:pPr>
      <w:r>
        <w:t xml:space="preserve">Illumination separates the six baseline studies. Starvation versus photosynthesis separation across sealed BRIC, micropore tape CARA, and ventilated VEGGIE hardware.</w:t>
      </w:r>
    </w:p>
    <w:bookmarkEnd w:id="54"/>
    <w:bookmarkStart w:id="58" w:name="fig:implications"/>
    <w:p>
      <w:pPr>
        <w:pStyle w:val="CaptionedFigure"/>
      </w:pPr>
      <w:r>
        <w:drawing>
          <wp:inline>
            <wp:extent cx="4907280" cy="1915251"/>
            <wp:effectExtent b="0" l="0" r="0" t="0"/>
            <wp:docPr descr="" title="" id="56" name="Picture"/>
            <a:graphic>
              <a:graphicData uri="http://schemas.openxmlformats.org/drawingml/2006/picture">
                <pic:pic>
                  <pic:nvPicPr>
                    <pic:cNvPr descr="fig08_implications.pdf" id="57" name="Picture"/>
                    <pic:cNvPicPr>
                      <a:picLocks noChangeArrowheads="1" noChangeAspect="1"/>
                    </pic:cNvPicPr>
                  </pic:nvPicPr>
                  <pic:blipFill>
                    <a:blip r:embed="rId55"/>
                    <a:stretch>
                      <a:fillRect/>
                    </a:stretch>
                  </pic:blipFill>
                  <pic:spPr bwMode="auto">
                    <a:xfrm>
                      <a:off x="0" y="0"/>
                      <a:ext cx="4907280" cy="1915251"/>
                    </a:xfrm>
                    <a:prstGeom prst="rect">
                      <a:avLst/>
                    </a:prstGeom>
                    <a:noFill/>
                    <a:ln w="9525">
                      <a:noFill/>
                      <a:headEnd/>
                      <a:tailEnd/>
                    </a:ln>
                  </pic:spPr>
                </pic:pic>
              </a:graphicData>
            </a:graphic>
          </wp:inline>
        </w:drawing>
      </w:r>
    </w:p>
    <w:p>
      <w:pPr>
        <w:pStyle w:val="ImageCaption"/>
      </w:pPr>
      <w:r>
        <w:t xml:space="preserve">The three-arm experimental protocol to decouple hardware artifacts from gravity. Combining flight sealed, ground sealed, and ground ventilated controls resolves environmental confounds.</w:t>
      </w:r>
    </w:p>
    <w:bookmarkEnd w:id="58"/>
    <w:bookmarkStart w:id="62" w:name="fig:abrs"/>
    <w:p>
      <w:pPr>
        <w:pStyle w:val="CaptionedFigure"/>
      </w:pPr>
      <w:r>
        <w:drawing>
          <wp:inline>
            <wp:extent cx="5067300" cy="3502741"/>
            <wp:effectExtent b="0" l="0" r="0" t="0"/>
            <wp:docPr descr="" title="" id="60" name="Picture"/>
            <a:graphic>
              <a:graphicData uri="http://schemas.openxmlformats.org/drawingml/2006/picture">
                <pic:pic>
                  <pic:nvPicPr>
                    <pic:cNvPr descr="fig09_abrs_comparison.pdf" id="61" name="Picture"/>
                    <pic:cNvPicPr>
                      <a:picLocks noChangeArrowheads="1" noChangeAspect="1"/>
                    </pic:cNvPicPr>
                  </pic:nvPicPr>
                  <pic:blipFill>
                    <a:blip r:embed="rId59"/>
                    <a:stretch>
                      <a:fillRect/>
                    </a:stretch>
                  </pic:blipFill>
                  <pic:spPr bwMode="auto">
                    <a:xfrm>
                      <a:off x="0" y="0"/>
                      <a:ext cx="5067300" cy="3502741"/>
                    </a:xfrm>
                    <a:prstGeom prst="rect">
                      <a:avLst/>
                    </a:prstGeom>
                    <a:noFill/>
                    <a:ln w="9525">
                      <a:noFill/>
                      <a:headEnd/>
                      <a:tailEnd/>
                    </a:ln>
                  </pic:spPr>
                </pic:pic>
              </a:graphicData>
            </a:graphic>
          </wp:inline>
        </w:drawing>
      </w:r>
    </w:p>
    <w:p>
      <w:pPr>
        <w:pStyle w:val="ImageCaption"/>
      </w:pPr>
      <w:r>
        <w:t xml:space="preserve">Ventilated ABRS hardware resolves hardware confounds and validates the extended ladder.</w:t>
      </w:r>
      <w:r>
        <w:t xml:space="preserve"> </w:t>
      </w:r>
      <w:r>
        <w:rPr>
          <w:b/>
          <w:bCs/>
        </w:rPr>
        <w:t xml:space="preserve">a</w:t>
      </w:r>
      <w:r>
        <w:t xml:space="preserve">, FvCB operating curves spanning drawn-down canisters (100 ppm) to super-ambient ISS cabin air (3</w:t>
      </w:r>
      <w:r>
        <w:t xml:space="preserve">,</w:t>
      </w:r>
      <w:r>
        <w:t xml:space="preserve">500 ppm).</w:t>
      </w:r>
      <w:r>
        <w:t xml:space="preserve"> </w:t>
      </w:r>
      <w:r>
        <w:rPr>
          <w:b/>
          <w:bCs/>
        </w:rPr>
        <w:t xml:space="preserve">b</w:t>
      </w:r>
      <w:r>
        <w:t xml:space="preserve">, Organ-specific transcriptome shifts in ABRS across shoots, hypocotyls, roots, and whole plants.</w:t>
      </w:r>
      <w:r>
        <w:t xml:space="preserve"> </w:t>
      </w:r>
      <w:r>
        <w:rPr>
          <w:b/>
          <w:bCs/>
        </w:rPr>
        <w:t xml:space="preserve">c</w:t>
      </w:r>
      <w:r>
        <w:t xml:space="preserve">, Extended seven-study hardware ladder demonstrating that illuminated VEGGIE (</w:t>
      </w:r>
      <m:oMath>
        <m:r>
          <m:rPr>
            <m:sty m:val="p"/>
          </m:rPr>
          <m:t>+</m:t>
        </m:r>
        <m:r>
          <m:t>0.4142</m:t>
        </m:r>
      </m:oMath>
      <w:r>
        <w:t xml:space="preserve">) and ABRS (</w:t>
      </w:r>
      <m:oMath>
        <m:r>
          <m:rPr>
            <m:sty m:val="p"/>
          </m:rPr>
          <m:t>+</m:t>
        </m:r>
        <m:r>
          <m:t>0.4146</m:t>
        </m:r>
      </m:oMath>
      <w:r>
        <w:t xml:space="preserve">) converge on an identical unconfounded baseline.</w:t>
      </w:r>
      <w:r>
        <w:t xml:space="preserve"> </w:t>
      </w:r>
      <w:r>
        <w:rPr>
          <w:b/>
          <w:bCs/>
        </w:rPr>
        <w:t xml:space="preserve">d</w:t>
      </w:r>
      <w:r>
        <w:t xml:space="preserve">, Pathway significance contrast between sealed BRIC-LED and ventilated ABRS, showing complete disappearance of ER stress (</w:t>
      </w:r>
      <m:oMath>
        <m:r>
          <m:t>p</m:t>
        </m:r>
        <m:r>
          <m:rPr>
            <m:sty m:val="p"/>
          </m:rPr>
          <m:t>=</m:t>
        </m:r>
        <m:r>
          <m:t>0.946</m:t>
        </m:r>
      </m:oMath>
      <w:r>
        <w:t xml:space="preserve">) under active airflow.</w:t>
      </w:r>
    </w:p>
    <w:bookmarkEnd w:id="62"/>
    <w:bookmarkStart w:id="114" w:name="refs"/>
    <w:bookmarkStart w:id="64" w:name="ref-baena2020"/>
    <w:p>
      <w:pPr>
        <w:pStyle w:val="Bibliography"/>
      </w:pPr>
      <w:r>
        <w:t xml:space="preserve">Baena-González, Elena, and John E. Lunn. 2020.</w:t>
      </w:r>
      <w:r>
        <w:t xml:space="preserve"> </w:t>
      </w:r>
      <w:r>
        <w:t xml:space="preserve">“</w:t>
      </w:r>
      <w:r>
        <w:t xml:space="preserve">SnRK1</w:t>
      </w:r>
      <w:r>
        <w:t xml:space="preserve"> </w:t>
      </w:r>
      <w:r>
        <w:t xml:space="preserve">and Trehalose 6-Phosphate—Two Essential Pathways for Plant Energy Homeostasis.”</w:t>
      </w:r>
      <w:r>
        <w:t xml:space="preserve"> </w:t>
      </w:r>
      <w:r>
        <w:rPr>
          <w:i/>
          <w:iCs/>
        </w:rPr>
        <w:t xml:space="preserve">Biochemical Journal</w:t>
      </w:r>
      <w:r>
        <w:t xml:space="preserve"> </w:t>
      </w:r>
      <w:r>
        <w:t xml:space="preserve">477 (7): 1289–309.</w:t>
      </w:r>
      <w:r>
        <w:t xml:space="preserve"> </w:t>
      </w:r>
      <w:hyperlink r:id="rId63">
        <w:r>
          <w:rPr>
            <w:rStyle w:val="Hyperlink"/>
          </w:rPr>
          <w:t xml:space="preserve">https://doi.org/10.1042/BCJ20190858</w:t>
        </w:r>
      </w:hyperlink>
      <w:r>
        <w:t xml:space="preserve">.</w:t>
      </w:r>
    </w:p>
    <w:bookmarkEnd w:id="64"/>
    <w:bookmarkStart w:id="66" w:name="ref-lunarleaf"/>
    <w:p>
      <w:pPr>
        <w:pStyle w:val="Bibliography"/>
      </w:pPr>
      <w:r>
        <w:t xml:space="preserve">Barker, Richard. 2026.</w:t>
      </w:r>
      <w:r>
        <w:t xml:space="preserve"> </w:t>
      </w:r>
      <w:r>
        <w:rPr>
          <w:i/>
          <w:iCs/>
        </w:rPr>
        <w:t xml:space="preserve">LunarLeaf-CFD</w:t>
      </w:r>
      <w:r>
        <w:rPr>
          <w:i/>
          <w:iCs/>
        </w:rPr>
        <w:t xml:space="preserve">: A Validated Lattice-</w:t>
      </w:r>
      <w:r>
        <w:rPr>
          <w:i/>
          <w:iCs/>
        </w:rPr>
        <w:t xml:space="preserve">Boltzmann</w:t>
      </w:r>
      <w:r>
        <w:rPr>
          <w:i/>
          <w:iCs/>
        </w:rPr>
        <w:t xml:space="preserve"> </w:t>
      </w:r>
      <w:r>
        <w:rPr>
          <w:i/>
          <w:iCs/>
        </w:rPr>
        <w:t xml:space="preserve">Solver for Leaf Boundary-Layer Gas Transport Under Variable Gravity</w:t>
      </w:r>
      <w:r>
        <w:t xml:space="preserve">.</w:t>
      </w:r>
      <w:r>
        <w:t xml:space="preserve"> </w:t>
      </w:r>
      <w:hyperlink r:id="rId65">
        <w:r>
          <w:rPr>
            <w:rStyle w:val="Hyperlink"/>
          </w:rPr>
          <w:t xml:space="preserve">Https://github.com/dr-richard-barker/LunarLeaf-CFD</w:t>
        </w:r>
      </w:hyperlink>
      <w:r>
        <w:t xml:space="preserve">.</w:t>
      </w:r>
    </w:p>
    <w:bookmarkEnd w:id="66"/>
    <w:bookmarkStart w:id="68" w:name="ref-barker2020"/>
    <w:p>
      <w:pPr>
        <w:pStyle w:val="Bibliography"/>
      </w:pPr>
      <w:r>
        <w:t xml:space="preserve">Barker, Richard, Jordan Lombardino, Kai Rasmussen, and Simon Gilroy. 2020.</w:t>
      </w:r>
      <w:r>
        <w:t xml:space="preserve"> </w:t>
      </w:r>
      <w:r>
        <w:t xml:space="preserve">“Test of</w:t>
      </w:r>
      <w:r>
        <w:t xml:space="preserve"> </w:t>
      </w:r>
      <w:r>
        <w:rPr>
          <w:i/>
          <w:iCs/>
        </w:rPr>
        <w:t xml:space="preserve">Arabidopsis</w:t>
      </w:r>
      <w:r>
        <w:t xml:space="preserve"> </w:t>
      </w:r>
      <w:r>
        <w:t xml:space="preserve">Space Transcriptome: A Discovery Environment to Explore Multiple Plant Biology Spaceflight Experiments.”</w:t>
      </w:r>
      <w:r>
        <w:t xml:space="preserve"> </w:t>
      </w:r>
      <w:r>
        <w:rPr>
          <w:i/>
          <w:iCs/>
        </w:rPr>
        <w:t xml:space="preserve">Frontiers in Plant Science</w:t>
      </w:r>
      <w:r>
        <w:t xml:space="preserve"> </w:t>
      </w:r>
      <w:r>
        <w:t xml:space="preserve">11: 147.</w:t>
      </w:r>
      <w:r>
        <w:t xml:space="preserve"> </w:t>
      </w:r>
      <w:hyperlink r:id="rId67">
        <w:r>
          <w:rPr>
            <w:rStyle w:val="Hyperlink"/>
          </w:rPr>
          <w:t xml:space="preserve">https://doi.org/10.3389/fpls.2020.00147</w:t>
        </w:r>
      </w:hyperlink>
      <w:r>
        <w:t xml:space="preserve">.</w:t>
      </w:r>
    </w:p>
    <w:bookmarkEnd w:id="68"/>
    <w:bookmarkStart w:id="70" w:name="ref-bauwe2010"/>
    <w:p>
      <w:pPr>
        <w:pStyle w:val="Bibliography"/>
      </w:pPr>
      <w:r>
        <w:t xml:space="preserve">Bauwe, H., M. Hagemann, and A. R. Fernie. 2010.</w:t>
      </w:r>
      <w:r>
        <w:t xml:space="preserve"> </w:t>
      </w:r>
      <w:r>
        <w:t xml:space="preserve">“Photorespiration: Players, Partners and Origin.”</w:t>
      </w:r>
      <w:r>
        <w:t xml:space="preserve"> </w:t>
      </w:r>
      <w:r>
        <w:rPr>
          <w:i/>
          <w:iCs/>
        </w:rPr>
        <w:t xml:space="preserve">Trends in Plant Science</w:t>
      </w:r>
      <w:r>
        <w:t xml:space="preserve"> </w:t>
      </w:r>
      <w:r>
        <w:t xml:space="preserve">15 (6): 330–36.</w:t>
      </w:r>
      <w:r>
        <w:t xml:space="preserve"> </w:t>
      </w:r>
      <w:hyperlink r:id="rId69">
        <w:r>
          <w:rPr>
            <w:rStyle w:val="Hyperlink"/>
          </w:rPr>
          <w:t xml:space="preserve">https://doi.org/10.1016/j.tplants.2010.03.006</w:t>
        </w:r>
      </w:hyperlink>
      <w:r>
        <w:t xml:space="preserve">.</w:t>
      </w:r>
    </w:p>
    <w:bookmarkEnd w:id="70"/>
    <w:bookmarkStart w:id="72" w:name="ref-bernacchi2003"/>
    <w:p>
      <w:pPr>
        <w:pStyle w:val="Bibliography"/>
      </w:pPr>
      <w:r>
        <w:t xml:space="preserve">Bernacchi, C. J., C. Pimentel, and S. P. Long. 2003.</w:t>
      </w:r>
      <w:r>
        <w:t xml:space="preserve"> </w:t>
      </w:r>
      <w:r>
        <w:t xml:space="preserve">“In Vivo Temperature Response Functions of Parameters Required to Model</w:t>
      </w:r>
      <w:r>
        <w:t xml:space="preserve"> </w:t>
      </w:r>
      <w:r>
        <w:t xml:space="preserve">RuBP</w:t>
      </w:r>
      <w:r>
        <w:t xml:space="preserve">-Limited Photosynthesis.”</w:t>
      </w:r>
      <w:r>
        <w:t xml:space="preserve"> </w:t>
      </w:r>
      <w:r>
        <w:rPr>
          <w:i/>
          <w:iCs/>
        </w:rPr>
        <w:t xml:space="preserve">Plant, Cell and Environment</w:t>
      </w:r>
      <w:r>
        <w:t xml:space="preserve"> </w:t>
      </w:r>
      <w:r>
        <w:t xml:space="preserve">26 (9): 1419–30.</w:t>
      </w:r>
      <w:r>
        <w:t xml:space="preserve"> </w:t>
      </w:r>
      <w:hyperlink r:id="rId71">
        <w:r>
          <w:rPr>
            <w:rStyle w:val="Hyperlink"/>
          </w:rPr>
          <w:t xml:space="preserve">https://doi.org/10.1046/j.0016-8025.2003.01050.x</w:t>
        </w:r>
      </w:hyperlink>
      <w:r>
        <w:t xml:space="preserve">.</w:t>
      </w:r>
    </w:p>
    <w:bookmarkEnd w:id="72"/>
    <w:bookmarkStart w:id="74" w:name="ref-bernacchi2001"/>
    <w:p>
      <w:pPr>
        <w:pStyle w:val="Bibliography"/>
      </w:pPr>
      <w:r>
        <w:t xml:space="preserve">Bernacchi, C. J., E. L. Singsaas, C. Pimentel, A. R. Portis Jr., and S. P. Long. 2001.</w:t>
      </w:r>
      <w:r>
        <w:t xml:space="preserve"> </w:t>
      </w:r>
      <w:r>
        <w:t xml:space="preserve">“Improved Temperature Response Functions for Models of</w:t>
      </w:r>
      <w:r>
        <w:t xml:space="preserve"> </w:t>
      </w:r>
      <w:r>
        <w:t xml:space="preserve">Rubisco</w:t>
      </w:r>
      <w:r>
        <w:t xml:space="preserve">-Limited Photosynthesis.”</w:t>
      </w:r>
      <w:r>
        <w:t xml:space="preserve"> </w:t>
      </w:r>
      <w:r>
        <w:rPr>
          <w:i/>
          <w:iCs/>
        </w:rPr>
        <w:t xml:space="preserve">Plant, Cell and Environment</w:t>
      </w:r>
      <w:r>
        <w:t xml:space="preserve"> </w:t>
      </w:r>
      <w:r>
        <w:t xml:space="preserve">24 (2): 253–59.</w:t>
      </w:r>
      <w:r>
        <w:t xml:space="preserve"> </w:t>
      </w:r>
      <w:hyperlink r:id="rId73">
        <w:r>
          <w:rPr>
            <w:rStyle w:val="Hyperlink"/>
          </w:rPr>
          <w:t xml:space="preserve">https://doi.org/10.1046/j.1365-3040.2001.00668.x</w:t>
        </w:r>
      </w:hyperlink>
      <w:r>
        <w:t xml:space="preserve">.</w:t>
      </w:r>
    </w:p>
    <w:bookmarkEnd w:id="74"/>
    <w:bookmarkStart w:id="76" w:name="ref-busch2020"/>
    <w:p>
      <w:pPr>
        <w:pStyle w:val="Bibliography"/>
      </w:pPr>
      <w:r>
        <w:t xml:space="preserve">Busch, F. A. 2020.</w:t>
      </w:r>
      <w:r>
        <w:t xml:space="preserve"> </w:t>
      </w:r>
      <w:r>
        <w:t xml:space="preserve">“Photorespiration in the Context of</w:t>
      </w:r>
      <w:r>
        <w:t xml:space="preserve"> </w:t>
      </w:r>
      <w:r>
        <w:t xml:space="preserve">Rubisco</w:t>
      </w:r>
      <w:r>
        <w:t xml:space="preserve"> </w:t>
      </w:r>
      <w:r>
        <w:t xml:space="preserve">Biochemistry,</w:t>
      </w:r>
      <w:r>
        <w:t xml:space="preserve"> </w:t>
      </w:r>
      <w:r>
        <w:t xml:space="preserve">CO</w:t>
      </w:r>
      <m:oMath>
        <m:sSub>
          <m:e>
            <m:r>
              <m:t>​</m:t>
            </m:r>
          </m:e>
          <m:sub>
            <m:r>
              <m:t>2</m:t>
            </m:r>
          </m:sub>
        </m:sSub>
      </m:oMath>
      <w:r>
        <w:t xml:space="preserve"> </w:t>
      </w:r>
      <w:r>
        <w:t xml:space="preserve">Diffusion and Metabolism.”</w:t>
      </w:r>
      <w:r>
        <w:t xml:space="preserve"> </w:t>
      </w:r>
      <w:r>
        <w:rPr>
          <w:i/>
          <w:iCs/>
        </w:rPr>
        <w:t xml:space="preserve">The Plant Journal</w:t>
      </w:r>
      <w:r>
        <w:t xml:space="preserve"> </w:t>
      </w:r>
      <w:r>
        <w:t xml:space="preserve">101 (4): 919–39.</w:t>
      </w:r>
      <w:r>
        <w:t xml:space="preserve"> </w:t>
      </w:r>
      <w:hyperlink r:id="rId75">
        <w:r>
          <w:rPr>
            <w:rStyle w:val="Hyperlink"/>
          </w:rPr>
          <w:t xml:space="preserve">https://doi.org/10.1111/tpj.14674</w:t>
        </w:r>
      </w:hyperlink>
      <w:r>
        <w:t xml:space="preserve">.</w:t>
      </w:r>
    </w:p>
    <w:bookmarkEnd w:id="76"/>
    <w:bookmarkStart w:id="77" w:name="ref-osd427"/>
    <w:p>
      <w:pPr>
        <w:pStyle w:val="Bibliography"/>
      </w:pPr>
      <w:r>
        <w:rPr>
          <w:i/>
          <w:iCs/>
        </w:rPr>
        <w:t xml:space="preserve">Characterizing Epigenetic Changes in Methylation Mutants (</w:t>
      </w:r>
      <w:r>
        <w:rPr>
          <w:i/>
          <w:i/>
          <w:iCs/>
          <w:iCs/>
        </w:rPr>
        <w:t xml:space="preserve">Elp2-5</w:t>
      </w:r>
      <w:r>
        <w:rPr>
          <w:i/>
          <w:iCs/>
        </w:rPr>
        <w:t xml:space="preserve"> </w:t>
      </w:r>
      <w:r>
        <w:rPr>
          <w:i/>
          <w:iCs/>
        </w:rPr>
        <w:t xml:space="preserve">and</w:t>
      </w:r>
      <w:r>
        <w:rPr>
          <w:i/>
          <w:iCs/>
        </w:rPr>
        <w:t xml:space="preserve"> </w:t>
      </w:r>
      <w:r>
        <w:rPr>
          <w:i/>
          <w:i/>
          <w:iCs/>
          <w:iCs/>
        </w:rPr>
        <w:t xml:space="preserve">Met1-7</w:t>
      </w:r>
      <w:r>
        <w:rPr>
          <w:i/>
          <w:iCs/>
        </w:rPr>
        <w:t xml:space="preserve">) in Spaceflight</w:t>
      </w:r>
      <w:r>
        <w:t xml:space="preserve">. 2021. NASA Open Science Data Repository, OSD-427 (APEX-04).</w:t>
      </w:r>
    </w:p>
    <w:bookmarkEnd w:id="77"/>
    <w:bookmarkStart w:id="79" w:name="ref-choi2019"/>
    <w:p>
      <w:pPr>
        <w:pStyle w:val="Bibliography"/>
      </w:pPr>
      <w:r>
        <w:t xml:space="preserve">Choi, Won-Gyu, Richard J. Barker, Sang-Hyun Kim, Sarah J. Swanson, and Simon Gilroy. 2019.</w:t>
      </w:r>
      <w:r>
        <w:t xml:space="preserve"> </w:t>
      </w:r>
      <w:r>
        <w:t xml:space="preserve">“Variation in the Transcriptome of Different Ecotypes of</w:t>
      </w:r>
      <w:r>
        <w:t xml:space="preserve"> </w:t>
      </w:r>
      <w:r>
        <w:rPr>
          <w:i/>
          <w:iCs/>
        </w:rPr>
        <w:t xml:space="preserve">Arabidopsis Thaliana</w:t>
      </w:r>
      <w:r>
        <w:t xml:space="preserve"> </w:t>
      </w:r>
      <w:r>
        <w:t xml:space="preserve">Reveals Common and Unique Responses to Spaceflight.”</w:t>
      </w:r>
      <w:r>
        <w:t xml:space="preserve"> </w:t>
      </w:r>
      <w:r>
        <w:rPr>
          <w:i/>
          <w:iCs/>
        </w:rPr>
        <w:t xml:space="preserve">Life Sciences in Space Research</w:t>
      </w:r>
      <w:r>
        <w:t xml:space="preserve"> </w:t>
      </w:r>
      <w:r>
        <w:t xml:space="preserve">23: 1–13.</w:t>
      </w:r>
      <w:r>
        <w:t xml:space="preserve"> </w:t>
      </w:r>
      <w:hyperlink r:id="rId78">
        <w:r>
          <w:rPr>
            <w:rStyle w:val="Hyperlink"/>
          </w:rPr>
          <w:t xml:space="preserve">https://doi.org/10.1016/j.lssr.2019.07.004</w:t>
        </w:r>
      </w:hyperlink>
      <w:r>
        <w:t xml:space="preserve">.</w:t>
      </w:r>
    </w:p>
    <w:bookmarkEnd w:id="79"/>
    <w:bookmarkStart w:id="81" w:name="ref-farquhar1980"/>
    <w:p>
      <w:pPr>
        <w:pStyle w:val="Bibliography"/>
      </w:pPr>
      <w:r>
        <w:t xml:space="preserve">Farquhar, G. D., S. von Caemmerer, and J. A. Berry. 1980.</w:t>
      </w:r>
      <w:r>
        <w:t xml:space="preserve"> </w:t>
      </w:r>
      <w:r>
        <w:t xml:space="preserve">“A Biochemical Model of Photosynthetic</w:t>
      </w:r>
      <w:r>
        <w:t xml:space="preserve"> </w:t>
      </w:r>
      <w:r>
        <w:t xml:space="preserve">CO</w:t>
      </w:r>
      <m:oMath>
        <m:sSub>
          <m:e>
            <m:r>
              <m:t>​</m:t>
            </m:r>
          </m:e>
          <m:sub>
            <m:r>
              <m:t>2</m:t>
            </m:r>
          </m:sub>
        </m:sSub>
      </m:oMath>
      <w:r>
        <w:t xml:space="preserve"> </w:t>
      </w:r>
      <w:r>
        <w:t xml:space="preserve">Assimilation in Leaves of</w:t>
      </w:r>
      <w:r>
        <w:t xml:space="preserve"> </w:t>
      </w:r>
      <w:r>
        <w:t xml:space="preserve">C</w:t>
      </w:r>
      <m:oMath>
        <m:sSub>
          <m:e>
            <m:r>
              <m:t>​</m:t>
            </m:r>
          </m:e>
          <m:sub>
            <m:r>
              <m:t>3</m:t>
            </m:r>
          </m:sub>
        </m:sSub>
      </m:oMath>
      <w:r>
        <w:t xml:space="preserve"> </w:t>
      </w:r>
      <w:r>
        <w:t xml:space="preserve">Species.”</w:t>
      </w:r>
      <w:r>
        <w:t xml:space="preserve"> </w:t>
      </w:r>
      <w:r>
        <w:rPr>
          <w:i/>
          <w:iCs/>
        </w:rPr>
        <w:t xml:space="preserve">Planta</w:t>
      </w:r>
      <w:r>
        <w:t xml:space="preserve"> </w:t>
      </w:r>
      <w:r>
        <w:t xml:space="preserve">149 (1): 78–90.</w:t>
      </w:r>
      <w:r>
        <w:t xml:space="preserve"> </w:t>
      </w:r>
      <w:hyperlink r:id="rId80">
        <w:r>
          <w:rPr>
            <w:rStyle w:val="Hyperlink"/>
          </w:rPr>
          <w:t xml:space="preserve">https://doi.org/10.1007/BF00386231</w:t>
        </w:r>
      </w:hyperlink>
      <w:r>
        <w:t xml:space="preserve">.</w:t>
      </w:r>
    </w:p>
    <w:bookmarkEnd w:id="81"/>
    <w:bookmarkStart w:id="83" w:name="ref-ferl2015"/>
    <w:p>
      <w:pPr>
        <w:pStyle w:val="Bibliography"/>
      </w:pPr>
      <w:r>
        <w:t xml:space="preserve">Ferl, Robert J., J. Koh, F. Denison, and Anna-Lisa Paul. 2015.</w:t>
      </w:r>
      <w:r>
        <w:t xml:space="preserve"> </w:t>
      </w:r>
      <w:r>
        <w:t xml:space="preserve">“Spaceflight Induces Specific Alterations in the Proteomes of</w:t>
      </w:r>
      <w:r>
        <w:t xml:space="preserve"> </w:t>
      </w:r>
      <w:r>
        <w:rPr>
          <w:i/>
          <w:iCs/>
        </w:rPr>
        <w:t xml:space="preserve">Arabidopsis</w:t>
      </w:r>
      <w:r>
        <w:t xml:space="preserve">.”</w:t>
      </w:r>
      <w:r>
        <w:t xml:space="preserve"> </w:t>
      </w:r>
      <w:r>
        <w:rPr>
          <w:i/>
          <w:iCs/>
        </w:rPr>
        <w:t xml:space="preserve">Astrobiology</w:t>
      </w:r>
      <w:r>
        <w:t xml:space="preserve"> </w:t>
      </w:r>
      <w:r>
        <w:t xml:space="preserve">15 (1): 32–56.</w:t>
      </w:r>
      <w:r>
        <w:t xml:space="preserve"> </w:t>
      </w:r>
      <w:hyperlink r:id="rId82">
        <w:r>
          <w:rPr>
            <w:rStyle w:val="Hyperlink"/>
          </w:rPr>
          <w:t xml:space="preserve">https://doi.org/10.1089/ast.2014.1210</w:t>
        </w:r>
      </w:hyperlink>
      <w:r>
        <w:t xml:space="preserve">.</w:t>
      </w:r>
    </w:p>
    <w:bookmarkEnd w:id="83"/>
    <w:bookmarkStart w:id="85" w:name="ref-osdr2025"/>
    <w:p>
      <w:pPr>
        <w:pStyle w:val="Bibliography"/>
      </w:pPr>
      <w:r>
        <w:t xml:space="preserve">Gebre, Samrawit G, Ryan T Scott, Amanda M Saravia-Butler, Danielle K Lopez, Lauren M Sanders, and Sylvain V Costes. 2025.</w:t>
      </w:r>
      <w:r>
        <w:t xml:space="preserve"> </w:t>
      </w:r>
      <w:r>
        <w:t xml:space="preserve">“</w:t>
      </w:r>
      <w:r>
        <w:t xml:space="preserve">NASA</w:t>
      </w:r>
      <w:r>
        <w:t xml:space="preserve"> </w:t>
      </w:r>
      <w:r>
        <w:t xml:space="preserve">Open Science Data Repository: Open Science for Life in Space.”</w:t>
      </w:r>
      <w:r>
        <w:t xml:space="preserve"> </w:t>
      </w:r>
      <w:r>
        <w:rPr>
          <w:i/>
          <w:iCs/>
        </w:rPr>
        <w:t xml:space="preserve">Nucleic Acids Research</w:t>
      </w:r>
      <w:r>
        <w:t xml:space="preserve"> </w:t>
      </w:r>
      <w:r>
        <w:t xml:space="preserve">53 (D1): D1697–710.</w:t>
      </w:r>
      <w:r>
        <w:t xml:space="preserve"> </w:t>
      </w:r>
      <w:hyperlink r:id="rId84">
        <w:r>
          <w:rPr>
            <w:rStyle w:val="Hyperlink"/>
          </w:rPr>
          <w:t xml:space="preserve">https://doi.org/10.1093/nar/gkae1116</w:t>
        </w:r>
      </w:hyperlink>
      <w:r>
        <w:t xml:space="preserve">.</w:t>
      </w:r>
    </w:p>
    <w:bookmarkEnd w:id="85"/>
    <w:bookmarkStart w:id="86" w:name="ref-osd522"/>
    <w:p>
      <w:pPr>
        <w:pStyle w:val="Bibliography"/>
      </w:pPr>
      <w:r>
        <w:rPr>
          <w:i/>
          <w:iCs/>
        </w:rPr>
        <w:t xml:space="preserve">Integrative Transcriptomics and Proteomics Profiling of</w:t>
      </w:r>
      <w:r>
        <w:rPr>
          <w:i/>
          <w:iCs/>
        </w:rPr>
        <w:t xml:space="preserve"> </w:t>
      </w:r>
      <w:r>
        <w:rPr>
          <w:i/>
          <w:i/>
          <w:iCs/>
          <w:iCs/>
        </w:rPr>
        <w:t xml:space="preserve">Arabidopsis Thaliana</w:t>
      </w:r>
      <w:r>
        <w:rPr>
          <w:i/>
          <w:iCs/>
        </w:rPr>
        <w:t xml:space="preserve"> </w:t>
      </w:r>
      <w:r>
        <w:rPr>
          <w:i/>
          <w:iCs/>
        </w:rPr>
        <w:t xml:space="preserve">Elucidates Novel Mechanisms Underlying Spaceflight Adaptation</w:t>
      </w:r>
      <w:r>
        <w:t xml:space="preserve">. 2022. NASA Open Science Data Repository, OSD-522 (BRIC-LED-001).</w:t>
      </w:r>
    </w:p>
    <w:bookmarkEnd w:id="86"/>
    <w:bookmarkStart w:id="88" w:name="ref-kanehisa2000"/>
    <w:p>
      <w:pPr>
        <w:pStyle w:val="Bibliography"/>
      </w:pPr>
      <w:r>
        <w:t xml:space="preserve">Kanehisa, Minoru, and Susumu Goto. 2000.</w:t>
      </w:r>
      <w:r>
        <w:t xml:space="preserve"> </w:t>
      </w:r>
      <w:r>
        <w:t xml:space="preserve">“</w:t>
      </w:r>
      <w:r>
        <w:t xml:space="preserve">KEGG</w:t>
      </w:r>
      <w:r>
        <w:t xml:space="preserve">:</w:t>
      </w:r>
      <w:r>
        <w:t xml:space="preserve"> </w:t>
      </w:r>
      <w:r>
        <w:t xml:space="preserve">Kyoto</w:t>
      </w:r>
      <w:r>
        <w:t xml:space="preserve"> </w:t>
      </w:r>
      <w:r>
        <w:t xml:space="preserve">Encyclopedia of Genes and Genomes.”</w:t>
      </w:r>
      <w:r>
        <w:t xml:space="preserve"> </w:t>
      </w:r>
      <w:r>
        <w:rPr>
          <w:i/>
          <w:iCs/>
        </w:rPr>
        <w:t xml:space="preserve">Nucleic Acids Research</w:t>
      </w:r>
      <w:r>
        <w:t xml:space="preserve"> </w:t>
      </w:r>
      <w:r>
        <w:t xml:space="preserve">28 (1): 27–30.</w:t>
      </w:r>
      <w:r>
        <w:t xml:space="preserve"> </w:t>
      </w:r>
      <w:hyperlink r:id="rId87">
        <w:r>
          <w:rPr>
            <w:rStyle w:val="Hyperlink"/>
          </w:rPr>
          <w:t xml:space="preserve">https://doi.org/10.1093/nar/28.1.27</w:t>
        </w:r>
      </w:hyperlink>
      <w:r>
        <w:t xml:space="preserve">.</w:t>
      </w:r>
    </w:p>
    <w:bookmarkEnd w:id="88"/>
    <w:bookmarkStart w:id="90" w:name="ref-kiss2014"/>
    <w:p>
      <w:pPr>
        <w:pStyle w:val="Bibliography"/>
      </w:pPr>
      <w:r>
        <w:t xml:space="preserve">Kiss, John Z. 2014.</w:t>
      </w:r>
      <w:r>
        <w:t xml:space="preserve"> </w:t>
      </w:r>
      <w:r>
        <w:t xml:space="preserve">“Plant Biology in Reduced Gravity on the</w:t>
      </w:r>
      <w:r>
        <w:t xml:space="preserve"> </w:t>
      </w:r>
      <w:r>
        <w:t xml:space="preserve">International Space Station</w:t>
      </w:r>
      <w:r>
        <w:t xml:space="preserve">.”</w:t>
      </w:r>
      <w:r>
        <w:t xml:space="preserve"> </w:t>
      </w:r>
      <w:r>
        <w:rPr>
          <w:i/>
          <w:iCs/>
        </w:rPr>
        <w:t xml:space="preserve">Plant Biology</w:t>
      </w:r>
      <w:r>
        <w:t xml:space="preserve"> </w:t>
      </w:r>
      <w:r>
        <w:t xml:space="preserve">16 (s1): 2–11.</w:t>
      </w:r>
      <w:r>
        <w:t xml:space="preserve"> </w:t>
      </w:r>
      <w:hyperlink r:id="rId89">
        <w:r>
          <w:rPr>
            <w:rStyle w:val="Hyperlink"/>
          </w:rPr>
          <w:t xml:space="preserve">https://doi.org/10.1111/plb.12031</w:t>
        </w:r>
      </w:hyperlink>
      <w:r>
        <w:t xml:space="preserve">.</w:t>
      </w:r>
    </w:p>
    <w:bookmarkEnd w:id="90"/>
    <w:bookmarkStart w:id="92" w:name="ref-kruse2020"/>
    <w:p>
      <w:pPr>
        <w:pStyle w:val="Bibliography"/>
      </w:pPr>
      <w:r>
        <w:t xml:space="preserve">Kruse, Colin P. S., A. D. Meyers, P. Basu, P. Flores, and Sarah E. Wyatt. 2020.</w:t>
      </w:r>
      <w:r>
        <w:t xml:space="preserve"> </w:t>
      </w:r>
      <w:r>
        <w:t xml:space="preserve">“Spaceflight Induces Novel Regulatory Responses in</w:t>
      </w:r>
      <w:r>
        <w:t xml:space="preserve"> </w:t>
      </w:r>
      <w:r>
        <w:rPr>
          <w:i/>
          <w:iCs/>
        </w:rPr>
        <w:t xml:space="preserve">Arabidopsis Thaliana</w:t>
      </w:r>
      <w:r>
        <w:t xml:space="preserve"> </w:t>
      </w:r>
      <w:r>
        <w:t xml:space="preserve">Roots and Shoots.”</w:t>
      </w:r>
      <w:r>
        <w:t xml:space="preserve"> </w:t>
      </w:r>
      <w:r>
        <w:rPr>
          <w:i/>
          <w:iCs/>
        </w:rPr>
        <w:t xml:space="preserve">Life Sciences in Space Research</w:t>
      </w:r>
      <w:r>
        <w:t xml:space="preserve"> </w:t>
      </w:r>
      <w:r>
        <w:t xml:space="preserve">26: 24–32.</w:t>
      </w:r>
      <w:r>
        <w:t xml:space="preserve"> </w:t>
      </w:r>
      <w:hyperlink r:id="rId91">
        <w:r>
          <w:rPr>
            <w:rStyle w:val="Hyperlink"/>
          </w:rPr>
          <w:t xml:space="preserve">https://doi.org/10.1016/j.lssr.2020.03.005</w:t>
        </w:r>
      </w:hyperlink>
      <w:r>
        <w:t xml:space="preserve">.</w:t>
      </w:r>
    </w:p>
    <w:bookmarkEnd w:id="92"/>
    <w:bookmarkStart w:id="93" w:name="ref-osd678"/>
    <w:p>
      <w:pPr>
        <w:pStyle w:val="Bibliography"/>
      </w:pPr>
      <w:r>
        <w:rPr>
          <w:i/>
          <w:iCs/>
        </w:rPr>
        <w:t xml:space="preserve">Light Has a Principal Role in the</w:t>
      </w:r>
      <w:r>
        <w:rPr>
          <w:i/>
          <w:iCs/>
        </w:rPr>
        <w:t xml:space="preserve"> </w:t>
      </w:r>
      <w:r>
        <w:rPr>
          <w:i/>
          <w:i/>
          <w:iCs/>
          <w:iCs/>
        </w:rPr>
        <w:t xml:space="preserve">Arabidopsis</w:t>
      </w:r>
      <w:r>
        <w:rPr>
          <w:i/>
          <w:iCs/>
        </w:rPr>
        <w:t xml:space="preserve"> </w:t>
      </w:r>
      <w:r>
        <w:rPr>
          <w:i/>
          <w:iCs/>
        </w:rPr>
        <w:t xml:space="preserve">Transcriptomic Response to the Spaceflight Environment</w:t>
      </w:r>
      <w:r>
        <w:t xml:space="preserve">. 2024. NASA Open Science Data Repository, OSD-678 (CARA).</w:t>
      </w:r>
    </w:p>
    <w:bookmarkEnd w:id="93"/>
    <w:bookmarkStart w:id="95" w:name="ref-paintomics4"/>
    <w:p>
      <w:pPr>
        <w:pStyle w:val="Bibliography"/>
      </w:pPr>
      <w:r>
        <w:t xml:space="preserve">Liu, Tianyuan, Pedro Salguero, Marko Petek, et al. 2022.</w:t>
      </w:r>
      <w:r>
        <w:t xml:space="preserve"> </w:t>
      </w:r>
      <w:r>
        <w:t xml:space="preserve">“</w:t>
      </w:r>
      <w:r>
        <w:t xml:space="preserve">PaintOmics</w:t>
      </w:r>
      <w:r>
        <w:t xml:space="preserve"> </w:t>
      </w:r>
      <w:r>
        <w:t xml:space="preserve">4: New Tools for the Integrative Analysis of Multi-Omics Datasets Supported by Multiple Pathway Databases.”</w:t>
      </w:r>
      <w:r>
        <w:t xml:space="preserve"> </w:t>
      </w:r>
      <w:r>
        <w:rPr>
          <w:i/>
          <w:iCs/>
        </w:rPr>
        <w:t xml:space="preserve">Nucleic Acids Research</w:t>
      </w:r>
      <w:r>
        <w:t xml:space="preserve"> </w:t>
      </w:r>
      <w:r>
        <w:t xml:space="preserve">50 (W1): W551–59.</w:t>
      </w:r>
      <w:r>
        <w:t xml:space="preserve"> </w:t>
      </w:r>
      <w:hyperlink r:id="rId94">
        <w:r>
          <w:rPr>
            <w:rStyle w:val="Hyperlink"/>
          </w:rPr>
          <w:t xml:space="preserve">https://doi.org/10.1093/nar/gkac352</w:t>
        </w:r>
      </w:hyperlink>
      <w:r>
        <w:t xml:space="preserve">.</w:t>
      </w:r>
    </w:p>
    <w:bookmarkEnd w:id="95"/>
    <w:bookmarkStart w:id="97" w:name="ref-pydeseq2"/>
    <w:p>
      <w:pPr>
        <w:pStyle w:val="Bibliography"/>
      </w:pPr>
      <w:r>
        <w:t xml:space="preserve">Muzellec, Boris, Maria Teleńczuk, Vincent Cabeli, and Mathieu Andreux. 2023.</w:t>
      </w:r>
      <w:r>
        <w:t xml:space="preserve"> </w:t>
      </w:r>
      <w:r>
        <w:t xml:space="preserve">“</w:t>
      </w:r>
      <w:r>
        <w:t xml:space="preserve">PyDESeq2</w:t>
      </w:r>
      <w:r>
        <w:t xml:space="preserve">: A Python Package for Bulk</w:t>
      </w:r>
      <w:r>
        <w:t xml:space="preserve"> </w:t>
      </w:r>
      <w:r>
        <w:t xml:space="preserve">RNA</w:t>
      </w:r>
      <w:r>
        <w:t xml:space="preserve">-Seq Differential Expression Analysis.”</w:t>
      </w:r>
      <w:r>
        <w:t xml:space="preserve"> </w:t>
      </w:r>
      <w:r>
        <w:rPr>
          <w:i/>
          <w:iCs/>
        </w:rPr>
        <w:t xml:space="preserve">Bioinformatics</w:t>
      </w:r>
      <w:r>
        <w:t xml:space="preserve"> </w:t>
      </w:r>
      <w:r>
        <w:t xml:space="preserve">39 (9): btad547.</w:t>
      </w:r>
      <w:r>
        <w:t xml:space="preserve"> </w:t>
      </w:r>
      <w:hyperlink r:id="rId96">
        <w:r>
          <w:rPr>
            <w:rStyle w:val="Hyperlink"/>
          </w:rPr>
          <w:t xml:space="preserve">https://doi.org/10.1093/bioinformatics/btad547</w:t>
        </w:r>
      </w:hyperlink>
      <w:r>
        <w:t xml:space="preserve">.</w:t>
      </w:r>
    </w:p>
    <w:bookmarkEnd w:id="97"/>
    <w:bookmarkStart w:id="99" w:name="ref-olanrewaju2023"/>
    <w:p>
      <w:pPr>
        <w:pStyle w:val="Bibliography"/>
      </w:pPr>
      <w:r>
        <w:t xml:space="preserve">Olanrewaju, Gbolaga O., Colin P. S. Kruse, and Sarah E. Wyatt. 2023.</w:t>
      </w:r>
      <w:r>
        <w:t xml:space="preserve"> </w:t>
      </w:r>
      <w:r>
        <w:t xml:space="preserve">“Functional Meta-Analysis of the Proteomic Responses of</w:t>
      </w:r>
      <w:r>
        <w:t xml:space="preserve"> </w:t>
      </w:r>
      <w:r>
        <w:rPr>
          <w:i/>
          <w:iCs/>
        </w:rPr>
        <w:t xml:space="preserve">Arabidopsis</w:t>
      </w:r>
      <w:r>
        <w:t xml:space="preserve"> </w:t>
      </w:r>
      <w:r>
        <w:t xml:space="preserve">Seedlings to the Spaceflight Environment Reveals Multi-Dimensional Sources of Variability Across Spaceflight Experiments.”</w:t>
      </w:r>
      <w:r>
        <w:t xml:space="preserve"> </w:t>
      </w:r>
      <w:r>
        <w:rPr>
          <w:i/>
          <w:iCs/>
        </w:rPr>
        <w:t xml:space="preserve">International Journal of Molecular Sciences</w:t>
      </w:r>
      <w:r>
        <w:t xml:space="preserve"> </w:t>
      </w:r>
      <w:r>
        <w:t xml:space="preserve">24 (19): 14425.</w:t>
      </w:r>
      <w:r>
        <w:t xml:space="preserve"> </w:t>
      </w:r>
      <w:hyperlink r:id="rId98">
        <w:r>
          <w:rPr>
            <w:rStyle w:val="Hyperlink"/>
          </w:rPr>
          <w:t xml:space="preserve">https://doi.org/10.3390/ijms241914425</w:t>
        </w:r>
      </w:hyperlink>
      <w:r>
        <w:t xml:space="preserve">.</w:t>
      </w:r>
    </w:p>
    <w:bookmarkEnd w:id="99"/>
    <w:bookmarkStart w:id="100" w:name="ref-osd7"/>
    <w:p>
      <w:pPr>
        <w:pStyle w:val="Bibliography"/>
      </w:pPr>
      <w:r>
        <w:rPr>
          <w:i/>
          <w:iCs/>
        </w:rPr>
        <w:t xml:space="preserve">Organ-Specific Remodeling of the</w:t>
      </w:r>
      <w:r>
        <w:rPr>
          <w:i/>
          <w:iCs/>
        </w:rPr>
        <w:t xml:space="preserve"> </w:t>
      </w:r>
      <w:r>
        <w:rPr>
          <w:i/>
          <w:i/>
          <w:iCs/>
          <w:iCs/>
        </w:rPr>
        <w:t xml:space="preserve">Arabidopsis</w:t>
      </w:r>
      <w:r>
        <w:rPr>
          <w:i/>
          <w:iCs/>
        </w:rPr>
        <w:t xml:space="preserve"> </w:t>
      </w:r>
      <w:r>
        <w:rPr>
          <w:i/>
          <w:iCs/>
        </w:rPr>
        <w:t xml:space="preserve">Transcriptome in Response to Spaceflight</w:t>
      </w:r>
      <w:r>
        <w:t xml:space="preserve">. 2013. NASA Open Science Data Repository, OSD-7 (TAGES).</w:t>
      </w:r>
    </w:p>
    <w:bookmarkEnd w:id="100"/>
    <w:bookmarkStart w:id="102" w:name="ref-paul2012"/>
    <w:p>
      <w:pPr>
        <w:pStyle w:val="Bibliography"/>
      </w:pPr>
      <w:r>
        <w:t xml:space="preserve">Paul, Anna-Lisa, Raymond M. Wheeler, Howard G. Levine, and Robert J. Ferl. 2012.</w:t>
      </w:r>
      <w:r>
        <w:t xml:space="preserve"> </w:t>
      </w:r>
      <w:r>
        <w:t xml:space="preserve">“Fundamental Plant Biology Enabled by the Space Shuttle.”</w:t>
      </w:r>
      <w:r>
        <w:t xml:space="preserve"> </w:t>
      </w:r>
      <w:r>
        <w:rPr>
          <w:i/>
          <w:iCs/>
        </w:rPr>
        <w:t xml:space="preserve">American Journal of Botany</w:t>
      </w:r>
      <w:r>
        <w:t xml:space="preserve"> </w:t>
      </w:r>
      <w:r>
        <w:t xml:space="preserve">99 (2): 197–209.</w:t>
      </w:r>
      <w:r>
        <w:t xml:space="preserve"> </w:t>
      </w:r>
      <w:hyperlink r:id="rId101">
        <w:r>
          <w:rPr>
            <w:rStyle w:val="Hyperlink"/>
          </w:rPr>
          <w:t xml:space="preserve">https://doi.org/10.3732/ajb.1100411</w:t>
        </w:r>
      </w:hyperlink>
      <w:r>
        <w:t xml:space="preserve">.</w:t>
      </w:r>
    </w:p>
    <w:bookmarkEnd w:id="102"/>
    <w:bookmarkStart w:id="104" w:name="ref-paul2013"/>
    <w:p>
      <w:pPr>
        <w:pStyle w:val="Bibliography"/>
      </w:pPr>
      <w:r>
        <w:t xml:space="preserve">Paul, Anna-Lisa, Agata K. Zupanska, and Robert J. Ferl. 2013.</w:t>
      </w:r>
      <w:r>
        <w:t xml:space="preserve"> </w:t>
      </w:r>
      <w:r>
        <w:t xml:space="preserve">“Organ-Specific Remodeling of the</w:t>
      </w:r>
      <w:r>
        <w:t xml:space="preserve"> </w:t>
      </w:r>
      <w:r>
        <w:rPr>
          <w:i/>
          <w:iCs/>
        </w:rPr>
        <w:t xml:space="preserve">Arabidopsis</w:t>
      </w:r>
      <w:r>
        <w:t xml:space="preserve"> </w:t>
      </w:r>
      <w:r>
        <w:t xml:space="preserve">Transcriptome in Response to Spaceflight.”</w:t>
      </w:r>
      <w:r>
        <w:t xml:space="preserve"> </w:t>
      </w:r>
      <w:r>
        <w:rPr>
          <w:i/>
          <w:iCs/>
        </w:rPr>
        <w:t xml:space="preserve">BMC Plant Biology</w:t>
      </w:r>
      <w:r>
        <w:t xml:space="preserve"> </w:t>
      </w:r>
      <w:r>
        <w:t xml:space="preserve">13 (1): 112.</w:t>
      </w:r>
      <w:r>
        <w:t xml:space="preserve"> </w:t>
      </w:r>
      <w:hyperlink r:id="rId103">
        <w:r>
          <w:rPr>
            <w:rStyle w:val="Hyperlink"/>
          </w:rPr>
          <w:t xml:space="preserve">https://doi.org/10.1186/1471-2229-13-112</w:t>
        </w:r>
      </w:hyperlink>
      <w:r>
        <w:t xml:space="preserve">.</w:t>
      </w:r>
    </w:p>
    <w:bookmarkEnd w:id="104"/>
    <w:bookmarkStart w:id="105" w:name="ref-osd38"/>
    <w:p>
      <w:pPr>
        <w:pStyle w:val="Bibliography"/>
      </w:pPr>
      <w:r>
        <w:rPr>
          <w:i/>
          <w:iCs/>
        </w:rPr>
        <w:t xml:space="preserve">Proteomics and Transcriptomics Analysis of</w:t>
      </w:r>
      <w:r>
        <w:rPr>
          <w:i/>
          <w:iCs/>
        </w:rPr>
        <w:t xml:space="preserve"> </w:t>
      </w:r>
      <w:r>
        <w:rPr>
          <w:i/>
          <w:i/>
          <w:iCs/>
          <w:iCs/>
        </w:rPr>
        <w:t xml:space="preserve">Arabidopsis</w:t>
      </w:r>
      <w:r>
        <w:rPr>
          <w:i/>
          <w:iCs/>
        </w:rPr>
        <w:t xml:space="preserve"> </w:t>
      </w:r>
      <w:r>
        <w:rPr>
          <w:i/>
          <w:iCs/>
        </w:rPr>
        <w:t xml:space="preserve">Seedlings in Microgravity</w:t>
      </w:r>
      <w:r>
        <w:t xml:space="preserve">. 2016. NASA Open Science Data Repository, OSD-38 (BRIC-20).</w:t>
      </w:r>
    </w:p>
    <w:bookmarkEnd w:id="105"/>
    <w:bookmarkStart w:id="106" w:name="ref-osd321"/>
    <w:p>
      <w:pPr>
        <w:pStyle w:val="Bibliography"/>
      </w:pPr>
      <w:r>
        <w:rPr>
          <w:i/>
          <w:iCs/>
        </w:rPr>
        <w:t xml:space="preserve">Relevance of Unfolded Protein Response to Spaceflight-Induced Transcriptional Reprogramming</w:t>
      </w:r>
      <w:r>
        <w:t xml:space="preserve">. 2020. NASA Open Science Data Repository, OSD-321 (BRIC-22).</w:t>
      </w:r>
    </w:p>
    <w:bookmarkEnd w:id="106"/>
    <w:bookmarkStart w:id="108" w:name="ref-sharkey2007"/>
    <w:p>
      <w:pPr>
        <w:pStyle w:val="Bibliography"/>
      </w:pPr>
      <w:r>
        <w:t xml:space="preserve">Sharkey, T. D., C. J. Bernacchi, G. D. Farquhar, and E. L. Singsaas. 2007.</w:t>
      </w:r>
      <w:r>
        <w:t xml:space="preserve"> </w:t>
      </w:r>
      <w:r>
        <w:t xml:space="preserve">“Fitting Photosynthetic Carbon Dioxide Response Curves for</w:t>
      </w:r>
      <w:r>
        <w:t xml:space="preserve"> </w:t>
      </w:r>
      <w:r>
        <w:t xml:space="preserve">C</w:t>
      </w:r>
      <m:oMath>
        <m:sSub>
          <m:e>
            <m:r>
              <m:t>​</m:t>
            </m:r>
          </m:e>
          <m:sub>
            <m:r>
              <m:t>3</m:t>
            </m:r>
          </m:sub>
        </m:sSub>
      </m:oMath>
      <w:r>
        <w:t xml:space="preserve"> </w:t>
      </w:r>
      <w:r>
        <w:t xml:space="preserve">Leaves.”</w:t>
      </w:r>
      <w:r>
        <w:t xml:space="preserve"> </w:t>
      </w:r>
      <w:r>
        <w:rPr>
          <w:i/>
          <w:iCs/>
        </w:rPr>
        <w:t xml:space="preserve">Plant, Cell and Environment</w:t>
      </w:r>
      <w:r>
        <w:t xml:space="preserve"> </w:t>
      </w:r>
      <w:r>
        <w:t xml:space="preserve">30 (9): 1035–40.</w:t>
      </w:r>
      <w:r>
        <w:t xml:space="preserve"> </w:t>
      </w:r>
      <w:hyperlink r:id="rId107">
        <w:r>
          <w:rPr>
            <w:rStyle w:val="Hyperlink"/>
          </w:rPr>
          <w:t xml:space="preserve">https://doi.org/10.1111/j.1365-3040.2007.01710.x</w:t>
        </w:r>
      </w:hyperlink>
      <w:r>
        <w:t xml:space="preserve">.</w:t>
      </w:r>
    </w:p>
    <w:bookmarkEnd w:id="108"/>
    <w:bookmarkStart w:id="109" w:name="ref-osd16"/>
    <w:p>
      <w:pPr>
        <w:pStyle w:val="Bibliography"/>
      </w:pPr>
      <w:r>
        <w:rPr>
          <w:i/>
          <w:iCs/>
        </w:rPr>
        <w:t xml:space="preserve">Spaceflight Induces Specific Alterations in the Proteomes of</w:t>
      </w:r>
      <w:r>
        <w:rPr>
          <w:i/>
          <w:iCs/>
        </w:rPr>
        <w:t xml:space="preserve"> </w:t>
      </w:r>
      <w:r>
        <w:rPr>
          <w:i/>
          <w:i/>
          <w:iCs/>
          <w:iCs/>
        </w:rPr>
        <w:t xml:space="preserve">Arabidopsis</w:t>
      </w:r>
      <w:r>
        <w:t xml:space="preserve">. 2015. NASA Open Science Data Repository, OSD-16 (TAGES).</w:t>
      </w:r>
    </w:p>
    <w:bookmarkEnd w:id="109"/>
    <w:bookmarkStart w:id="111" w:name="ref-thimm2004"/>
    <w:p>
      <w:pPr>
        <w:pStyle w:val="Bibliography"/>
      </w:pPr>
      <w:r>
        <w:t xml:space="preserve">Thimm, Oliver, Oliver Bläsing, Yves Gibon, et al. 2004.</w:t>
      </w:r>
      <w:r>
        <w:t xml:space="preserve"> </w:t>
      </w:r>
      <w:r>
        <w:t xml:space="preserve">“</w:t>
      </w:r>
      <w:r>
        <w:t xml:space="preserve">MAPMAN</w:t>
      </w:r>
      <w:r>
        <w:t xml:space="preserve">: A User-Driven Tool to Display Genomics Data Sets onto Diagrams of Metabolic Pathways and Other Biological Processes.”</w:t>
      </w:r>
      <w:r>
        <w:t xml:space="preserve"> </w:t>
      </w:r>
      <w:r>
        <w:rPr>
          <w:i/>
          <w:iCs/>
        </w:rPr>
        <w:t xml:space="preserve">The Plant Journal</w:t>
      </w:r>
      <w:r>
        <w:t xml:space="preserve"> </w:t>
      </w:r>
      <w:r>
        <w:t xml:space="preserve">37 (6): 914–39.</w:t>
      </w:r>
      <w:r>
        <w:t xml:space="preserve"> </w:t>
      </w:r>
      <w:hyperlink r:id="rId110">
        <w:r>
          <w:rPr>
            <w:rStyle w:val="Hyperlink"/>
          </w:rPr>
          <w:t xml:space="preserve">https://doi.org/10.1111/j.1365-313X.2004.02016.x</w:t>
        </w:r>
      </w:hyperlink>
      <w:r>
        <w:t xml:space="preserve">.</w:t>
      </w:r>
    </w:p>
    <w:bookmarkEnd w:id="111"/>
    <w:bookmarkStart w:id="113" w:name="ref-usadel2009"/>
    <w:p>
      <w:pPr>
        <w:pStyle w:val="Bibliography"/>
      </w:pPr>
      <w:r>
        <w:t xml:space="preserve">Usadel, Björn, Fabien Poree, Alexander Nagel, Marc Lohse, Alisdair Czedik-Eysenberg, and Mark Stitt. 2009.</w:t>
      </w:r>
      <w:r>
        <w:t xml:space="preserve"> </w:t>
      </w:r>
      <w:r>
        <w:t xml:space="preserve">“A Guide to Using</w:t>
      </w:r>
      <w:r>
        <w:t xml:space="preserve"> </w:t>
      </w:r>
      <w:r>
        <w:t xml:space="preserve">MapMan</w:t>
      </w:r>
      <w:r>
        <w:t xml:space="preserve"> </w:t>
      </w:r>
      <w:r>
        <w:t xml:space="preserve">to Visualize and Compare Omics Data in Plants: A Case Study in the Green Algal Lineage,</w:t>
      </w:r>
      <w:r>
        <w:t xml:space="preserve"> </w:t>
      </w:r>
      <w:r>
        <w:t xml:space="preserve">Arabidopsis</w:t>
      </w:r>
      <w:r>
        <w:t xml:space="preserve"> </w:t>
      </w:r>
      <w:r>
        <w:t xml:space="preserve">and Other Crops.”</w:t>
      </w:r>
      <w:r>
        <w:t xml:space="preserve"> </w:t>
      </w:r>
      <w:r>
        <w:rPr>
          <w:i/>
          <w:iCs/>
        </w:rPr>
        <w:t xml:space="preserve">Plant, Cell and Environment</w:t>
      </w:r>
      <w:r>
        <w:t xml:space="preserve"> </w:t>
      </w:r>
      <w:r>
        <w:t xml:space="preserve">32 (6): 680–89.</w:t>
      </w:r>
      <w:r>
        <w:t xml:space="preserve"> </w:t>
      </w:r>
      <w:hyperlink r:id="rId112">
        <w:r>
          <w:rPr>
            <w:rStyle w:val="Hyperlink"/>
          </w:rPr>
          <w:t xml:space="preserve">https://doi.org/10.1111/j.1365-3040.2009.01940.x</w:t>
        </w:r>
      </w:hyperlink>
      <w:r>
        <w:t xml:space="preserve">.</w:t>
      </w:r>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df" /><Relationship Type="http://schemas.openxmlformats.org/officeDocument/2006/relationships/image" Id="rId31" Target="media/rId31.pdf" /><Relationship Type="http://schemas.openxmlformats.org/officeDocument/2006/relationships/image" Id="rId35" Target="media/rId35.pdf" /><Relationship Type="http://schemas.openxmlformats.org/officeDocument/2006/relationships/image" Id="rId39" Target="media/rId39.pdf" /><Relationship Type="http://schemas.openxmlformats.org/officeDocument/2006/relationships/image" Id="rId43" Target="media/rId43.pdf" /><Relationship Type="http://schemas.openxmlformats.org/officeDocument/2006/relationships/image" Id="rId47" Target="media/rId47.pdf" /><Relationship Type="http://schemas.openxmlformats.org/officeDocument/2006/relationships/image" Id="rId51" Target="media/rId51.pdf" /><Relationship Type="http://schemas.openxmlformats.org/officeDocument/2006/relationships/image" Id="rId55" Target="media/rId55.pdf" /><Relationship Type="http://schemas.openxmlformats.org/officeDocument/2006/relationships/image" Id="rId59" Target="media/rId59.pdf" /><Relationship Type="http://schemas.openxmlformats.org/officeDocument/2006/relationships/hyperlink" Id="rId80" Target="https://doi.org/10.1007/BF00386231" TargetMode="External" /><Relationship Type="http://schemas.openxmlformats.org/officeDocument/2006/relationships/hyperlink" Id="rId78" Target="https://doi.org/10.1016/j.lssr.2019.07.004" TargetMode="External" /><Relationship Type="http://schemas.openxmlformats.org/officeDocument/2006/relationships/hyperlink" Id="rId91" Target="https://doi.org/10.1016/j.lssr.2020.03.005" TargetMode="External" /><Relationship Type="http://schemas.openxmlformats.org/officeDocument/2006/relationships/hyperlink" Id="rId69" Target="https://doi.org/10.1016/j.tplants.2010.03.006" TargetMode="External" /><Relationship Type="http://schemas.openxmlformats.org/officeDocument/2006/relationships/hyperlink" Id="rId63" Target="https://doi.org/10.1042/BCJ20190858" TargetMode="External" /><Relationship Type="http://schemas.openxmlformats.org/officeDocument/2006/relationships/hyperlink" Id="rId71" Target="https://doi.org/10.1046/j.0016-8025.2003.01050.x" TargetMode="External" /><Relationship Type="http://schemas.openxmlformats.org/officeDocument/2006/relationships/hyperlink" Id="rId73" Target="https://doi.org/10.1046/j.1365-3040.2001.00668.x" TargetMode="External" /><Relationship Type="http://schemas.openxmlformats.org/officeDocument/2006/relationships/hyperlink" Id="rId82" Target="https://doi.org/10.1089/ast.2014.1210" TargetMode="External" /><Relationship Type="http://schemas.openxmlformats.org/officeDocument/2006/relationships/hyperlink" Id="rId96" Target="https://doi.org/10.1093/bioinformatics/btad547" TargetMode="External" /><Relationship Type="http://schemas.openxmlformats.org/officeDocument/2006/relationships/hyperlink" Id="rId87" Target="https://doi.org/10.1093/nar/28.1.27" TargetMode="External" /><Relationship Type="http://schemas.openxmlformats.org/officeDocument/2006/relationships/hyperlink" Id="rId94" Target="https://doi.org/10.1093/nar/gkac352" TargetMode="External" /><Relationship Type="http://schemas.openxmlformats.org/officeDocument/2006/relationships/hyperlink" Id="rId84" Target="https://doi.org/10.1093/nar/gkae1116" TargetMode="External" /><Relationship Type="http://schemas.openxmlformats.org/officeDocument/2006/relationships/hyperlink" Id="rId107" Target="https://doi.org/10.1111/j.1365-3040.2007.01710.x" TargetMode="External" /><Relationship Type="http://schemas.openxmlformats.org/officeDocument/2006/relationships/hyperlink" Id="rId112" Target="https://doi.org/10.1111/j.1365-3040.2009.01940.x" TargetMode="External" /><Relationship Type="http://schemas.openxmlformats.org/officeDocument/2006/relationships/hyperlink" Id="rId110" Target="https://doi.org/10.1111/j.1365-313X.2004.02016.x" TargetMode="External" /><Relationship Type="http://schemas.openxmlformats.org/officeDocument/2006/relationships/hyperlink" Id="rId89" Target="https://doi.org/10.1111/plb.12031" TargetMode="External" /><Relationship Type="http://schemas.openxmlformats.org/officeDocument/2006/relationships/hyperlink" Id="rId75" Target="https://doi.org/10.1111/tpj.14674" TargetMode="External" /><Relationship Type="http://schemas.openxmlformats.org/officeDocument/2006/relationships/hyperlink" Id="rId103" Target="https://doi.org/10.1186/1471-2229-13-112" TargetMode="External" /><Relationship Type="http://schemas.openxmlformats.org/officeDocument/2006/relationships/hyperlink" Id="rId67" Target="https://doi.org/10.3389/fpls.2020.00147" TargetMode="External" /><Relationship Type="http://schemas.openxmlformats.org/officeDocument/2006/relationships/hyperlink" Id="rId98" Target="https://doi.org/10.3390/ijms241914425" TargetMode="External" /><Relationship Type="http://schemas.openxmlformats.org/officeDocument/2006/relationships/hyperlink" Id="rId101" Target="https://doi.org/10.3732/ajb.1100411" TargetMode="External" /><Relationship Type="http://schemas.openxmlformats.org/officeDocument/2006/relationships/hyperlink" Id="rId65" Target="https://github.com/dr-richard-barker/LunarLeaf-CFD" TargetMode="External" /><Relationship Type="http://schemas.openxmlformats.org/officeDocument/2006/relationships/hyperlink" Id="rId24" Target="https://github.com/dr-richard-barker/Photorespiration_multiomics_microgravity" TargetMode="External" /><Relationship Type="http://schemas.openxmlformats.org/officeDocument/2006/relationships/hyperlink" Id="rId23" Target="https://osdr.nasa.gov"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7/BF00386231" TargetMode="External" /><Relationship Type="http://schemas.openxmlformats.org/officeDocument/2006/relationships/hyperlink" Id="rId78" Target="https://doi.org/10.1016/j.lssr.2019.07.004" TargetMode="External" /><Relationship Type="http://schemas.openxmlformats.org/officeDocument/2006/relationships/hyperlink" Id="rId91" Target="https://doi.org/10.1016/j.lssr.2020.03.005" TargetMode="External" /><Relationship Type="http://schemas.openxmlformats.org/officeDocument/2006/relationships/hyperlink" Id="rId69" Target="https://doi.org/10.1016/j.tplants.2010.03.006" TargetMode="External" /><Relationship Type="http://schemas.openxmlformats.org/officeDocument/2006/relationships/hyperlink" Id="rId63" Target="https://doi.org/10.1042/BCJ20190858" TargetMode="External" /><Relationship Type="http://schemas.openxmlformats.org/officeDocument/2006/relationships/hyperlink" Id="rId71" Target="https://doi.org/10.1046/j.0016-8025.2003.01050.x" TargetMode="External" /><Relationship Type="http://schemas.openxmlformats.org/officeDocument/2006/relationships/hyperlink" Id="rId73" Target="https://doi.org/10.1046/j.1365-3040.2001.00668.x" TargetMode="External" /><Relationship Type="http://schemas.openxmlformats.org/officeDocument/2006/relationships/hyperlink" Id="rId82" Target="https://doi.org/10.1089/ast.2014.1210" TargetMode="External" /><Relationship Type="http://schemas.openxmlformats.org/officeDocument/2006/relationships/hyperlink" Id="rId96" Target="https://doi.org/10.1093/bioinformatics/btad547" TargetMode="External" /><Relationship Type="http://schemas.openxmlformats.org/officeDocument/2006/relationships/hyperlink" Id="rId87" Target="https://doi.org/10.1093/nar/28.1.27" TargetMode="External" /><Relationship Type="http://schemas.openxmlformats.org/officeDocument/2006/relationships/hyperlink" Id="rId94" Target="https://doi.org/10.1093/nar/gkac352" TargetMode="External" /><Relationship Type="http://schemas.openxmlformats.org/officeDocument/2006/relationships/hyperlink" Id="rId84" Target="https://doi.org/10.1093/nar/gkae1116" TargetMode="External" /><Relationship Type="http://schemas.openxmlformats.org/officeDocument/2006/relationships/hyperlink" Id="rId107" Target="https://doi.org/10.1111/j.1365-3040.2007.01710.x" TargetMode="External" /><Relationship Type="http://schemas.openxmlformats.org/officeDocument/2006/relationships/hyperlink" Id="rId112" Target="https://doi.org/10.1111/j.1365-3040.2009.01940.x" TargetMode="External" /><Relationship Type="http://schemas.openxmlformats.org/officeDocument/2006/relationships/hyperlink" Id="rId110" Target="https://doi.org/10.1111/j.1365-313X.2004.02016.x" TargetMode="External" /><Relationship Type="http://schemas.openxmlformats.org/officeDocument/2006/relationships/hyperlink" Id="rId89" Target="https://doi.org/10.1111/plb.12031" TargetMode="External" /><Relationship Type="http://schemas.openxmlformats.org/officeDocument/2006/relationships/hyperlink" Id="rId75" Target="https://doi.org/10.1111/tpj.14674" TargetMode="External" /><Relationship Type="http://schemas.openxmlformats.org/officeDocument/2006/relationships/hyperlink" Id="rId103" Target="https://doi.org/10.1186/1471-2229-13-112" TargetMode="External" /><Relationship Type="http://schemas.openxmlformats.org/officeDocument/2006/relationships/hyperlink" Id="rId67" Target="https://doi.org/10.3389/fpls.2020.00147" TargetMode="External" /><Relationship Type="http://schemas.openxmlformats.org/officeDocument/2006/relationships/hyperlink" Id="rId98" Target="https://doi.org/10.3390/ijms241914425" TargetMode="External" /><Relationship Type="http://schemas.openxmlformats.org/officeDocument/2006/relationships/hyperlink" Id="rId101" Target="https://doi.org/10.3732/ajb.1100411" TargetMode="External" /><Relationship Type="http://schemas.openxmlformats.org/officeDocument/2006/relationships/hyperlink" Id="rId65" Target="https://github.com/dr-richard-barker/LunarLeaf-CFD" TargetMode="External" /><Relationship Type="http://schemas.openxmlformats.org/officeDocument/2006/relationships/hyperlink" Id="rId24" Target="https://github.com/dr-richard-barker/Photorespiration_multiomics_microgravity" TargetMode="External" /><Relationship Type="http://schemas.openxmlformats.org/officeDocument/2006/relationships/hyperlink" Id="rId23" Target="https://osdr.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gas-transport model predicts the Arabidopsis spaceflight transcriptome, and hardware ventilation resolves true microgravity responses from sealed canister artifacts</dc:title>
  <dc:creator/>
  <cp:keywords/>
  <dcterms:created xsi:type="dcterms:W3CDTF">2026-10-02T21:25:45Z</dcterms:created>
  <dcterms:modified xsi:type="dcterms:W3CDTF">2026-10-02T21:25:45Z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