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information for: A gas-transport model predicts the</w:t>
      </w:r>
      <w:r>
        <w:t xml:space="preserve"> </w:t>
      </w:r>
      <w:r>
        <w:rPr>
          <w:i/>
          <w:iCs/>
        </w:rPr>
        <w:t xml:space="preserve">Arabidopsis</w:t>
      </w:r>
      <w:r>
        <w:t xml:space="preserve"> </w:t>
      </w:r>
      <w:r>
        <w:t xml:space="preserve">spaceflight transcriptome, and hardware ventilation resolves true microgravity responses from sealed canister artifacts</w:t>
      </w:r>
    </w:p>
    <w:p>
      <w:pPr>
        <w:pStyle w:val="Author"/>
      </w:pPr>
    </w:p>
    <w:bookmarkStart w:id="14" w:name="supplementary-figures-and-tables"/>
    <w:p>
      <w:pPr>
        <w:pStyle w:val="Heading1"/>
      </w:pPr>
      <w:r>
        <w:t xml:space="preserve">Supplementary Figures and Tables</w:t>
      </w:r>
    </w:p>
    <w:bookmarkStart w:id="12" w:name="fig:sankey"/>
    <w:p>
      <w:pPr>
        <w:pStyle w:val="CaptionedFigure"/>
      </w:pPr>
      <w:r>
        <w:drawing>
          <wp:inline>
            <wp:extent cx="5334000" cy="4446212"/>
            <wp:effectExtent b="0" l="0" r="0" t="0"/>
            <wp:docPr descr="" title="" id="10" name="Picture"/>
            <a:graphic>
              <a:graphicData uri="http://schemas.openxmlformats.org/drawingml/2006/picture">
                <pic:pic>
                  <pic:nvPicPr>
                    <pic:cNvPr descr="figS1_sankey.pdf" id="11" name="Picture"/>
                    <pic:cNvPicPr>
                      <a:picLocks noChangeArrowheads="1" noChangeAspect="1"/>
                    </pic:cNvPicPr>
                  </pic:nvPicPr>
                  <pic:blipFill>
                    <a:blip r:embed="rId9"/>
                    <a:stretch>
                      <a:fillRect/>
                    </a:stretch>
                  </pic:blipFill>
                  <pic:spPr bwMode="auto">
                    <a:xfrm>
                      <a:off x="0" y="0"/>
                      <a:ext cx="5334000" cy="4446212"/>
                    </a:xfrm>
                    <a:prstGeom prst="rect">
                      <a:avLst/>
                    </a:prstGeom>
                    <a:noFill/>
                    <a:ln w="9525">
                      <a:noFill/>
                      <a:headEnd/>
                      <a:tailEnd/>
                    </a:ln>
                  </pic:spPr>
                </pic:pic>
              </a:graphicData>
            </a:graphic>
          </wp:inline>
        </w:drawing>
      </w:r>
    </w:p>
    <w:p>
      <w:pPr>
        <w:pStyle w:val="ImageCaption"/>
      </w:pPr>
      <w:r>
        <w:rPr>
          <w:b/>
          <w:bCs/>
        </w:rPr>
        <w:t xml:space="preserve">Locus-level multi-omics flow and MapMan ontology reconstruction.</w:t>
      </w:r>
      <w:r>
        <w:t xml:space="preserve"> </w:t>
      </w:r>
      <w:r>
        <w:rPr>
          <w:b/>
          <w:bCs/>
        </w:rPr>
        <w:t xml:space="preserve">a</w:t>
      </w:r>
      <w:r>
        <w:t xml:space="preserve">, Each locus in at least one of the 28 non-whole-ontology significant pathways is placed in one transcript bin and one protein bin, and then into the pathways it belongs to. Ribbon width is proportional to locus count. The pathway column draws the ten most significant pathways; a square gives each pathway’s database in the colours of Fig. </w:t>
      </w:r>
      <w:hyperlink w:anchor="fig:paintomics">
        <w:r>
          <w:rPr>
            <w:rStyle w:val="Hyperlink"/>
          </w:rPr>
          <w:t xml:space="preserve">[fig:paintomics]</w:t>
        </w:r>
      </w:hyperlink>
      <w:r>
        <w:t xml:space="preserve">a.</w:t>
      </w:r>
      <w:r>
        <w:t xml:space="preserve"> </w:t>
      </w:r>
      <w:r>
        <w:rPr>
          <w:b/>
          <w:bCs/>
        </w:rPr>
        <w:t xml:space="preserve">b</w:t>
      </w:r>
      <w:r>
        <w:t xml:space="preserve">, Reconstructed MapMan diagram membership compared against the feature count PaintOmics reported for each diagram (log scale). Nine of the thirteen diagrams agree to within three features.</w:t>
      </w:r>
    </w:p>
    <w:bookmarkEnd w:id="12"/>
    <w:bookmarkStart w:id="13" w:name="tab:s1_comparison"/>
    <w:p>
      <w:pPr>
        <w:pStyle w:val="TableCaption"/>
      </w:pPr>
      <w:r>
        <w:t xml:space="preserve">Cross-hardware pathway classification: comparison of the key pathways enriched in sealed BRIC-LED (OSD-522) against ventilated ABRS (OSD-7).</w:t>
      </w:r>
    </w:p>
    <w:tbl>
      <w:tblPr>
        <w:tblStyle w:val="Table"/>
        <w:tblW w:type="auto" w:w="0"/>
        <w:tblLook w:firstRow="1" w:lastRow="0" w:firstColumn="0" w:lastColumn="0" w:noHBand="0" w:noVBand="0" w:val="0020"/>
        <w:tblCaption w:val="Cross-hardware pathway classification: comparison of the key pathways enriched in sealed BRIC-LED (OSD-522) against ventilated ABRS (OSD-7)."/>
      </w:tblPr>
      <w:tblGrid>
        <w:gridCol w:w="1320"/>
        <w:gridCol w:w="1320"/>
        <w:gridCol w:w="1320"/>
        <w:gridCol w:w="1320"/>
        <w:gridCol w:w="1320"/>
        <w:gridCol w:w="1320"/>
      </w:tblGrid>
      <w:tr>
        <w:trPr>
          <w:tblHeader w:val="on"/>
        </w:trPr>
        <w:tc>
          <w:tcPr/>
          <w:p>
            <w:pPr>
              <w:pStyle w:val="Compact"/>
              <w:jc w:val="left"/>
            </w:pPr>
            <w:r>
              <w:t xml:space="preserve">DB</w:t>
            </w:r>
          </w:p>
        </w:tc>
        <w:tc>
          <w:tcPr/>
          <w:p>
            <w:pPr>
              <w:pStyle w:val="Compact"/>
              <w:jc w:val="left"/>
            </w:pPr>
            <w:r>
              <w:t xml:space="preserve">Pathway</w:t>
            </w:r>
          </w:p>
        </w:tc>
        <w:tc>
          <w:tcPr/>
          <w:p>
            <w:pPr>
              <w:pStyle w:val="Compact"/>
              <w:jc w:val="right"/>
            </w:pPr>
            <w:r>
              <w:t xml:space="preserve">BRIC-LED</w:t>
            </w:r>
            <w:r>
              <w:t xml:space="preserve"> </w:t>
            </w:r>
            <m:oMath>
              <m:r>
                <m:t>p</m:t>
              </m:r>
            </m:oMath>
          </w:p>
        </w:tc>
        <w:tc>
          <w:tcPr/>
          <w:p>
            <w:pPr>
              <w:pStyle w:val="Compact"/>
              <w:jc w:val="right"/>
            </w:pPr>
            <w:r>
              <w:t xml:space="preserve">ABRS</w:t>
            </w:r>
            <w:r>
              <w:t xml:space="preserve"> </w:t>
            </w:r>
            <m:oMath>
              <m:r>
                <m:t>p</m:t>
              </m:r>
            </m:oMath>
          </w:p>
        </w:tc>
        <w:tc>
          <w:tcPr/>
          <w:p>
            <w:pPr>
              <w:pStyle w:val="Compact"/>
              <w:jc w:val="left"/>
            </w:pPr>
            <w:r>
              <w:t xml:space="preserve">ABRS Dir</w:t>
            </w:r>
          </w:p>
        </w:tc>
        <w:tc>
          <w:tcPr/>
          <w:p>
            <w:pPr>
              <w:pStyle w:val="Compact"/>
              <w:jc w:val="left"/>
            </w:pPr>
            <w:r>
              <w:t xml:space="preserve">Classification</w:t>
            </w:r>
          </w:p>
        </w:tc>
      </w:tr>
      <w:tr>
        <w:tc>
          <w:tcPr/>
          <w:p>
            <w:pPr>
              <w:pStyle w:val="Compact"/>
              <w:jc w:val="left"/>
            </w:pPr>
            <w:r>
              <w:t xml:space="preserve">K</w:t>
            </w:r>
          </w:p>
        </w:tc>
        <w:tc>
          <w:tcPr/>
          <w:p>
            <w:pPr>
              <w:pStyle w:val="Compact"/>
              <w:jc w:val="left"/>
            </w:pPr>
            <w:r>
              <w:t xml:space="preserve">Protein processing in ER</w:t>
            </w:r>
          </w:p>
        </w:tc>
        <w:tc>
          <w:tcPr/>
          <w:p>
            <w:pPr>
              <w:pStyle w:val="Compact"/>
              <w:jc w:val="right"/>
            </w:pPr>
            <m:oMath>
              <m:r>
                <m:t>8.65</m:t>
              </m:r>
              <m:r>
                <m:rPr>
                  <m:sty m:val="p"/>
                </m:rPr>
                <m:t>×</m:t>
              </m:r>
              <m:sSup>
                <m:e>
                  <m:r>
                    <m:t>10</m:t>
                  </m:r>
                </m:e>
                <m:sup>
                  <m:r>
                    <m:rPr>
                      <m:sty m:val="p"/>
                    </m:rPr>
                    <m:t>−</m:t>
                  </m:r>
                  <m:r>
                    <m:t>9</m:t>
                  </m:r>
                </m:sup>
              </m:sSup>
            </m:oMath>
            <w:r>
              <w:t xml:space="preserve">​</w:t>
            </w:r>
          </w:p>
        </w:tc>
        <w:tc>
          <w:tcPr/>
          <w:p>
            <w:pPr>
              <w:pStyle w:val="Compact"/>
              <w:jc w:val="right"/>
            </w:pPr>
            <w:r>
              <w:t xml:space="preserve">0.9456</w:t>
            </w:r>
          </w:p>
        </w:tc>
        <w:tc>
          <w:tcPr/>
          <w:p>
            <w:pPr>
              <w:pStyle w:val="Compact"/>
              <w:jc w:val="left"/>
            </w:pPr>
            <w:r>
              <w:t xml:space="preserve">Flat</w:t>
            </w:r>
          </w:p>
        </w:tc>
        <w:tc>
          <w:tcPr/>
          <w:p>
            <w:pPr>
              <w:pStyle w:val="Compact"/>
              <w:jc w:val="left"/>
            </w:pPr>
            <w:r>
              <w:t xml:space="preserve">Hardware artifact (volatiles / CO</w:t>
            </w:r>
            <m:oMath>
              <m:sSub>
                <m:e>
                  <m:r>
                    <m:t>​</m:t>
                  </m:r>
                </m:e>
                <m:sub>
                  <m:r>
                    <m:t>2</m:t>
                  </m:r>
                </m:sub>
              </m:sSub>
            </m:oMath>
            <w:r>
              <w:t xml:space="preserve">)</w:t>
            </w:r>
          </w:p>
        </w:tc>
      </w:tr>
      <w:tr>
        <w:tc>
          <w:tcPr/>
          <w:p>
            <w:pPr>
              <w:pStyle w:val="Compact"/>
              <w:jc w:val="left"/>
            </w:pPr>
            <w:r>
              <w:t xml:space="preserve">M</w:t>
            </w:r>
          </w:p>
        </w:tc>
        <w:tc>
          <w:tcPr/>
          <w:p>
            <w:pPr>
              <w:pStyle w:val="Compact"/>
              <w:jc w:val="left"/>
            </w:pPr>
            <w:r>
              <w:t xml:space="preserve">Cellular response overview</w:t>
            </w:r>
          </w:p>
        </w:tc>
        <w:tc>
          <w:tcPr/>
          <w:p>
            <w:pPr>
              <w:pStyle w:val="Compact"/>
              <w:jc w:val="right"/>
            </w:pPr>
            <m:oMath>
              <m:r>
                <m:t>2.33</m:t>
              </m:r>
              <m:r>
                <m:rPr>
                  <m:sty m:val="p"/>
                </m:rPr>
                <m:t>×</m:t>
              </m:r>
              <m:sSup>
                <m:e>
                  <m:r>
                    <m:t>10</m:t>
                  </m:r>
                </m:e>
                <m:sup>
                  <m:r>
                    <m:rPr>
                      <m:sty m:val="p"/>
                    </m:rPr>
                    <m:t>−</m:t>
                  </m:r>
                  <m:r>
                    <m:t>6</m:t>
                  </m:r>
                </m:sup>
              </m:sSup>
            </m:oMath>
            <w:r>
              <w:t xml:space="preserve">​</w:t>
            </w:r>
          </w:p>
        </w:tc>
        <w:tc>
          <w:tcPr/>
          <w:p>
            <w:pPr>
              <w:pStyle w:val="Compact"/>
              <w:jc w:val="right"/>
            </w:pPr>
            <w:r>
              <w:t xml:space="preserve">0.6111</w:t>
            </w:r>
          </w:p>
        </w:tc>
        <w:tc>
          <w:tcPr/>
          <w:p>
            <w:pPr>
              <w:pStyle w:val="Compact"/>
              <w:jc w:val="left"/>
            </w:pPr>
            <w:r>
              <w:t xml:space="preserve">Down</w:t>
            </w:r>
          </w:p>
        </w:tc>
        <w:tc>
          <w:tcPr/>
          <w:p>
            <w:pPr>
              <w:pStyle w:val="Compact"/>
              <w:jc w:val="left"/>
            </w:pPr>
            <w:r>
              <w:t xml:space="preserve">Hardware artifact</w:t>
            </w:r>
          </w:p>
        </w:tc>
      </w:tr>
      <w:tr>
        <w:tc>
          <w:tcPr/>
          <w:p>
            <w:pPr>
              <w:pStyle w:val="Compact"/>
              <w:jc w:val="left"/>
            </w:pPr>
            <w:r>
              <w:t xml:space="preserve">M</w:t>
            </w:r>
          </w:p>
        </w:tc>
        <w:tc>
          <w:tcPr/>
          <w:p>
            <w:pPr>
              <w:pStyle w:val="Compact"/>
              <w:jc w:val="left"/>
            </w:pPr>
            <w:r>
              <w:t xml:space="preserve">Biotic Stress</w:t>
            </w:r>
          </w:p>
        </w:tc>
        <w:tc>
          <w:tcPr/>
          <w:p>
            <w:pPr>
              <w:pStyle w:val="Compact"/>
              <w:jc w:val="right"/>
            </w:pPr>
            <m:oMath>
              <m:r>
                <m:t>2.10</m:t>
              </m:r>
              <m:r>
                <m:rPr>
                  <m:sty m:val="p"/>
                </m:rPr>
                <m:t>×</m:t>
              </m:r>
              <m:sSup>
                <m:e>
                  <m:r>
                    <m:t>10</m:t>
                  </m:r>
                </m:e>
                <m:sup>
                  <m:r>
                    <m:rPr>
                      <m:sty m:val="p"/>
                    </m:rPr>
                    <m:t>−</m:t>
                  </m:r>
                  <m:r>
                    <m:t>4</m:t>
                  </m:r>
                </m:sup>
              </m:sSup>
            </m:oMath>
            <w:r>
              <w:t xml:space="preserve">​</w:t>
            </w:r>
          </w:p>
        </w:tc>
        <w:tc>
          <w:tcPr/>
          <w:p>
            <w:pPr>
              <w:pStyle w:val="Compact"/>
              <w:jc w:val="right"/>
            </w:pPr>
            <w:r>
              <w:t xml:space="preserve">0.0151</w:t>
            </w:r>
          </w:p>
        </w:tc>
        <w:tc>
          <w:tcPr/>
          <w:p>
            <w:pPr>
              <w:pStyle w:val="Compact"/>
              <w:jc w:val="left"/>
            </w:pPr>
            <w:r>
              <w:t xml:space="preserve">Up</w:t>
            </w:r>
          </w:p>
        </w:tc>
        <w:tc>
          <w:tcPr/>
          <w:p>
            <w:pPr>
              <w:pStyle w:val="Compact"/>
              <w:jc w:val="left"/>
            </w:pPr>
            <w:r>
              <w:rPr>
                <w:b/>
                <w:bCs/>
              </w:rPr>
              <w:t xml:space="preserve">Conserved microgravity response</w:t>
            </w:r>
          </w:p>
        </w:tc>
      </w:tr>
      <w:tr>
        <w:tc>
          <w:tcPr/>
          <w:p>
            <w:pPr>
              <w:pStyle w:val="Compact"/>
              <w:jc w:val="left"/>
            </w:pPr>
            <w:r>
              <w:t xml:space="preserve">K</w:t>
            </w:r>
          </w:p>
        </w:tc>
        <w:tc>
          <w:tcPr/>
          <w:p>
            <w:pPr>
              <w:pStyle w:val="Compact"/>
              <w:jc w:val="left"/>
            </w:pPr>
            <w:r>
              <w:t xml:space="preserve">Glucosinolate biosynthesis</w:t>
            </w:r>
          </w:p>
        </w:tc>
        <w:tc>
          <w:tcPr/>
          <w:p>
            <w:pPr>
              <w:pStyle w:val="Compact"/>
              <w:jc w:val="right"/>
            </w:pPr>
            <m:oMath>
              <m:r>
                <m:t>6.02</m:t>
              </m:r>
              <m:r>
                <m:rPr>
                  <m:sty m:val="p"/>
                </m:rPr>
                <m:t>×</m:t>
              </m:r>
              <m:sSup>
                <m:e>
                  <m:r>
                    <m:t>10</m:t>
                  </m:r>
                </m:e>
                <m:sup>
                  <m:r>
                    <m:rPr>
                      <m:sty m:val="p"/>
                    </m:rPr>
                    <m:t>−</m:t>
                  </m:r>
                  <m:r>
                    <m:t>4</m:t>
                  </m:r>
                </m:sup>
              </m:sSup>
            </m:oMath>
            <w:r>
              <w:t xml:space="preserve">​</w:t>
            </w:r>
          </w:p>
        </w:tc>
        <w:tc>
          <w:tcPr/>
          <w:p>
            <w:pPr>
              <w:pStyle w:val="Compact"/>
              <w:jc w:val="right"/>
            </w:pPr>
            <w:r>
              <w:t xml:space="preserve">0.8453</w:t>
            </w:r>
          </w:p>
        </w:tc>
        <w:tc>
          <w:tcPr/>
          <w:p>
            <w:pPr>
              <w:pStyle w:val="Compact"/>
              <w:jc w:val="left"/>
            </w:pPr>
            <w:r>
              <w:t xml:space="preserve">Up</w:t>
            </w:r>
          </w:p>
        </w:tc>
        <w:tc>
          <w:tcPr/>
          <w:p>
            <w:pPr>
              <w:pStyle w:val="Compact"/>
              <w:jc w:val="left"/>
            </w:pPr>
            <w:r>
              <w:t xml:space="preserve">Hardware artifact</w:t>
            </w:r>
          </w:p>
        </w:tc>
      </w:tr>
      <w:tr>
        <w:tc>
          <w:tcPr/>
          <w:p>
            <w:pPr>
              <w:pStyle w:val="Compact"/>
              <w:jc w:val="left"/>
            </w:pPr>
            <w:r>
              <w:t xml:space="preserve">K</w:t>
            </w:r>
          </w:p>
        </w:tc>
        <w:tc>
          <w:tcPr/>
          <w:p>
            <w:pPr>
              <w:pStyle w:val="Compact"/>
              <w:jc w:val="left"/>
            </w:pPr>
            <w:r>
              <w:t xml:space="preserve">Plant hormone signal transduction</w:t>
            </w:r>
          </w:p>
        </w:tc>
        <w:tc>
          <w:tcPr/>
          <w:p>
            <w:pPr>
              <w:pStyle w:val="Compact"/>
              <w:jc w:val="right"/>
            </w:pPr>
            <w:r>
              <w:t xml:space="preserve">0.0011</w:t>
            </w:r>
          </w:p>
        </w:tc>
        <w:tc>
          <w:tcPr/>
          <w:p>
            <w:pPr>
              <w:pStyle w:val="Compact"/>
              <w:jc w:val="right"/>
            </w:pPr>
            <w:r>
              <w:t xml:space="preserve">0.0516</w:t>
            </w:r>
          </w:p>
        </w:tc>
        <w:tc>
          <w:tcPr/>
          <w:p>
            <w:pPr>
              <w:pStyle w:val="Compact"/>
              <w:jc w:val="left"/>
            </w:pPr>
            <w:r>
              <w:t xml:space="preserve">Up</w:t>
            </w:r>
          </w:p>
        </w:tc>
        <w:tc>
          <w:tcPr/>
          <w:p>
            <w:pPr>
              <w:pStyle w:val="Compact"/>
              <w:jc w:val="left"/>
            </w:pPr>
            <w:r>
              <w:t xml:space="preserve">Borderline conserved</w:t>
            </w:r>
          </w:p>
        </w:tc>
      </w:tr>
      <w:tr>
        <w:tc>
          <w:tcPr/>
          <w:p>
            <w:pPr>
              <w:pStyle w:val="Compact"/>
              <w:jc w:val="left"/>
            </w:pPr>
            <w:r>
              <w:t xml:space="preserve">K</w:t>
            </w:r>
          </w:p>
        </w:tc>
        <w:tc>
          <w:tcPr/>
          <w:p>
            <w:pPr>
              <w:pStyle w:val="Compact"/>
              <w:jc w:val="left"/>
            </w:pPr>
            <w:r>
              <w:t xml:space="preserve">Photosynthesis</w:t>
            </w:r>
          </w:p>
        </w:tc>
        <w:tc>
          <w:tcPr/>
          <w:p>
            <w:pPr>
              <w:pStyle w:val="Compact"/>
              <w:jc w:val="right"/>
            </w:pPr>
            <w:r>
              <w:t xml:space="preserve">0.0080</w:t>
            </w:r>
          </w:p>
        </w:tc>
        <w:tc>
          <w:tcPr/>
          <w:p>
            <w:pPr>
              <w:pStyle w:val="Compact"/>
              <w:jc w:val="right"/>
            </w:pPr>
            <w:r>
              <w:t xml:space="preserve">0.8512</w:t>
            </w:r>
          </w:p>
        </w:tc>
        <w:tc>
          <w:tcPr/>
          <w:p>
            <w:pPr>
              <w:pStyle w:val="Compact"/>
              <w:jc w:val="left"/>
            </w:pPr>
            <w:r>
              <w:t xml:space="preserve">Down</w:t>
            </w:r>
          </w:p>
        </w:tc>
        <w:tc>
          <w:tcPr/>
          <w:p>
            <w:pPr>
              <w:pStyle w:val="Compact"/>
              <w:jc w:val="left"/>
            </w:pPr>
            <w:r>
              <w:t xml:space="preserve">Hardware-modulated</w:t>
            </w:r>
          </w:p>
        </w:tc>
      </w:tr>
      <w:tr>
        <w:tc>
          <w:tcPr/>
          <w:p>
            <w:pPr>
              <w:pStyle w:val="Compact"/>
              <w:jc w:val="left"/>
            </w:pPr>
            <w:r>
              <w:t xml:space="preserve">K</w:t>
            </w:r>
          </w:p>
        </w:tc>
        <w:tc>
          <w:tcPr/>
          <w:p>
            <w:pPr>
              <w:pStyle w:val="Compact"/>
              <w:jc w:val="left"/>
            </w:pPr>
            <w:r>
              <w:t xml:space="preserve">MAPK signaling pathway</w:t>
            </w:r>
          </w:p>
        </w:tc>
        <w:tc>
          <w:tcPr/>
          <w:p>
            <w:pPr>
              <w:pStyle w:val="Compact"/>
              <w:jc w:val="right"/>
            </w:pPr>
            <w:r>
              <w:t xml:space="preserve">0.0094</w:t>
            </w:r>
          </w:p>
        </w:tc>
        <w:tc>
          <w:tcPr/>
          <w:p>
            <w:pPr>
              <w:pStyle w:val="Compact"/>
              <w:jc w:val="right"/>
            </w:pPr>
            <w:r>
              <w:t xml:space="preserve">0.2322</w:t>
            </w:r>
          </w:p>
        </w:tc>
        <w:tc>
          <w:tcPr/>
          <w:p>
            <w:pPr>
              <w:pStyle w:val="Compact"/>
              <w:jc w:val="left"/>
            </w:pPr>
            <w:r>
              <w:t xml:space="preserve">Up</w:t>
            </w:r>
          </w:p>
        </w:tc>
        <w:tc>
          <w:tcPr/>
          <w:p>
            <w:pPr>
              <w:pStyle w:val="Compact"/>
              <w:jc w:val="left"/>
            </w:pPr>
            <w:r>
              <w:t xml:space="preserve">Hardware-modulated</w:t>
            </w:r>
          </w:p>
        </w:tc>
      </w:tr>
      <w:tr>
        <w:tc>
          <w:tcPr/>
          <w:p>
            <w:pPr>
              <w:pStyle w:val="Compact"/>
              <w:jc w:val="left"/>
            </w:pPr>
            <w:r>
              <w:t xml:space="preserve">K</w:t>
            </w:r>
          </w:p>
        </w:tc>
        <w:tc>
          <w:tcPr/>
          <w:p>
            <w:pPr>
              <w:pStyle w:val="Compact"/>
              <w:jc w:val="left"/>
            </w:pPr>
            <w:r>
              <w:t xml:space="preserve">Starch and sucrose metabolism</w:t>
            </w:r>
          </w:p>
        </w:tc>
        <w:tc>
          <w:tcPr/>
          <w:p>
            <w:pPr>
              <w:pStyle w:val="Compact"/>
              <w:jc w:val="right"/>
            </w:pPr>
            <w:r>
              <w:t xml:space="preserve">0.0186</w:t>
            </w:r>
          </w:p>
        </w:tc>
        <w:tc>
          <w:tcPr/>
          <w:p>
            <w:pPr>
              <w:pStyle w:val="Compact"/>
              <w:jc w:val="right"/>
            </w:pPr>
            <w:r>
              <w:t xml:space="preserve">0.5428</w:t>
            </w:r>
          </w:p>
        </w:tc>
        <w:tc>
          <w:tcPr/>
          <w:p>
            <w:pPr>
              <w:pStyle w:val="Compact"/>
              <w:jc w:val="left"/>
            </w:pPr>
            <w:r>
              <w:t xml:space="preserve">Down</w:t>
            </w:r>
          </w:p>
        </w:tc>
        <w:tc>
          <w:tcPr/>
          <w:p>
            <w:pPr>
              <w:pStyle w:val="Compact"/>
              <w:jc w:val="left"/>
            </w:pPr>
            <w:r>
              <w:t xml:space="preserve">Hardware-modulated</w:t>
            </w:r>
          </w:p>
        </w:tc>
      </w:tr>
      <w:tr>
        <w:tc>
          <w:tcPr/>
          <w:p>
            <w:pPr>
              <w:pStyle w:val="Compact"/>
              <w:jc w:val="left"/>
            </w:pPr>
            <w:r>
              <w:t xml:space="preserve">K</w:t>
            </w:r>
          </w:p>
        </w:tc>
        <w:tc>
          <w:tcPr/>
          <w:p>
            <w:pPr>
              <w:pStyle w:val="Compact"/>
              <w:jc w:val="left"/>
            </w:pPr>
            <w:r>
              <w:t xml:space="preserve">Photosynthesis - antenna proteins</w:t>
            </w:r>
          </w:p>
        </w:tc>
        <w:tc>
          <w:tcPr/>
          <w:p>
            <w:pPr>
              <w:pStyle w:val="Compact"/>
              <w:jc w:val="right"/>
            </w:pPr>
            <w:r>
              <w:t xml:space="preserve">0.0217</w:t>
            </w:r>
          </w:p>
        </w:tc>
        <w:tc>
          <w:tcPr/>
          <w:p>
            <w:pPr>
              <w:pStyle w:val="Compact"/>
              <w:jc w:val="right"/>
            </w:pPr>
            <w:r>
              <w:t xml:space="preserve">1.0000</w:t>
            </w:r>
          </w:p>
        </w:tc>
        <w:tc>
          <w:tcPr/>
          <w:p>
            <w:pPr>
              <w:pStyle w:val="Compact"/>
              <w:jc w:val="left"/>
            </w:pPr>
            <w:r>
              <w:t xml:space="preserve">Down</w:t>
            </w:r>
          </w:p>
        </w:tc>
        <w:tc>
          <w:tcPr/>
          <w:p>
            <w:pPr>
              <w:pStyle w:val="Compact"/>
              <w:jc w:val="left"/>
            </w:pPr>
            <w:r>
              <w:t xml:space="preserve">Hardware-modulated</w:t>
            </w:r>
          </w:p>
        </w:tc>
      </w:tr>
      <w:tr>
        <w:tc>
          <w:tcPr/>
          <w:p>
            <w:pPr>
              <w:pStyle w:val="Compact"/>
              <w:jc w:val="left"/>
            </w:pPr>
            <w:r>
              <w:t xml:space="preserve">M</w:t>
            </w:r>
          </w:p>
        </w:tc>
        <w:tc>
          <w:tcPr/>
          <w:p>
            <w:pPr>
              <w:pStyle w:val="Compact"/>
              <w:jc w:val="left"/>
            </w:pPr>
            <w:r>
              <w:t xml:space="preserve">Raffinose metabolism</w:t>
            </w:r>
          </w:p>
        </w:tc>
        <w:tc>
          <w:tcPr/>
          <w:p>
            <w:pPr>
              <w:pStyle w:val="Compact"/>
              <w:jc w:val="right"/>
            </w:pPr>
            <w:r>
              <w:t xml:space="preserve">0.0274</w:t>
            </w:r>
          </w:p>
        </w:tc>
        <w:tc>
          <w:tcPr/>
          <w:p>
            <w:pPr>
              <w:pStyle w:val="Compact"/>
              <w:jc w:val="right"/>
            </w:pPr>
            <w:r>
              <w:t xml:space="preserve">0.0081</w:t>
            </w:r>
          </w:p>
        </w:tc>
        <w:tc>
          <w:tcPr/>
          <w:p>
            <w:pPr>
              <w:pStyle w:val="Compact"/>
              <w:jc w:val="left"/>
            </w:pPr>
            <w:r>
              <w:t xml:space="preserve">Up</w:t>
            </w:r>
          </w:p>
        </w:tc>
        <w:tc>
          <w:tcPr/>
          <w:p>
            <w:pPr>
              <w:pStyle w:val="Compact"/>
              <w:jc w:val="left"/>
            </w:pPr>
            <w:r>
              <w:rPr>
                <w:b/>
                <w:bCs/>
              </w:rPr>
              <w:t xml:space="preserve">Conserved microgravity response</w:t>
            </w:r>
          </w:p>
        </w:tc>
      </w:tr>
      <w:tr>
        <w:tc>
          <w:tcPr/>
          <w:p>
            <w:pPr>
              <w:pStyle w:val="Compact"/>
              <w:jc w:val="left"/>
            </w:pPr>
            <w:r>
              <w:t xml:space="preserve">K</w:t>
            </w:r>
          </w:p>
        </w:tc>
        <w:tc>
          <w:tcPr/>
          <w:p>
            <w:pPr>
              <w:pStyle w:val="Compact"/>
              <w:jc w:val="left"/>
            </w:pPr>
            <w:r>
              <w:t xml:space="preserve">Carbon fixation by Calvin cycle</w:t>
            </w:r>
          </w:p>
        </w:tc>
        <w:tc>
          <w:tcPr/>
          <w:p>
            <w:pPr>
              <w:pStyle w:val="Compact"/>
              <w:jc w:val="right"/>
            </w:pPr>
            <w:r>
              <w:t xml:space="preserve">0.1420</w:t>
            </w:r>
          </w:p>
        </w:tc>
        <w:tc>
          <w:tcPr/>
          <w:p>
            <w:pPr>
              <w:pStyle w:val="Compact"/>
              <w:jc w:val="right"/>
            </w:pPr>
            <w:r>
              <w:t xml:space="preserve">0.0074</w:t>
            </w:r>
          </w:p>
        </w:tc>
        <w:tc>
          <w:tcPr/>
          <w:p>
            <w:pPr>
              <w:pStyle w:val="Compact"/>
              <w:jc w:val="left"/>
            </w:pPr>
            <w:r>
              <w:t xml:space="preserve">Up</w:t>
            </w:r>
          </w:p>
        </w:tc>
        <w:tc>
          <w:tcPr/>
          <w:p>
            <w:pPr>
              <w:pStyle w:val="Compact"/>
              <w:jc w:val="left"/>
            </w:pPr>
            <w:r>
              <w:t xml:space="preserve">ABRS-specific (CO</w:t>
            </w:r>
            <m:oMath>
              <m:sSub>
                <m:e>
                  <m:r>
                    <m:t>​</m:t>
                  </m:r>
                </m:e>
                <m:sub>
                  <m:r>
                    <m:t>2</m:t>
                  </m:r>
                </m:sub>
              </m:sSub>
            </m:oMath>
            <w:r>
              <w:t xml:space="preserve"> </w:t>
            </w:r>
            <w:r>
              <w:t xml:space="preserve">saturated)</w:t>
            </w:r>
          </w:p>
        </w:tc>
      </w:tr>
      <w:tr>
        <w:tc>
          <w:tcPr/>
          <w:p>
            <w:pPr>
              <w:pStyle w:val="Compact"/>
              <w:jc w:val="left"/>
            </w:pPr>
            <w:r>
              <w:t xml:space="preserve">K</w:t>
            </w:r>
          </w:p>
        </w:tc>
        <w:tc>
          <w:tcPr/>
          <w:p>
            <w:pPr>
              <w:pStyle w:val="Compact"/>
              <w:jc w:val="left"/>
            </w:pPr>
            <w:r>
              <w:t xml:space="preserve">Cysteine and methionine metabolism</w:t>
            </w:r>
          </w:p>
        </w:tc>
        <w:tc>
          <w:tcPr/>
          <w:p>
            <w:pPr>
              <w:pStyle w:val="Compact"/>
              <w:jc w:val="right"/>
            </w:pPr>
            <w:r>
              <w:t xml:space="preserve">0.2110</w:t>
            </w:r>
          </w:p>
        </w:tc>
        <w:tc>
          <w:tcPr/>
          <w:p>
            <w:pPr>
              <w:pStyle w:val="Compact"/>
              <w:jc w:val="right"/>
            </w:pPr>
            <w:r>
              <w:t xml:space="preserve">0.0015</w:t>
            </w:r>
          </w:p>
        </w:tc>
        <w:tc>
          <w:tcPr/>
          <w:p>
            <w:pPr>
              <w:pStyle w:val="Compact"/>
              <w:jc w:val="left"/>
            </w:pPr>
            <w:r>
              <w:t xml:space="preserve">Down</w:t>
            </w:r>
          </w:p>
        </w:tc>
        <w:tc>
          <w:tcPr/>
          <w:p>
            <w:pPr>
              <w:pStyle w:val="Compact"/>
              <w:jc w:val="left"/>
            </w:pPr>
            <w:r>
              <w:t xml:space="preserve">ABRS-specific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A gas-transport model predicts the Arabidopsis spaceflight transcriptome, and hardware ventilation resolves true microgravity responses from sealed canister artifacts</dc:title>
  <dc:creator/>
  <cp:keywords/>
  <dcterms:created xsi:type="dcterms:W3CDTF">2026-10-02T21:25:45Z</dcterms:created>
  <dcterms:modified xsi:type="dcterms:W3CDTF">2026-10-02T21:25:45Z</dcterms:modified>
</cp:coreProperties>
</file>

<file path=docProps/custom.xml><?xml version="1.0" encoding="utf-8"?>
<Properties xmlns="http://schemas.openxmlformats.org/officeDocument/2006/custom-properties" xmlns:vt="http://schemas.openxmlformats.org/officeDocument/2006/docPropsVTypes"/>
</file>