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3.png" ContentType="image/png"/>
  <Override PartName="/word/media/rId30.png" ContentType="image/png"/>
  <Override PartName="/word/media/rId34.png" ContentType="image/png"/>
  <Override PartName="/word/media/rId40.png" ContentType="image/png"/>
  <Override PartName="/word/media/rId23.png" ContentType="image/png"/>
  <Override PartName="/word/media/rId2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c38bdf867d37ddadf5101824e611702c4570a3c"/>
    <w:p>
      <w:pPr>
        <w:pStyle w:val="Heading1"/>
      </w:pPr>
      <w:r>
        <w:rPr>
          <w:b/>
          <w:bCs/>
        </w:rPr>
        <w:t xml:space="preserve">Transcriptomic Profiling of Dwarf Tomato (</w:t>
      </w:r>
      <w:r>
        <w:rPr>
          <w:b/>
          <w:bCs/>
          <w:i/>
          <w:iCs/>
        </w:rPr>
        <w:t xml:space="preserve">Solanum lycopersicum</w:t>
      </w:r>
      <w:r>
        <w:rPr>
          <w:b/>
          <w:bCs/>
        </w:rPr>
        <w:t xml:space="preserve"> </w:t>
      </w:r>
      <w:r>
        <w:rPr>
          <w:b/>
          <w:bCs/>
        </w:rPr>
        <w:t xml:space="preserve">cv. Red Robin) in Spaceflight: Evaluating the Main Effects of Microgravity Under Red and Blue Light Covariates</w:t>
      </w:r>
    </w:p>
    <w:bookmarkStart w:id="9" w:name="abstract"/>
    <w:p>
      <w:pPr>
        <w:pStyle w:val="Heading2"/>
      </w:pPr>
      <w:r>
        <w:rPr>
          <w:b/>
          <w:bCs/>
        </w:rPr>
        <w:t xml:space="preserve">Abstract</w:t>
      </w:r>
    </w:p>
    <w:p>
      <w:pPr>
        <w:pStyle w:val="FirstParagraph"/>
      </w:pPr>
      <w:r>
        <w:rPr>
          <w:b/>
          <w:bCs/>
        </w:rPr>
        <w:t xml:space="preserve">Background:</w:t>
      </w:r>
      <w:r>
        <w:t xml:space="preserve"> </w:t>
      </w:r>
      <w:r>
        <w:t xml:space="preserve">Cultivating nutrient-dense crops in microgravity is a critical requirement for long-duration human space exploration. The VEG-05 experiment investigated the growth and physiological responses of the dwarf tomato (</w:t>
      </w:r>
      <w:r>
        <w:rPr>
          <w:i/>
          <w:iCs/>
        </w:rPr>
        <w:t xml:space="preserve">Solanum lycopersicum</w:t>
      </w:r>
      <w:r>
        <w:t xml:space="preserve"> </w:t>
      </w:r>
      <w:r>
        <w:t xml:space="preserve">cv. Red Robin) aboard the International Space Station (ISS) under varying light spectra. While the phenotypic effects of spaceflight and light quality on crop yield have been documented, the underlying molecular adaptations remain incompletely understood.</w:t>
      </w:r>
    </w:p>
    <w:p>
      <w:pPr>
        <w:pStyle w:val="BodyText"/>
      </w:pPr>
      <w:r>
        <w:rPr>
          <w:b/>
          <w:bCs/>
        </w:rPr>
        <w:t xml:space="preserve">Methods:</w:t>
      </w:r>
      <w:r>
        <w:t xml:space="preserve"> </w:t>
      </w:r>
      <w:r>
        <w:t xml:space="preserve">Here, we performed a comprehensive RNA-sequencing (RNA-seq) analysis using data obtained from the NASA Open Science Data Repository (OSD-767). We evaluated differential gene expression in leaf (n=21) and adventitious root (n=15) tissues between ISS spaceflight samples and ground controls. Red and blue light treatments were modeled as covariates to isolate the main effects of the spaceflight environment. Data processing followed an adapted NASA GeneLab RNAseq Consensus Pipeline (GL-DPPD-7101-G), utilizing the</w:t>
      </w:r>
      <w:r>
        <w:t xml:space="preserve"> </w:t>
      </w:r>
      <w:r>
        <w:rPr>
          <w:i/>
          <w:iCs/>
        </w:rPr>
        <w:t xml:space="preserve">Solanum lycopersicum</w:t>
      </w:r>
      <w:r>
        <w:t xml:space="preserve"> </w:t>
      </w:r>
      <w:r>
        <w:t xml:space="preserve">SL3.0 reference genome.</w:t>
      </w:r>
    </w:p>
    <w:p>
      <w:pPr>
        <w:pStyle w:val="BodyText"/>
      </w:pPr>
      <w:r>
        <w:rPr>
          <w:b/>
          <w:bCs/>
        </w:rPr>
        <w:t xml:space="preserve">Results:</w:t>
      </w:r>
      <w:r>
        <w:t xml:space="preserve"> </w:t>
      </w:r>
      <w:r>
        <w:t xml:space="preserve">Modelling light spectrum as a covariate, spaceflight produced a pervasive transcriptomic response in both organs. Leaf tissue contained 2,132 significant DEGs (1,032 up, 1,100 down) and adventitious root tissue 2,582 (1,706 up, 876 down), with roots showing both a larger and a more strongly up-regulated response. Functional enrichment converged on oxidative-stress management and specialised metabolism: root up-regulated genes were dominated by</w:t>
      </w:r>
      <w:r>
        <w:t xml:space="preserve"> </w:t>
      </w:r>
      <w:r>
        <w:t xml:space="preserve">“response to oxidative stress”</w:t>
      </w:r>
      <w:r>
        <w:t xml:space="preserve"> </w:t>
      </w:r>
      <w:r>
        <w:t xml:space="preserve">(GO BP, FDR ≈ 6.5×10⁻¹³), hydrogen-peroxide catabolism and ethylene signalling, and by KEGG phenylpropanoid (FDR ≈ 4×10⁻³⁰), flavonoid and stilbenoid biosynthesis together with glutathione metabolism. Leaf up-regulated genes were enriched for heme/iron binding and monooxygenase activity, phenylpropanoid and flavonoid biosynthesis, and MAPK and plant-hormone signalling, while abscisic-acid–binding genes were induced. Down-regulated genes in both organs included the plant circadian-rhythm pathway; roots additionally suppressed Calvin-cycle carbon fixation and starch/sucrose metabolism. Cross-referencing root DEGs against a published tomato root cell-type atlas localised the response predominantly to cortex, exodermis, endodermis, meristematic cortex and vascular (xylem) marker sets (odds ratios ≈ 2.7–4.4).</w:t>
      </w:r>
    </w:p>
    <w:p>
      <w:pPr>
        <w:pStyle w:val="BodyText"/>
      </w:pPr>
      <w:r>
        <w:rPr>
          <w:b/>
          <w:bCs/>
        </w:rPr>
        <w:t xml:space="preserve">Conclusions:</w:t>
      </w:r>
      <w:r>
        <w:t xml:space="preserve"> </w:t>
      </w:r>
      <w:r>
        <w:t xml:space="preserve">Spaceflight imposes a coordinated stress signature on dwarf tomato that is dominated by antioxidant and phenylpropanoid/flavonoid metabolism, hormone signalling and circadian dysregulation, and is quantitatively strongest in adventitious roots. The cell-type localisation of the root response to ground-tissue and vascular layers is consistent with the pronounced adventitious rooting observed in spaceflight and identifies cell-wall– and antioxidant-associated cell populations as focal points of adaptation. These core, light-averaged molecular responses provide targets for engineering more resilient crops for bioregenerative life-support systems.</w:t>
      </w:r>
    </w:p>
    <w:bookmarkEnd w:id="9"/>
    <w:bookmarkStart w:id="10" w:name="section"/>
    <w:p>
      <w:pPr>
        <w:pStyle w:val="Heading2"/>
      </w:pPr>
    </w:p>
    <w:bookmarkEnd w:id="10"/>
    <w:bookmarkStart w:id="11" w:name="introduction"/>
    <w:p>
      <w:pPr>
        <w:pStyle w:val="Heading2"/>
      </w:pPr>
      <w:r>
        <w:rPr>
          <w:b/>
          <w:bCs/>
        </w:rPr>
        <w:t xml:space="preserve">1. Introduction</w:t>
      </w:r>
    </w:p>
    <w:p>
      <w:pPr>
        <w:pStyle w:val="FirstParagraph"/>
      </w:pPr>
      <w:r>
        <w:t xml:space="preserve">Long-duration space missions necessitate the development of bioregenerative life support systems capable of providing continuous, fresh, and nutrient-dense food for astronauts. The dwarf tomato (</w:t>
      </w:r>
      <w:r>
        <w:rPr>
          <w:i/>
          <w:iCs/>
        </w:rPr>
        <w:t xml:space="preserve">Solanum lycopersicum</w:t>
      </w:r>
      <w:r>
        <w:t xml:space="preserve"> </w:t>
      </w:r>
      <w:r>
        <w:t xml:space="preserve">cv. Red Robin) has emerged as a prime candidate for space agriculture due to its compact size, continuous fruiting habit, and high nutritional value. Understanding how this crop adapts to the unique stressors of the spaceflight environment—specifically microgravity and elevated radiation—is essential for optimizing cultivation strategies in off-Earth habitats.</w:t>
      </w:r>
    </w:p>
    <w:p>
      <w:pPr>
        <w:pStyle w:val="BodyText"/>
      </w:pPr>
      <w:r>
        <w:t xml:space="preserve">Plant growth and development are highly plastic and profoundly influenced by environmental cues. In controlled agricultural environments, including the Vegetable Production System (Veggie) aboard the International Space Station (ISS), light quality is a primary driver of plant physiology. Specific wavelengths, particularly red and blue light, dictate photosynthetic efficiency, phototropism, and stress responses. However, it remains unclear how the foundational transcriptomic responses to microgravity interact with or operate independently of these light-quality cues.</w:t>
      </w:r>
    </w:p>
    <w:p>
      <w:pPr>
        <w:pStyle w:val="BodyText"/>
      </w:pPr>
      <w:r>
        <w:t xml:space="preserve">The VEG-05 experiment (NASA Open Science Data Repository dataset OSD-767) was designed to evaluate the impacts of different light qualities (Red vs. Blue) on tomato growth, nutrient composition, and microbial safety in space. In this study, we leverage the transcriptomic data generated from VEG-05 to isolate the fundamental genetic adaptations of</w:t>
      </w:r>
      <w:r>
        <w:t xml:space="preserve"> </w:t>
      </w:r>
      <w:r>
        <w:rPr>
          <w:i/>
          <w:iCs/>
        </w:rPr>
        <w:t xml:space="preserve">S. lycopersicum</w:t>
      </w:r>
      <w:r>
        <w:t xml:space="preserve"> </w:t>
      </w:r>
      <w:r>
        <w:t xml:space="preserve">to spaceflight. Rather than testing for a flight-by-light interaction, we modeled light condition as a covariate. This approach allows us to determine the robust, primary effects of spaceflight on both foliar and root transcriptomes, averaged across varied light spectra, thereby identifying the core molecular footprint of spaceflight adaptation in a vital crop species.</w:t>
      </w:r>
    </w:p>
    <w:bookmarkEnd w:id="11"/>
    <w:bookmarkStart w:id="18" w:name="materials-and-methods"/>
    <w:p>
      <w:pPr>
        <w:pStyle w:val="Heading2"/>
      </w:pPr>
      <w:r>
        <w:rPr>
          <w:b/>
          <w:bCs/>
        </w:rPr>
        <w:t xml:space="preserve">2. Materials and Methods</w:t>
      </w:r>
    </w:p>
    <w:bookmarkStart w:id="12" w:name="experimental-design-and-data-acquisition"/>
    <w:p>
      <w:pPr>
        <w:pStyle w:val="Heading3"/>
      </w:pPr>
      <w:r>
        <w:rPr>
          <w:b/>
          <w:bCs/>
        </w:rPr>
        <w:t xml:space="preserve">2.1 Experimental Design and Data Acquisition</w:t>
      </w:r>
    </w:p>
    <w:p>
      <w:pPr>
        <w:pStyle w:val="FirstParagraph"/>
      </w:pPr>
      <w:r>
        <w:t xml:space="preserve">Raw RNA-sequencing data (FASTQ format) for the VEG-05 experiment was accessed and downloaded from the NASA Open Science Data Repository (OSDR), dataset OSD-767 (GeneLab ID: GLDS-709). The dataset comprises transcriptomic profiles of</w:t>
      </w:r>
      <w:r>
        <w:t xml:space="preserve"> </w:t>
      </w:r>
      <w:r>
        <w:rPr>
          <w:i/>
          <w:iCs/>
        </w:rPr>
        <w:t xml:space="preserve">Solanum lycopersicum</w:t>
      </w:r>
      <w:r>
        <w:t xml:space="preserve"> </w:t>
      </w:r>
      <w:r>
        <w:t xml:space="preserve">cultivar</w:t>
      </w:r>
      <w:r>
        <w:t xml:space="preserve"> </w:t>
      </w:r>
      <w:r>
        <w:t xml:space="preserve">“Red Robin”</w:t>
      </w:r>
      <w:r>
        <w:t xml:space="preserve"> </w:t>
      </w:r>
      <w:r>
        <w:t xml:space="preserve">subjected to two distinct environments: Spaceflight (aboard the ISS) and Ground Control (simulated ISS environmental conditions). Within these environments, plants were grown under specific light treatments (Red light and Blue light).</w:t>
      </w:r>
    </w:p>
    <w:p>
      <w:pPr>
        <w:pStyle w:val="BodyText"/>
      </w:pPr>
      <w:r>
        <w:t xml:space="preserve">The experimental design consisted of 21 leaf samples and 15 adventitious root samples. Leaf samples were distributed as follows: Spaceflight/Red (n=5), Spaceflight/Blue (n=4), Ground/Red (n=6), and Ground/Blue (n=6). Root samples exhibited an imbalanced distribution due to tissue availability: Spaceflight/Red (n=5), Spaceflight/Blue (n=4), Ground/Red (n=3), and Ground/Blue (n=3).</w:t>
      </w:r>
    </w:p>
    <w:bookmarkEnd w:id="12"/>
    <w:bookmarkStart w:id="13" w:name="pre-processing-and-quality-control"/>
    <w:p>
      <w:pPr>
        <w:pStyle w:val="Heading3"/>
      </w:pPr>
      <w:r>
        <w:rPr>
          <w:b/>
          <w:bCs/>
        </w:rPr>
        <w:t xml:space="preserve">2.2 Pre-processing and Quality Control</w:t>
      </w:r>
    </w:p>
    <w:p>
      <w:pPr>
        <w:pStyle w:val="FirstParagraph"/>
      </w:pPr>
      <w:r>
        <w:t xml:space="preserve">Data processing was carried out on a provisioned high-performance computing environment (16 CPU, 64 GB RAM) and closely adhered to the NASA GeneLab RNAseq Consensus Pipeline specification (GL-DPPD-7101-G / NF_RCP 2.0.1). Due to the organism’s absence in the standard GeneLab annotation tables, reference retrieval and processing steps were executed manually following the pipeline’s algorithmic standards.</w:t>
      </w:r>
    </w:p>
    <w:p>
      <w:pPr>
        <w:pStyle w:val="BodyText"/>
      </w:pPr>
      <w:r>
        <w:t xml:space="preserve">Raw paired-end sequencing reads (151 bp, sequenced via NovaSeq X Plus) were evaluated for quality using FastQC (v0.12.1) and aggregated with MultiQC (v1.26). Adapter sequences and low-quality bases were removed using TrimGalore! (v0.6.10), utilizing Cutadapt (v4.2) under the hood with parameters set to --phred33 and paired-end mode. Post-trimming read quality was subsequently verified via a second pass of FastQC.</w:t>
      </w:r>
    </w:p>
    <w:bookmarkEnd w:id="13"/>
    <w:bookmarkStart w:id="14" w:name="section-1"/>
    <w:p>
      <w:pPr>
        <w:pStyle w:val="Heading3"/>
      </w:pPr>
    </w:p>
    <w:bookmarkEnd w:id="14"/>
    <w:bookmarkStart w:id="15" w:name="read-alignment-and-quantification"/>
    <w:p>
      <w:pPr>
        <w:pStyle w:val="Heading3"/>
      </w:pPr>
      <w:r>
        <w:rPr>
          <w:b/>
          <w:bCs/>
        </w:rPr>
        <w:t xml:space="preserve">2.3 Read Alignment and Quantification</w:t>
      </w:r>
    </w:p>
    <w:p>
      <w:pPr>
        <w:pStyle w:val="FirstParagraph"/>
      </w:pPr>
      <w:r>
        <w:t xml:space="preserve">Because the</w:t>
      </w:r>
      <w:r>
        <w:t xml:space="preserve"> </w:t>
      </w:r>
      <w:r>
        <w:rPr>
          <w:i/>
          <w:iCs/>
        </w:rPr>
        <w:t xml:space="preserve">Solanum lycopersicum</w:t>
      </w:r>
      <w:r>
        <w:t xml:space="preserve"> </w:t>
      </w:r>
      <w:r>
        <w:t xml:space="preserve">reference is not auto-provisioned by the GeneLab pipeline, the Ensembl Plants SL3.0 genome assembly and corresponding ITAG4.0 gene model annotations (Release 59) were utilized as the reference.</w:t>
      </w:r>
    </w:p>
    <w:p>
      <w:pPr>
        <w:pStyle w:val="BodyText"/>
      </w:pPr>
      <w:r>
        <w:t xml:space="preserve">Trimmed reads were aligned to the SL3.0 reference genome using STAR (v2.7.11b) in two-pass mode. To accommodate the 151 bp read lengths, the splice junction database overhang parameter (–sjdbOverhang) was set to 150. Additional alignment parameters followed standard GeneLab guidelines, including strict filters for multi-mapping (–outFilterMultimapNmax 20) and mismatch rates (–outFilterMismatchNoverReadLmax 0.04), outputting coordinate-sorted BAM files alongside transcriptome-aligned BAMs.</w:t>
      </w:r>
    </w:p>
    <w:p>
      <w:pPr>
        <w:pStyle w:val="BodyText"/>
      </w:pPr>
      <w:r>
        <w:t xml:space="preserve">Transcriptome BAM alignments were quantified using RSEM (v1.3.1). Expression estimates were calculated utilizing the --estimate-rspd flag. Read strandedness, inner distance, gene body coverage, and read distribution were empirically determined prior to quantification using RSeQC (v5.0.4) to inform RSEM parameters.</w:t>
      </w:r>
    </w:p>
    <w:bookmarkEnd w:id="15"/>
    <w:bookmarkStart w:id="16" w:name="section-2"/>
    <w:p>
      <w:pPr>
        <w:pStyle w:val="Heading3"/>
      </w:pPr>
    </w:p>
    <w:bookmarkEnd w:id="16"/>
    <w:bookmarkStart w:id="17" w:name="differential-gene-expression-analysis"/>
    <w:p>
      <w:pPr>
        <w:pStyle w:val="Heading3"/>
      </w:pPr>
      <w:r>
        <w:rPr>
          <w:b/>
          <w:bCs/>
        </w:rPr>
        <w:t xml:space="preserve">2.4 Differential Gene Expression Analysis</w:t>
      </w:r>
    </w:p>
    <w:p>
      <w:pPr>
        <w:pStyle w:val="FirstParagraph"/>
      </w:pPr>
      <w:r>
        <w:t xml:space="preserve">Differential gene expression (DGE) analysis was conducted in the R statistical environment (v4.4.2) using the DESeq2 package (v1.50.2). Gene-level counts were imported from RSEM output files using the tximport package (v1.38.2).</w:t>
      </w:r>
    </w:p>
    <w:p>
      <w:pPr>
        <w:pStyle w:val="BodyText"/>
      </w:pPr>
      <w:r>
        <w:t xml:space="preserve">Leaf and root tissues were analyzed in completely independent DESeq2 workflows to account for fundamental baseline expression differences between tissues. To identify the primary effect of spaceflight while controlling for variations introduced by the light treatments,</w:t>
      </w:r>
      <w:r>
        <w:t xml:space="preserve"> </w:t>
      </w:r>
      <w:r>
        <w:t xml:space="preserve">“light condition”</w:t>
      </w:r>
      <w:r>
        <w:t xml:space="preserve"> </w:t>
      </w:r>
      <w:r>
        <w:t xml:space="preserve">(Red/Blue) was established as a covariate in the design formula: ~ light + condition.</w:t>
      </w:r>
    </w:p>
    <w:p>
      <w:pPr>
        <w:pStyle w:val="BodyText"/>
      </w:pPr>
      <w:r>
        <w:t xml:space="preserve">The primary contrast evaluated was Spaceflight versus Ground control. Prior to statistical testing, genes with consistently low counts were pre-filtered to improve statistical power. To manage the sample imbalance present in the adventitious root dataset, DESeq2’s internal dispersion estimations and modeling were relied upon to robustly handle unequal replication.</w:t>
      </w:r>
    </w:p>
    <w:p>
      <w:pPr>
        <w:pStyle w:val="BodyText"/>
      </w:pPr>
      <w:r>
        <w:t xml:space="preserve">Log2 fold change (LFC) estimates were shrunken using the</w:t>
      </w:r>
      <w:r>
        <w:t xml:space="preserve"> </w:t>
      </w:r>
      <w:r>
        <w:rPr>
          <w:b/>
          <w:bCs/>
        </w:rPr>
        <w:t xml:space="preserve">VST</w:t>
      </w:r>
      <w:r>
        <w:t xml:space="preserve"> </w:t>
      </w:r>
      <w:r>
        <w:t xml:space="preserve">method to account for expression variance in genes with low counts. Significant differentially expressed genes (DEGs) were defined utilizing a Benjamini-Hochberg adjusted p-value (FDR) threshold of &lt; 0.05 and an absolute log2 fold change of ≥ 1.0. High-level data visualizations, including volcano plots, MA plots, and Principal Component Analyses (PCA), were generated using EnhancedVolcano (v1.28.2) and internal DESeq2 plotting functions.</w:t>
      </w:r>
    </w:p>
    <w:bookmarkEnd w:id="17"/>
    <w:bookmarkEnd w:id="18"/>
    <w:bookmarkStart w:id="19" w:name="section-3"/>
    <w:p>
      <w:pPr>
        <w:pStyle w:val="Heading2"/>
      </w:pPr>
    </w:p>
    <w:bookmarkEnd w:id="19"/>
    <w:bookmarkStart w:id="52" w:name="results"/>
    <w:p>
      <w:pPr>
        <w:pStyle w:val="Heading2"/>
      </w:pPr>
      <w:r>
        <w:rPr>
          <w:b/>
          <w:bCs/>
        </w:rPr>
        <w:t xml:space="preserve">3. Results</w:t>
      </w:r>
    </w:p>
    <w:bookmarkStart w:id="26" w:name="Xa3c11141317dc3a22248afc93587ae4fe25ef2f"/>
    <w:p>
      <w:pPr>
        <w:pStyle w:val="Heading3"/>
      </w:pPr>
      <w:r>
        <w:rPr>
          <w:b/>
          <w:bCs/>
        </w:rPr>
        <w:t xml:space="preserve">3.1 Data quality, dispersion and sample ordination</w:t>
      </w:r>
    </w:p>
    <w:p>
      <w:pPr>
        <w:pStyle w:val="FirstParagraph"/>
      </w:pPr>
      <w:r>
        <w:t xml:space="preserve">Following trimming and alignment, per-gene dispersion estimates conformed to the expected DESeq2 mean–variance relationship in both tissues, and low-count genes were removed prior to testing, supporting the validity of the negative-binomial models. Unsupervised ordination of variance-stabilised counts separated samples primarily by spaceflight condition. In both organs the first principal components distinguished Flight from Ground samples, while Red- and Blue-light replicates were interleaved within each condition—consistent with our decision to treat light spectrum as a covariate rather than a primary axis of variation. The greater within-group spread among root samples reflects the imbalanced and limited replication of the root ground controls (n=3 per light condition).</w:t>
      </w:r>
    </w:p>
    <w:p>
      <w:pPr>
        <w:pStyle w:val="BodyText"/>
      </w:pPr>
      <w:r>
        <w:drawing>
          <wp:inline>
            <wp:extent cx="3479800" cy="2768600"/>
            <wp:effectExtent b="0" l="0" r="0" t="0"/>
            <wp:docPr descr="" title="" id="21" name="Picture"/>
            <a:graphic>
              <a:graphicData uri="http://schemas.openxmlformats.org/drawingml/2006/picture">
                <pic:pic>
                  <pic:nvPicPr>
                    <pic:cNvPr descr="/private/tmp/claude-501/-Users-drb-laptop-Documents/9e9df3dc-4bb0-4b53-b92d-553f262139e3/scratchpad/msfig/de98654ab75bcc3473721b070b2f04581f1bd615.png" id="22" name="Picture"/>
                    <pic:cNvPicPr>
                      <a:picLocks noChangeArrowheads="1" noChangeAspect="1"/>
                    </pic:cNvPicPr>
                  </pic:nvPicPr>
                  <pic:blipFill>
                    <a:blip r:embed="rId20"/>
                    <a:stretch>
                      <a:fillRect/>
                    </a:stretch>
                  </pic:blipFill>
                  <pic:spPr bwMode="auto">
                    <a:xfrm>
                      <a:off x="0" y="0"/>
                      <a:ext cx="3479800" cy="2768600"/>
                    </a:xfrm>
                    <a:prstGeom prst="rect">
                      <a:avLst/>
                    </a:prstGeom>
                    <a:noFill/>
                    <a:ln w="9525">
                      <a:noFill/>
                      <a:headEnd/>
                      <a:tailEnd/>
                    </a:ln>
                  </pic:spPr>
                </pic:pic>
              </a:graphicData>
            </a:graphic>
          </wp:inline>
        </w:drawing>
      </w:r>
      <w:r>
        <w:drawing>
          <wp:inline>
            <wp:extent cx="3873500" cy="2298700"/>
            <wp:effectExtent b="0" l="0" r="0" t="0"/>
            <wp:docPr descr="" title="" id="24" name="Picture"/>
            <a:graphic>
              <a:graphicData uri="http://schemas.openxmlformats.org/drawingml/2006/picture">
                <pic:pic>
                  <pic:nvPicPr>
                    <pic:cNvPr descr="/private/tmp/claude-501/-Users-drb-laptop-Documents/9e9df3dc-4bb0-4b53-b92d-553f262139e3/scratchpad/msfig/bad507ff8e98916e5ddfb58250ab8e641be807f2.png" id="25" name="Picture"/>
                    <pic:cNvPicPr>
                      <a:picLocks noChangeArrowheads="1" noChangeAspect="1"/>
                    </pic:cNvPicPr>
                  </pic:nvPicPr>
                  <pic:blipFill>
                    <a:blip r:embed="rId23"/>
                    <a:stretch>
                      <a:fillRect/>
                    </a:stretch>
                  </pic:blipFill>
                  <pic:spPr bwMode="auto">
                    <a:xfrm>
                      <a:off x="0" y="0"/>
                      <a:ext cx="3873500" cy="2298700"/>
                    </a:xfrm>
                    <a:prstGeom prst="rect">
                      <a:avLst/>
                    </a:prstGeom>
                    <a:noFill/>
                    <a:ln w="9525">
                      <a:noFill/>
                      <a:headEnd/>
                      <a:tailEnd/>
                    </a:ln>
                  </pic:spPr>
                </pic:pic>
              </a:graphicData>
            </a:graphic>
          </wp:inline>
        </w:drawing>
      </w:r>
    </w:p>
    <w:bookmarkEnd w:id="26"/>
    <w:bookmarkStart w:id="33" w:name="Xe1df44d71561fd2d8c747828c82cdeedb32e096"/>
    <w:p>
      <w:pPr>
        <w:pStyle w:val="Heading3"/>
      </w:pPr>
      <w:r>
        <w:rPr>
          <w:b/>
          <w:bCs/>
        </w:rPr>
        <w:t xml:space="preserve">3.2 Spaceflight extensively remodels the leaf transcriptome</w:t>
      </w:r>
    </w:p>
    <w:p>
      <w:pPr>
        <w:pStyle w:val="FirstParagraph"/>
      </w:pPr>
      <w:r>
        <w:t xml:space="preserve">At an adjusted-p threshold of &lt; 0.05 and |log2FC| ≥ 1, the leaf Flight-versus-Ground contrast identified</w:t>
      </w:r>
      <w:r>
        <w:t xml:space="preserve"> </w:t>
      </w:r>
      <w:r>
        <w:rPr>
          <w:b/>
          <w:bCs/>
        </w:rPr>
        <w:t xml:space="preserve">2,132 significant DEGs</w:t>
      </w:r>
      <w:r>
        <w:t xml:space="preserve">, of which 1,032 were up-regulated and 1,100 down-regulated in spaceflight. The response was highly significant as well as broad: 1,337 of these genes passed FDR &lt; 0.001. Individual effect sizes were moderate, with the most strongly induced leaf genes reaching log2FC ≈ +5.6 (e.g. </w:t>
      </w:r>
      <w:r>
        <w:rPr>
          <w:i/>
          <w:iCs/>
        </w:rPr>
        <w:t xml:space="preserve">Solyc07g052370</w:t>
      </w:r>
      <w:r>
        <w:t xml:space="preserve">, log2FC ≈ +5.0, FDR ≈ 1×10⁻¹⁷) and the most strongly repressed reaching log2FC ≈ −4.5. Volcano and MA representations (below) show a broadly symmetric distribution of induced and repressed genes across the expression range.</w:t>
      </w:r>
    </w:p>
    <w:p>
      <w:pPr>
        <w:pStyle w:val="BodyText"/>
      </w:pPr>
      <w:r>
        <w:drawing>
          <wp:inline>
            <wp:extent cx="3860800" cy="3073400"/>
            <wp:effectExtent b="0" l="0" r="0" t="0"/>
            <wp:docPr descr="" title="" id="28" name="Picture"/>
            <a:graphic>
              <a:graphicData uri="http://schemas.openxmlformats.org/drawingml/2006/picture">
                <pic:pic>
                  <pic:nvPicPr>
                    <pic:cNvPr descr="/private/tmp/claude-501/-Users-drb-laptop-Documents/9e9df3dc-4bb0-4b53-b92d-553f262139e3/scratchpad/msfig/1b2cbf7deea7ea04a55c529bd7470fe206f08aa4.png" id="29" name="Picture"/>
                    <pic:cNvPicPr>
                      <a:picLocks noChangeArrowheads="1" noChangeAspect="1"/>
                    </pic:cNvPicPr>
                  </pic:nvPicPr>
                  <pic:blipFill>
                    <a:blip r:embed="rId27"/>
                    <a:stretch>
                      <a:fillRect/>
                    </a:stretch>
                  </pic:blipFill>
                  <pic:spPr bwMode="auto">
                    <a:xfrm>
                      <a:off x="0" y="0"/>
                      <a:ext cx="3860800" cy="3073400"/>
                    </a:xfrm>
                    <a:prstGeom prst="rect">
                      <a:avLst/>
                    </a:prstGeom>
                    <a:noFill/>
                    <a:ln w="9525">
                      <a:noFill/>
                      <a:headEnd/>
                      <a:tailEnd/>
                    </a:ln>
                  </pic:spPr>
                </pic:pic>
              </a:graphicData>
            </a:graphic>
          </wp:inline>
        </w:drawing>
      </w:r>
      <w:r>
        <w:drawing>
          <wp:inline>
            <wp:extent cx="3937000" cy="3149600"/>
            <wp:effectExtent b="0" l="0" r="0" t="0"/>
            <wp:docPr descr="" title="" id="31" name="Picture"/>
            <a:graphic>
              <a:graphicData uri="http://schemas.openxmlformats.org/drawingml/2006/picture">
                <pic:pic>
                  <pic:nvPicPr>
                    <pic:cNvPr descr="/private/tmp/claude-501/-Users-drb-laptop-Documents/9e9df3dc-4bb0-4b53-b92d-553f262139e3/scratchpad/msfig/486f1f609a6ead5e7eabd252a8529337224ee698.png" id="32" name="Picture"/>
                    <pic:cNvPicPr>
                      <a:picLocks noChangeArrowheads="1" noChangeAspect="1"/>
                    </pic:cNvPicPr>
                  </pic:nvPicPr>
                  <pic:blipFill>
                    <a:blip r:embed="rId30"/>
                    <a:stretch>
                      <a:fillRect/>
                    </a:stretch>
                  </pic:blipFill>
                  <pic:spPr bwMode="auto">
                    <a:xfrm>
                      <a:off x="0" y="0"/>
                      <a:ext cx="3937000" cy="3149600"/>
                    </a:xfrm>
                    <a:prstGeom prst="rect">
                      <a:avLst/>
                    </a:prstGeom>
                    <a:noFill/>
                    <a:ln w="9525">
                      <a:noFill/>
                      <a:headEnd/>
                      <a:tailEnd/>
                    </a:ln>
                  </pic:spPr>
                </pic:pic>
              </a:graphicData>
            </a:graphic>
          </wp:inline>
        </w:drawing>
      </w:r>
    </w:p>
    <w:bookmarkEnd w:id="33"/>
    <w:bookmarkStart w:id="49" w:name="Xf22f0f580aa6918e7cbb2e04b1808c9893e7d39"/>
    <w:p>
      <w:pPr>
        <w:pStyle w:val="Heading3"/>
      </w:pPr>
      <w:r>
        <w:rPr>
          <w:b/>
          <w:bCs/>
        </w:rPr>
        <w:t xml:space="preserve">3.3 Adventitious roots display a larger, up-regulation-biased response</w:t>
      </w:r>
    </w:p>
    <w:p>
      <w:pPr>
        <w:pStyle w:val="FirstParagraph"/>
      </w:pPr>
      <w:r>
        <w:t xml:space="preserve">The adventitious-root contrast identified</w:t>
      </w:r>
      <w:r>
        <w:t xml:space="preserve"> </w:t>
      </w:r>
      <w:r>
        <w:rPr>
          <w:b/>
          <w:bCs/>
        </w:rPr>
        <w:t xml:space="preserve">2,582 significant DEGs</w:t>
      </w:r>
      <w:r>
        <w:t xml:space="preserve">, exceeding the leaf response in both magnitude and asymmetry: 1,706 genes were up-regulated versus 876 down-regulated in spaceflight, a roughly 2:1 induction bias (638 genes at FDR &lt; 0.001). Effect sizes were also markedly larger than in leaf—numerous root genes were induced from near-absent baseline expression, with the strongest exceeding 10 log2-units (the single most extreme reaching log2FC ≈ +25 from a near-zero ground baseline), indicating switch-like activation of otherwise silent loci in the spaceflight environment. Sample-distance clustering, PCA, volcano and MA plots (below) consistently separated Flight from Ground root samples and highlighted the strong up-regulation bias.</w:t>
      </w:r>
    </w:p>
    <w:p>
      <w:pPr>
        <w:pStyle w:val="BodyText"/>
      </w:pPr>
      <w:r>
        <w:drawing>
          <wp:inline>
            <wp:extent cx="3467100" cy="3035300"/>
            <wp:effectExtent b="0" l="0" r="0" t="0"/>
            <wp:docPr descr="" title="" id="35" name="Picture"/>
            <a:graphic>
              <a:graphicData uri="http://schemas.openxmlformats.org/drawingml/2006/picture">
                <pic:pic>
                  <pic:nvPicPr>
                    <pic:cNvPr descr="/private/tmp/claude-501/-Users-drb-laptop-Documents/9e9df3dc-4bb0-4b53-b92d-553f262139e3/scratchpad/msfig/584a73e80f1af3e7c653d8b73b7f551bc1eadc5b.png" id="36" name="Picture"/>
                    <pic:cNvPicPr>
                      <a:picLocks noChangeArrowheads="1" noChangeAspect="1"/>
                    </pic:cNvPicPr>
                  </pic:nvPicPr>
                  <pic:blipFill>
                    <a:blip r:embed="rId34"/>
                    <a:stretch>
                      <a:fillRect/>
                    </a:stretch>
                  </pic:blipFill>
                  <pic:spPr bwMode="auto">
                    <a:xfrm>
                      <a:off x="0" y="0"/>
                      <a:ext cx="3467100" cy="3035300"/>
                    </a:xfrm>
                    <a:prstGeom prst="rect">
                      <a:avLst/>
                    </a:prstGeom>
                    <a:noFill/>
                    <a:ln w="9525">
                      <a:noFill/>
                      <a:headEnd/>
                      <a:tailEnd/>
                    </a:ln>
                  </pic:spPr>
                </pic:pic>
              </a:graphicData>
            </a:graphic>
          </wp:inline>
        </w:drawing>
      </w:r>
      <w:r>
        <w:drawing>
          <wp:inline>
            <wp:extent cx="4025900" cy="3009900"/>
            <wp:effectExtent b="0" l="0" r="0" t="0"/>
            <wp:docPr descr="" title="" id="38" name="Picture"/>
            <a:graphic>
              <a:graphicData uri="http://schemas.openxmlformats.org/drawingml/2006/picture">
                <pic:pic>
                  <pic:nvPicPr>
                    <pic:cNvPr descr="/private/tmp/claude-501/-Users-drb-laptop-Documents/9e9df3dc-4bb0-4b53-b92d-553f262139e3/scratchpad/msfig/2038c84bf49ee151a982915ba6c4703b92739bb4.png" id="39" name="Picture"/>
                    <pic:cNvPicPr>
                      <a:picLocks noChangeArrowheads="1" noChangeAspect="1"/>
                    </pic:cNvPicPr>
                  </pic:nvPicPr>
                  <pic:blipFill>
                    <a:blip r:embed="rId37"/>
                    <a:stretch>
                      <a:fillRect/>
                    </a:stretch>
                  </pic:blipFill>
                  <pic:spPr bwMode="auto">
                    <a:xfrm>
                      <a:off x="0" y="0"/>
                      <a:ext cx="4025900" cy="3009900"/>
                    </a:xfrm>
                    <a:prstGeom prst="rect">
                      <a:avLst/>
                    </a:prstGeom>
                    <a:noFill/>
                    <a:ln w="9525">
                      <a:noFill/>
                      <a:headEnd/>
                      <a:tailEnd/>
                    </a:ln>
                  </pic:spPr>
                </pic:pic>
              </a:graphicData>
            </a:graphic>
          </wp:inline>
        </w:drawing>
      </w:r>
      <w:r>
        <w:drawing>
          <wp:inline>
            <wp:extent cx="3797300" cy="2857500"/>
            <wp:effectExtent b="0" l="0" r="0" t="0"/>
            <wp:docPr descr="" title="" id="41" name="Picture"/>
            <a:graphic>
              <a:graphicData uri="http://schemas.openxmlformats.org/drawingml/2006/picture">
                <pic:pic>
                  <pic:nvPicPr>
                    <pic:cNvPr descr="/private/tmp/claude-501/-Users-drb-laptop-Documents/9e9df3dc-4bb0-4b53-b92d-553f262139e3/scratchpad/msfig/62348fb24f2b52f2da2d4b3c9e330debcfc695b5.png" id="42" name="Picture"/>
                    <pic:cNvPicPr>
                      <a:picLocks noChangeArrowheads="1" noChangeAspect="1"/>
                    </pic:cNvPicPr>
                  </pic:nvPicPr>
                  <pic:blipFill>
                    <a:blip r:embed="rId40"/>
                    <a:stretch>
                      <a:fillRect/>
                    </a:stretch>
                  </pic:blipFill>
                  <pic:spPr bwMode="auto">
                    <a:xfrm>
                      <a:off x="0" y="0"/>
                      <a:ext cx="3797300" cy="2857500"/>
                    </a:xfrm>
                    <a:prstGeom prst="rect">
                      <a:avLst/>
                    </a:prstGeom>
                    <a:noFill/>
                    <a:ln w="9525">
                      <a:noFill/>
                      <a:headEnd/>
                      <a:tailEnd/>
                    </a:ln>
                  </pic:spPr>
                </pic:pic>
              </a:graphicData>
            </a:graphic>
          </wp:inline>
        </w:drawing>
      </w:r>
      <w:r>
        <w:drawing>
          <wp:inline>
            <wp:extent cx="3403600" cy="2552700"/>
            <wp:effectExtent b="0" l="0" r="0" t="0"/>
            <wp:docPr descr="" title="" id="44" name="Picture"/>
            <a:graphic>
              <a:graphicData uri="http://schemas.openxmlformats.org/drawingml/2006/picture">
                <pic:pic>
                  <pic:nvPicPr>
                    <pic:cNvPr descr="/private/tmp/claude-501/-Users-drb-laptop-Documents/9e9df3dc-4bb0-4b53-b92d-553f262139e3/scratchpad/msfig/3c1367df7f4d3041473243bc17da06c781691b32.png" id="45" name="Picture"/>
                    <pic:cNvPicPr>
                      <a:picLocks noChangeArrowheads="1" noChangeAspect="1"/>
                    </pic:cNvPicPr>
                  </pic:nvPicPr>
                  <pic:blipFill>
                    <a:blip r:embed="rId43"/>
                    <a:stretch>
                      <a:fillRect/>
                    </a:stretch>
                  </pic:blipFill>
                  <pic:spPr bwMode="auto">
                    <a:xfrm>
                      <a:off x="0" y="0"/>
                      <a:ext cx="3403600" cy="2552700"/>
                    </a:xfrm>
                    <a:prstGeom prst="rect">
                      <a:avLst/>
                    </a:prstGeom>
                    <a:noFill/>
                    <a:ln w="9525">
                      <a:noFill/>
                      <a:headEnd/>
                      <a:tailEnd/>
                    </a:ln>
                  </pic:spPr>
                </pic:pic>
              </a:graphicData>
            </a:graphic>
          </wp:inline>
        </w:drawing>
      </w:r>
      <w:r>
        <w:drawing>
          <wp:inline>
            <wp:extent cx="5334000" cy="4008993"/>
            <wp:effectExtent b="0" l="0" r="0" t="0"/>
            <wp:docPr descr="" title="" id="47" name="Picture"/>
            <a:graphic>
              <a:graphicData uri="http://schemas.openxmlformats.org/drawingml/2006/picture">
                <pic:pic>
                  <pic:nvPicPr>
                    <pic:cNvPr descr="/private/tmp/claude-501/-Users-drb-laptop-Documents/9e9df3dc-4bb0-4b53-b92d-553f262139e3/scratchpad/msfig/e6a8744dc207b9531c0304deceb6dac91cca9893.png" id="48" name="Picture"/>
                    <pic:cNvPicPr>
                      <a:picLocks noChangeArrowheads="1" noChangeAspect="1"/>
                    </pic:cNvPicPr>
                  </pic:nvPicPr>
                  <pic:blipFill>
                    <a:blip r:embed="rId46"/>
                    <a:stretch>
                      <a:fillRect/>
                    </a:stretch>
                  </pic:blipFill>
                  <pic:spPr bwMode="auto">
                    <a:xfrm>
                      <a:off x="0" y="0"/>
                      <a:ext cx="5334000" cy="4008993"/>
                    </a:xfrm>
                    <a:prstGeom prst="rect">
                      <a:avLst/>
                    </a:prstGeom>
                    <a:noFill/>
                    <a:ln w="9525">
                      <a:noFill/>
                      <a:headEnd/>
                      <a:tailEnd/>
                    </a:ln>
                  </pic:spPr>
                </pic:pic>
              </a:graphicData>
            </a:graphic>
          </wp:inline>
        </w:drawing>
      </w:r>
    </w:p>
    <w:bookmarkEnd w:id="49"/>
    <w:bookmarkStart w:id="50" w:name="X3971c0f0237116103e0d866d0cd05653c250ee6"/>
    <w:p>
      <w:pPr>
        <w:pStyle w:val="Heading3"/>
      </w:pPr>
      <w:r>
        <w:rPr>
          <w:b/>
          <w:bCs/>
        </w:rPr>
        <w:t xml:space="preserve">3.4 Functional enrichment implicates oxidative-stress management and specialised metabolism</w:t>
      </w:r>
    </w:p>
    <w:p>
      <w:pPr>
        <w:pStyle w:val="FirstParagraph"/>
      </w:pPr>
      <w:r>
        <w:t xml:space="preserve">Gene Ontology and KEGG over-representation analysis of the directional DEG sets revealed a coherent, stress-centred programme (full results in the accompanying enrichment tables).</w:t>
      </w:r>
    </w:p>
    <w:p>
      <w:pPr>
        <w:pStyle w:val="BodyText"/>
      </w:pPr>
      <w:r>
        <w:t xml:space="preserve">In</w:t>
      </w:r>
      <w:r>
        <w:t xml:space="preserve"> </w:t>
      </w:r>
      <w:r>
        <w:rPr>
          <w:b/>
          <w:bCs/>
        </w:rPr>
        <w:t xml:space="preserve">roots</w:t>
      </w:r>
      <w:r>
        <w:t xml:space="preserve">, up-regulated genes were overwhelmingly enriched for oxidative-stress management: the GO biological processes</w:t>
      </w:r>
      <w:r>
        <w:t xml:space="preserve"> </w:t>
      </w:r>
      <w:r>
        <w:t xml:space="preserve">“response to oxidative stress”</w:t>
      </w:r>
      <w:r>
        <w:t xml:space="preserve"> </w:t>
      </w:r>
      <w:r>
        <w:t xml:space="preserve">(32 genes, FDR ≈ 6.5×10⁻¹³) and</w:t>
      </w:r>
      <w:r>
        <w:t xml:space="preserve"> </w:t>
      </w:r>
      <w:r>
        <w:t xml:space="preserve">“hydrogen peroxide catabolic process”</w:t>
      </w:r>
      <w:r>
        <w:t xml:space="preserve"> </w:t>
      </w:r>
      <w:r>
        <w:t xml:space="preserve">(28 genes, FDR ≈ 6.5×10⁻¹³) were the leading terms, accompanied by</w:t>
      </w:r>
      <w:r>
        <w:t xml:space="preserve"> </w:t>
      </w:r>
      <w:r>
        <w:t xml:space="preserve">“ethylene-activated signaling pathway”</w:t>
      </w:r>
      <w:r>
        <w:t xml:space="preserve"> </w:t>
      </w:r>
      <w:r>
        <w:t xml:space="preserve">(FDR ≈ 1×10⁻⁶) and, at the molecular-function level, an exceptionally strong heme-binding signature (67 genes, FDR ≈ 9×10⁻¹⁸) reflecting peroxidase and cytochrome activity. The corresponding KEGG analysis was dominated by</w:t>
      </w:r>
      <w:r>
        <w:t xml:space="preserve"> </w:t>
      </w:r>
      <w:r>
        <w:rPr>
          <w:b/>
          <w:bCs/>
        </w:rPr>
        <w:t xml:space="preserve">phenylpropanoid biosynthesis</w:t>
      </w:r>
      <w:r>
        <w:t xml:space="preserve"> </w:t>
      </w:r>
      <w:r>
        <w:t xml:space="preserve">(45 genes, FDR ≈ 4×10⁻³⁰), followed by stilbenoid, flavonoid and phenylalanine/tyrosine/tryptophan biosynthesis and by</w:t>
      </w:r>
      <w:r>
        <w:t xml:space="preserve"> </w:t>
      </w:r>
      <w:r>
        <w:rPr>
          <w:b/>
          <w:bCs/>
        </w:rPr>
        <w:t xml:space="preserve">glutathione metabolism</w:t>
      </w:r>
      <w:r>
        <w:t xml:space="preserve"> </w:t>
      </w:r>
      <w:r>
        <w:t xml:space="preserve">(15 genes)—together describing a concerted mobilisation of antioxidant and secondary-metabolite pathways.</w:t>
      </w:r>
    </w:p>
    <w:p>
      <w:pPr>
        <w:pStyle w:val="BodyText"/>
      </w:pPr>
      <w:r>
        <w:t xml:space="preserve">In</w:t>
      </w:r>
      <w:r>
        <w:t xml:space="preserve"> </w:t>
      </w:r>
      <w:r>
        <w:rPr>
          <w:b/>
          <w:bCs/>
        </w:rPr>
        <w:t xml:space="preserve">leaves</w:t>
      </w:r>
      <w:r>
        <w:t xml:space="preserve">, up-regulated genes showed a related but attenuated signature: enrichment for heme binding, monooxygenase and oxidoreductase activity and iron-ion binding, induction of abscisic-acid–binding genes, and KEGG enrichment for phenylpropanoid and flavonoid biosynthesis, biosynthesis of amino acids, MAPK signalling and plant-hormone signal transduction.</w:t>
      </w:r>
    </w:p>
    <w:p>
      <w:pPr>
        <w:pStyle w:val="BodyText"/>
      </w:pPr>
      <w:r>
        <w:t xml:space="preserve">Down-regulated genes pointed to suppression of normal growth and timekeeping. The</w:t>
      </w:r>
      <w:r>
        <w:t xml:space="preserve"> </w:t>
      </w:r>
      <w:r>
        <w:rPr>
          <w:b/>
          <w:bCs/>
        </w:rPr>
        <w:t xml:space="preserve">plant circadian-rhythm</w:t>
      </w:r>
      <w:r>
        <w:t xml:space="preserve"> </w:t>
      </w:r>
      <w:r>
        <w:t xml:space="preserve">KEGG pathway was significantly down-regulated in</w:t>
      </w:r>
      <w:r>
        <w:t xml:space="preserve"> </w:t>
      </w:r>
      <w:r>
        <w:rPr>
          <w:b/>
          <w:bCs/>
        </w:rPr>
        <w:t xml:space="preserve">both</w:t>
      </w:r>
      <w:r>
        <w:t xml:space="preserve"> </w:t>
      </w:r>
      <w:r>
        <w:t xml:space="preserve">organs, indicating a shared disruption of circadian control. Roots additionally down-regulated Calvin-cycle carbon fixation, starch and sucrose metabolism and general carbon metabolism, while leaves down-regulated transmembrane transport (GO), galactose metabolism, folate metabolism and glycolysis/gluconeogenesis.</w:t>
      </w:r>
    </w:p>
    <w:bookmarkEnd w:id="50"/>
    <w:bookmarkStart w:id="51" w:name="Xce2fbae3365e9eb070688b6f4503d310bfb6eaa"/>
    <w:p>
      <w:pPr>
        <w:pStyle w:val="Heading3"/>
      </w:pPr>
      <w:r>
        <w:rPr>
          <w:b/>
          <w:bCs/>
        </w:rPr>
        <w:t xml:space="preserve">3.5 Spaceflight root DEGs localise to ground-tissue and vascular cell types</w:t>
      </w:r>
    </w:p>
    <w:p>
      <w:pPr>
        <w:pStyle w:val="FirstParagraph"/>
      </w:pPr>
      <w:r>
        <w:t xml:space="preserve">To interpret the bulk response in a cellular context, root DEGs were cross-referenced against published tomato root cell-type marker sets by Fisher’s exact test. Twenty-five cell-type × DEG associations were significant. Down-regulated root genes were most strongly enriched in</w:t>
      </w:r>
      <w:r>
        <w:t xml:space="preserve"> </w:t>
      </w:r>
      <w:r>
        <w:rPr>
          <w:b/>
          <w:bCs/>
        </w:rPr>
        <w:t xml:space="preserve">cortex</w:t>
      </w:r>
      <w:r>
        <w:t xml:space="preserve"> </w:t>
      </w:r>
      <w:r>
        <w:t xml:space="preserve">(odds ratio ≈ 3.6, FDR ≈ 7×10⁻²⁹),</w:t>
      </w:r>
      <w:r>
        <w:t xml:space="preserve"> </w:t>
      </w:r>
      <w:r>
        <w:rPr>
          <w:b/>
          <w:bCs/>
        </w:rPr>
        <w:t xml:space="preserve">endodermis</w:t>
      </w:r>
      <w:r>
        <w:t xml:space="preserve"> </w:t>
      </w:r>
      <w:r>
        <w:t xml:space="preserve">(OR ≈ 3.5),</w:t>
      </w:r>
      <w:r>
        <w:t xml:space="preserve"> </w:t>
      </w:r>
      <w:r>
        <w:rPr>
          <w:b/>
          <w:bCs/>
        </w:rPr>
        <w:t xml:space="preserve">meristematic cortex</w:t>
      </w:r>
      <w:r>
        <w:t xml:space="preserve"> </w:t>
      </w:r>
      <w:r>
        <w:t xml:space="preserve">and</w:t>
      </w:r>
      <w:r>
        <w:t xml:space="preserve"> </w:t>
      </w:r>
      <w:r>
        <w:rPr>
          <w:b/>
          <w:bCs/>
        </w:rPr>
        <w:t xml:space="preserve">xylem/vascular</w:t>
      </w:r>
      <w:r>
        <w:t xml:space="preserve"> </w:t>
      </w:r>
      <w:r>
        <w:t xml:space="preserve">markers, whereas up-regulated genes were most enriched in</w:t>
      </w:r>
      <w:r>
        <w:t xml:space="preserve"> </w:t>
      </w:r>
      <w:r>
        <w:rPr>
          <w:b/>
          <w:bCs/>
        </w:rPr>
        <w:t xml:space="preserve">exodermis</w:t>
      </w:r>
      <w:r>
        <w:t xml:space="preserve"> </w:t>
      </w:r>
      <w:r>
        <w:t xml:space="preserve">(OR ≈ 2.8, FDR ≈ 3×10⁻²³) and an actin-defined cortex population (Cortex_ACT2, OR ≈ 4.4). The spaceflight response therefore concentrates in the ground-tissue layers and the vasculature—precisely the cell populations that are re-specified during adventitious-root formation. Cross-referencing against a leaf cluster atlas gave a weaker and less tissue-specific pattern.</w:t>
      </w:r>
    </w:p>
    <w:bookmarkEnd w:id="51"/>
    <w:bookmarkEnd w:id="52"/>
    <w:bookmarkStart w:id="53" w:name="discussion"/>
    <w:p>
      <w:pPr>
        <w:pStyle w:val="Heading2"/>
      </w:pPr>
      <w:r>
        <w:rPr>
          <w:b/>
          <w:bCs/>
        </w:rPr>
        <w:t xml:space="preserve">4. Discussion</w:t>
      </w:r>
    </w:p>
    <w:p>
      <w:pPr>
        <w:pStyle w:val="FirstParagraph"/>
      </w:pPr>
      <w:r>
        <w:t xml:space="preserve">This study isolates the core, light-averaged transcriptomic response of dwarf tomato to spaceflight in the two organs most relevant to crop performance—photosynthetic leaves and the adventitious roots that proliferate in microgravity. By modelling light spectrum as a covariate, we deliberately traded sensitivity to light-specific effects for statistical power on the main effect of the spaceflight environment, and recovered a pervasive response of ~2,100 leaf and ~2,600 root DEGs.</w:t>
      </w:r>
    </w:p>
    <w:p>
      <w:pPr>
        <w:pStyle w:val="BodyText"/>
      </w:pPr>
      <w:r>
        <w:rPr>
          <w:b/>
          <w:bCs/>
        </w:rPr>
        <w:t xml:space="preserve">Adventitious roots are the focal organ of the spaceflight response.</w:t>
      </w:r>
      <w:r>
        <w:t xml:space="preserve"> </w:t>
      </w:r>
      <w:r>
        <w:t xml:space="preserve">Roots not only contained more DEGs than leaves but showed a pronounced up-regulation bias and far larger individual effect sizes, including switch-like activation of loci that are essentially silent in ground controls. This transcriptional intensity mirrors the well-documented phenotype of extensive adventitious-root formation in spaceflight-grown plants, and our cell-type cross-reference ties the signal specifically to cortex, exodermis, endodermis and vascular populations—the tissues that physically remodel during rooting. The concentration of the response in these layers suggests that spaceflight adaptation in tomato roots is, in large part, a programme of ground-tissue and vascular re-organisation rather than a uniform, whole-organ stress response.</w:t>
      </w:r>
    </w:p>
    <w:p>
      <w:pPr>
        <w:pStyle w:val="BodyText"/>
      </w:pPr>
      <w:r>
        <w:rPr>
          <w:b/>
          <w:bCs/>
        </w:rPr>
        <w:t xml:space="preserve">A shared oxidative-stress and phenylpropanoid signature.</w:t>
      </w:r>
      <w:r>
        <w:t xml:space="preserve"> </w:t>
      </w:r>
      <w:r>
        <w:t xml:space="preserve">The most robust functional theme across both organs is the management of reactive oxygen species. The extreme enrichment of</w:t>
      </w:r>
      <w:r>
        <w:t xml:space="preserve"> </w:t>
      </w:r>
      <w:r>
        <w:t xml:space="preserve">“response to oxidative stress”</w:t>
      </w:r>
      <w:r>
        <w:t xml:space="preserve">, hydrogen-peroxide catabolism and heme/peroxidase activity in roots, together with induction of glutathione metabolism, indicates that antioxidant defence is a central axis of adaptation. This is coupled to a strong mobilisation of the phenylpropanoid and flavonoid pathways—versatile sources of antioxidant and structural (lignin precursor) metabolites—which was the single strongest KEGG signal in roots and was also significant in leaves. Because phenylpropanoid-derived compounds feed both ROS scavenging and cell-wall reinforcement, their induction plausibly serves the dual demands of oxidative defence and the mechanical/anatomical remodelling that accompanies adventitious rooting.</w:t>
      </w:r>
    </w:p>
    <w:p>
      <w:pPr>
        <w:pStyle w:val="BodyText"/>
      </w:pPr>
      <w:r>
        <w:rPr>
          <w:b/>
          <w:bCs/>
        </w:rPr>
        <w:t xml:space="preserve">Hormonal and circadian reprogramming.</w:t>
      </w:r>
      <w:r>
        <w:t xml:space="preserve"> </w:t>
      </w:r>
      <w:r>
        <w:t xml:space="preserve">Ethylene-activated signalling was strongly induced in roots and abscisic-acid–binding genes in leaves, implicating classical stress hormones in the response; leaf MAPK and plant-hormone signal-transduction enrichment reinforces this. The significant down-regulation of the circadian-rhythm pathway in</w:t>
      </w:r>
      <w:r>
        <w:t xml:space="preserve"> </w:t>
      </w:r>
      <w:r>
        <w:rPr>
          <w:i/>
          <w:iCs/>
        </w:rPr>
        <w:t xml:space="preserve">both</w:t>
      </w:r>
      <w:r>
        <w:t xml:space="preserve"> </w:t>
      </w:r>
      <w:r>
        <w:t xml:space="preserve">organs is notable: circadian disruption is a recurring feature of spaceflight biology across taxa, and its appearance here in an averaged, light-controlled analysis argues that it is a genuine microgravity-associated effect rather than an artefact of a particular light regime. In leaves the concurrent suppression of primary carbon and energy metabolism (galactose metabolism, glycolysis) and, in roots, of Calvin-cycle carbon fixation and starch/sucrose metabolism, is consistent with a re-allocation of resources away from growth and storage toward defensive and structural metabolism.</w:t>
      </w:r>
    </w:p>
    <w:p>
      <w:pPr>
        <w:pStyle w:val="BodyText"/>
      </w:pPr>
      <w:r>
        <w:rPr>
          <w:b/>
          <w:bCs/>
        </w:rPr>
        <w:t xml:space="preserve">Concordance with the original VEG-05 report.</w:t>
      </w:r>
      <w:r>
        <w:t xml:space="preserve"> </w:t>
      </w:r>
      <w:r>
        <w:t xml:space="preserve">These findings independently corroborate the published analysis of this dataset (Dixit</w:t>
      </w:r>
      <w:r>
        <w:t xml:space="preserve"> </w:t>
      </w:r>
      <w:r>
        <w:rPr>
          <w:i/>
          <w:iCs/>
        </w:rPr>
        <w:t xml:space="preserve">et al.</w:t>
      </w:r>
      <w:r>
        <w:t xml:space="preserve"> </w:t>
      </w:r>
      <w:r>
        <w:t xml:space="preserve">2026), which likewise reported pronounced transcriptional change in adventitious roots and highlighted oxidative-stress response, secondary-metabolite biosynthesis and hormonal regulation as dominant themes. Our study reaches these conclusions through a different statistical route—an additive covariate model that estimates the pooled main effect of spaceflight, rather than within-light contrasts intersected across treatments—and consequently reports substantially larger DEG counts under a more permissive fold-change threshold. The two analyses are therefore complementary: the published within-light design isolates a conservative, reproducible core of light-invariant genes, whereas the present design maximises power to describe the full breadth of the spaceflight response and to localise it to specific cell types.</w:t>
      </w:r>
    </w:p>
    <w:p>
      <w:pPr>
        <w:pStyle w:val="BodyText"/>
      </w:pPr>
      <w:r>
        <w:rPr>
          <w:b/>
          <w:bCs/>
        </w:rPr>
        <w:t xml:space="preserve">Limitations.</w:t>
      </w:r>
      <w:r>
        <w:t xml:space="preserve"> </w:t>
      </w:r>
      <w:r>
        <w:t xml:space="preserve">The root ground-control group comprises only three replicates per light condition, which limits power and inflates dispersion for root contrasts; root results should be read with this caveat, and formal light×spaceflight interaction testing in root is under-powered (an exploratory interaction analysis is provided in the associated data repository but was not the focus of this study). Solanum-to-Entrez identifier mapping recovered 60–75% of genes, so enrichment necessarily under-samples unmapped loci. Finally, the cell-type cross-reference relies on published marker sets rather than a spaceflight-specific single-cell atlas, so cell-type assignments are inherited from ground-grown reference tissues; a dedicated single-cell study of spaceflight adventitious roots would allow these localisations to be tested directly.</w:t>
      </w:r>
    </w:p>
    <w:p>
      <w:pPr>
        <w:pStyle w:val="BodyText"/>
      </w:pPr>
      <w:r>
        <w:rPr>
          <w:b/>
          <w:bCs/>
        </w:rPr>
        <w:t xml:space="preserve">Conclusions and outlook.</w:t>
      </w:r>
      <w:r>
        <w:t xml:space="preserve"> </w:t>
      </w:r>
      <w:r>
        <w:t xml:space="preserve">Averaged across red- and blue-rich light, spaceflight imposes a coordinated, stress-oriented transcriptional programme on dwarf tomato that is strongest in adventitious roots and is built around antioxidant defence, phenylpropanoid/flavonoid metabolism, stress-hormone signalling and circadian dysregulation, with the root response localised to ground-tissue and vascular cell layers. These pathways constitute a concise set of candidate targets—peroxidase/glutathione antioxidant systems and phenylpropanoid flux in particular—for breeding or engineering tomato cultivars better suited to the closed, microgravity environment of bioregenerative life-support systems.</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2026-07-24T11:52:27Z</dcterms:created>
  <dcterms:modified xsi:type="dcterms:W3CDTF">2026-07-24T11:52:27Z</dcterms:modified>
</cp:coreProperties>
</file>

<file path=docProps/custom.xml><?xml version="1.0" encoding="utf-8"?>
<Properties xmlns="http://schemas.openxmlformats.org/officeDocument/2006/custom-properties" xmlns:vt="http://schemas.openxmlformats.org/officeDocument/2006/docPropsVTypes"/>
</file>