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2026-09-21</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A third pass adds a</w:t>
      </w:r>
      <w:r>
        <w:t xml:space="preserve"> </w:t>
      </w:r>
      <w:r>
        <w:t xml:space="preserve">seed-to-flowering growth animation timed to</w:t>
      </w:r>
      <w:r>
        <w:t xml:space="preserve"> </w:t>
      </w:r>
      <w:r>
        <w:t xml:space="preserve">Boyes et al. (2001)</w:t>
      </w:r>
      <w:r>
        <w:t xml:space="preserve">’s 28 real</w:t>
      </w:r>
      <w:r>
        <w:t xml:space="preserve"> </w:t>
      </w:r>
      <w:r>
        <w:t xml:space="preserve">measured developmental-stage transitions rather than an invented pace, each of</w:t>
      </w:r>
      <w:r>
        <w:t xml:space="preserve"> </w:t>
      </w:r>
      <w:r>
        <w:t xml:space="preserve">576 frames an independently regenerated snapshot from the same live</w:t>
      </w:r>
      <w:r>
        <w:t xml:space="preserve"> </w:t>
      </w:r>
      <w:r>
        <w:t xml:space="preserve">generator, not an interpolated or hand-animated mesh; we explicitly do not claim this is</w:t>
      </w:r>
      <w:r>
        <w:t xml:space="preserve"> </w:t>
      </w:r>
      <w:r>
        <w:t xml:space="preserve">the most detailed 4D</w:t>
      </w:r>
      <w:r>
        <w:t xml:space="preserve"> </w:t>
      </w:r>
      <w:r>
        <w:rPr>
          <w:i/>
          <w:iCs/>
        </w:rPr>
        <w:t xml:space="preserve">Arabidopsis</w:t>
      </w:r>
      <w:r>
        <w:t xml:space="preserve"> </w:t>
      </w:r>
      <w:r>
        <w:t xml:space="preserve">model produced to date, since the real state of</w:t>
      </w:r>
      <w:r>
        <w:t xml:space="preserve"> </w:t>
      </w:r>
      <w:r>
        <w:t xml:space="preserve">the art is fragmented across cell-lineage imaging, whole-plant growth modelling, and</w:t>
      </w:r>
      <w:r>
        <w:t xml:space="preserve"> </w:t>
      </w:r>
      <w:r>
        <w:t xml:space="preserve">rosette phenotyping with no single existing bar to measure against. The result is graded</w:t>
      </w:r>
      <w:r>
        <w:t xml:space="preserve"> </w:t>
      </w:r>
      <w:r>
        <w:t xml:space="preserve">against our own portfolio’s evidence gate before publication, and every claim in this</w:t>
      </w:r>
      <w:r>
        <w:t xml:space="preserve"> </w:t>
      </w:r>
      <w:r>
        <w:t xml:space="preserve">manuscript 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two (OSD-38, OSD-522) are cited as confirmed,</w:t>
      </w:r>
      <w:r>
        <w:t xml:space="preserve"> </w:t>
      </w:r>
      <w:r>
        <w:t xml:space="preserve">relevant, real studies but are not yet quantitatively integrated, and are documented as</w:t>
      </w:r>
      <w:r>
        <w:t xml:space="preserve"> </w:t>
      </w:r>
      <w:r>
        <w:t xml:space="preserve">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32"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7"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4267200"/>
                  <wp:effectExtent b="0" l="0" r="0" t="0"/>
                  <wp:docPr descr="" title="" id="22" name="Picture"/>
                  <a:graphic>
                    <a:graphicData uri="http://schemas.openxmlformats.org/drawingml/2006/picture">
                      <pic:pic>
                        <pic:nvPicPr>
                          <pic:cNvPr descr="../figures/col0_showcase.png" id="23" name="Picture"/>
                          <pic:cNvPicPr>
                            <a:picLocks noChangeArrowheads="1" noChangeAspect="1"/>
                          </pic:cNvPicPr>
                        </pic:nvPicPr>
                        <pic:blipFill>
                          <a:blip r:embed="rId21"/>
                          <a:stretch>
                            <a:fillRect/>
                          </a:stretch>
                        </pic:blipFill>
                        <pic:spPr bwMode="auto">
                          <a:xfrm>
                            <a:off x="0" y="0"/>
                            <a:ext cx="2667000" cy="4267200"/>
                          </a:xfrm>
                          <a:prstGeom prst="rect">
                            <a:avLst/>
                          </a:prstGeom>
                          <a:noFill/>
                          <a:ln w="9525">
                            <a:noFill/>
                            <a:headEnd/>
                            <a:tailEnd/>
                          </a:ln>
                        </pic:spPr>
                      </pic:pic>
                    </a:graphicData>
                  </a:graphic>
                </wp:inline>
              </w:drawing>
            </w:r>
          </w:p>
        </w:tc>
        <w:tc>
          <w:tcPr/>
          <w:p>
            <w:pPr>
              <w:pStyle w:val="Compact"/>
              <w:jc w:val="center"/>
            </w:pPr>
            <w:r>
              <w:drawing>
                <wp:inline>
                  <wp:extent cx="2667000" cy="4267200"/>
                  <wp:effectExtent b="0" l="0" r="0" t="0"/>
                  <wp:docPr descr="" title="" id="25" name="Picture"/>
                  <a:graphic>
                    <a:graphicData uri="http://schemas.openxmlformats.org/drawingml/2006/picture">
                      <pic:pic>
                        <pic:nvPicPr>
                          <pic:cNvPr descr="../figures/ler_showcase.png" id="26" name="Picture"/>
                          <pic:cNvPicPr>
                            <a:picLocks noChangeArrowheads="1" noChangeAspect="1"/>
                          </pic:cNvPicPr>
                        </pic:nvPicPr>
                        <pic:blipFill>
                          <a:blip r:embed="rId24"/>
                          <a:stretch>
                            <a:fillRect/>
                          </a:stretch>
                        </pic:blipFill>
                        <pic:spPr bwMode="auto">
                          <a:xfrm>
                            <a:off x="0" y="0"/>
                            <a:ext cx="2667000" cy="4267200"/>
                          </a:xfrm>
                          <a:prstGeom prst="rect">
                            <a:avLst/>
                          </a:prstGeom>
                          <a:noFill/>
                          <a:ln w="9525">
                            <a:noFill/>
                            <a:headEnd/>
                            <a:tailEnd/>
                          </a:ln>
                        </pic:spPr>
                      </pic:pic>
                    </a:graphicData>
                  </a:graphic>
                </wp:inline>
              </w:drawing>
            </w:r>
          </w:p>
        </w:tc>
      </w:tr>
    </w:tbl>
    <w:p>
      <w:pPr>
        <w:pStyle w:val="ImageCaption"/>
      </w:pPr>
      <w:r>
        <w:t xml:space="preserve">Col-0 (left) and Ler (right), rendered from the same live generator</w:t>
      </w:r>
      <w:r>
        <w:t xml:space="preserve"> </w:t>
      </w:r>
      <w:r>
        <w:t xml:space="preserve">(</w:t>
      </w:r>
      <w:r>
        <w:rPr>
          <w:rStyle w:val="VerbatimChar"/>
        </w:rPr>
        <w:t xml:space="preserve">app/src/geometry.ts</w:t>
      </w:r>
      <w:r>
        <w:t xml:space="preserve">) used in the interactive viewer, refined offline in Blender</w:t>
      </w:r>
      <w:r>
        <w:t xml:space="preserve"> </w:t>
      </w:r>
      <w:r>
        <w:t xml:space="preserve">5.2 (</w:t>
      </w:r>
      <w:r>
        <w:rPr>
          <w:rStyle w:val="VerbatimChar"/>
        </w:rPr>
        <w:t xml:space="preserve">blender/refine_showcase.py</w:t>
      </w:r>
      <w:r>
        <w:t xml:space="preserve">: a Solidify modifier and</w:t>
      </w:r>
      <w:r>
        <w:t xml:space="preserve"> </w:t>
      </w:r>
      <w:r>
        <w:rPr>
          <w:rStyle w:val="VerbatimChar"/>
        </w:rPr>
        <w:t xml:space="preserve">shade_smooth</w:t>
      </w:r>
      <w:r>
        <w:t xml:space="preserve"> </w:t>
      </w:r>
      <w:r>
        <w:t xml:space="preserve">applied only to leaf-blade meshes, matching rice-atlas’s own actual technique) and rendered</w:t>
      </w:r>
      <w:r>
        <w:t xml:space="preserve"> </w:t>
      </w:r>
      <w:r>
        <w:t xml:space="preserve">with EEVEE. This step is separate from the live viewer, which stays fully procedural so</w:t>
      </w:r>
      <w:r>
        <w:t xml:space="preserve"> </w:t>
      </w:r>
      <w:r>
        <w:t xml:space="preserve">ecotype-switching keeps working; the plant shown here is the real parametric output for</w:t>
      </w:r>
      <w:r>
        <w:t xml:space="preserve"> </w:t>
      </w:r>
      <w:r>
        <w:t xml:space="preserve">each ecotype, not a hand-modeled illustration.</w:t>
      </w:r>
    </w:p>
    <w:bookmarkEnd w:id="27"/>
    <w:bookmarkStart w:id="28" w:name="a-real-data-driven-growth-animation"/>
    <w:p>
      <w:pPr>
        <w:pStyle w:val="Heading2"/>
      </w:pPr>
      <w:r>
        <w:t xml:space="preserve">A real-data-driven growth animation</w:t>
      </w:r>
    </w:p>
    <w:p>
      <w:pPr>
        <w:pStyle w:val="FirstParagraph"/>
      </w:pPr>
      <w:r>
        <w:t xml:space="preserve">A second Pages route (</w:t>
      </w:r>
      <w:r>
        <w:rPr>
          <w:rStyle w:val="VerbatimChar"/>
        </w:rPr>
        <w:t xml:space="preserve">growth.html</w:t>
      </w:r>
      <w:r>
        <w:t xml:space="preserve">) shows a seed-to-flowering growth animation</w:t>
      </w:r>
      <w:r>
        <w:t xml:space="preserve"> </w:t>
      </w:r>
      <w:r>
        <w:t xml:space="preserve">timed to</w:t>
      </w:r>
      <w:r>
        <w:t xml:space="preserve"> </w:t>
      </w:r>
      <w:r>
        <w:t xml:space="preserve">Boyes et al. (2001)</w:t>
      </w:r>
      <w:r>
        <w:t xml:space="preserve">’s real measured developmental stages rather than an invented</w:t>
      </w:r>
      <w:r>
        <w:t xml:space="preserve"> </w:t>
      </w:r>
      <w:r>
        <w:t xml:space="preserve">pace: 28 real stage transitions, from seed imbibition through</w:t>
      </w:r>
      <w:r>
        <w:t xml:space="preserve"> </w:t>
      </w:r>
      <w:r>
        <w:t xml:space="preserve">flowering complete, drive when each rosette leaf, the bolting stem, and each flower/</w:t>
      </w:r>
      <w:r>
        <w:t xml:space="preserve"> </w:t>
      </w:r>
      <w:r>
        <w:t xml:space="preserve">silique appears. 576 frames (24s at</w:t>
      </w:r>
      <w:r>
        <w:t xml:space="preserve"> </w:t>
      </w:r>
      <w:r>
        <w:t xml:space="preserve">24fps, 1920</w:t>
      </w:r>
      <m:oMath>
        <m:r>
          <m:rPr>
            <m:sty m:val="p"/>
          </m:rPr>
          <m:t>×</m:t>
        </m:r>
      </m:oMath>
      <w:r>
        <w:t xml:space="preserve">1080 px, 128 Cycles samples) are each</w:t>
      </w:r>
      <w:r>
        <w:t xml:space="preserve"> </w:t>
      </w:r>
      <w:r>
        <w:t xml:space="preserve">an independently regenerated snapshot from the same live generator behind the interactive</w:t>
      </w:r>
      <w:r>
        <w:t xml:space="preserve"> </w:t>
      </w:r>
      <w:r>
        <w:t xml:space="preserve">viewer – called once per frame at that frame’s real day via</w:t>
      </w:r>
      <w:r>
        <w:t xml:space="preserve"> </w:t>
      </w:r>
      <w:r>
        <w:rPr>
          <w:rStyle w:val="VerbatimChar"/>
        </w:rPr>
        <w:t xml:space="preserve">npx tsx export_growth_frame.ts</w:t>
      </w:r>
      <w:r>
        <w:t xml:space="preserve"> </w:t>
      </w:r>
      <w:r>
        <w:t xml:space="preserve">– rather than a single mesh interpolated or hand-animated in</w:t>
      </w:r>
      <w:r>
        <w:t xml:space="preserve"> </w:t>
      </w:r>
      <w:r>
        <w:t xml:space="preserve">Blender. The full sequence rendered in 88 minutes on a single Apple M5</w:t>
      </w:r>
      <w:r>
        <w:t xml:space="preserve"> </w:t>
      </w:r>
      <w:r>
        <w:t xml:space="preserve">Pro (20-core GPU, Metal), averaging 9.3s/frame across all</w:t>
      </w:r>
      <w:r>
        <w:t xml:space="preserve"> </w:t>
      </w:r>
      <w:r>
        <w:t xml:space="preserve">576 frames – measured from the actual render log, not estimated.</w:t>
      </w:r>
    </w:p>
    <w:p>
      <w:pPr>
        <w:pStyle w:val="BodyText"/>
      </w:pPr>
      <w:r>
        <w:t xml:space="preserve">Getting this to actually finish rather than merely start surfaced two more real bugs,</w:t>
      </w:r>
      <w:r>
        <w:t xml:space="preserve"> </w:t>
      </w:r>
      <w:r>
        <w:t xml:space="preserve">neither guessed: rebuilding every material from scratch each frame crashed Cycles’ own</w:t>
      </w:r>
      <w:r>
        <w:t xml:space="preserve"> </w:t>
      </w:r>
      <w:r>
        <w:t xml:space="preserve">Metal shader compiler after roughly 9 frames (confirmed from the actual crash backtrace,</w:t>
      </w:r>
      <w:r>
        <w:t xml:space="preserve"> </w:t>
      </w:r>
      <w:r>
        <w:t xml:space="preserve">which pointed directly at</w:t>
      </w:r>
      <w:r>
        <w:t xml:space="preserve"> </w:t>
      </w:r>
      <w:r>
        <w:rPr>
          <w:rStyle w:val="VerbatimChar"/>
        </w:rPr>
        <w:t xml:space="preserve">ccl::MetalKernelPipeline::compile</w:t>
      </w:r>
      <w:r>
        <w:t xml:space="preserve">), fixed by building</w:t>
      </w:r>
      <w:r>
        <w:t xml:space="preserve"> </w:t>
      </w:r>
      <w:r>
        <w:t xml:space="preserve">materials once and reusing them across frames; and a materials-assignment helper</w:t>
      </w:r>
      <w:r>
        <w:t xml:space="preserve"> </w:t>
      </w:r>
      <w:r>
        <w:t xml:space="preserve">unconditionally cleared every mesh’s material list before reassigning it, silently</w:t>
      </w:r>
      <w:r>
        <w:t xml:space="preserve"> </w:t>
      </w:r>
      <w:r>
        <w:t xml:space="preserve">stripping the ground plane’s soil material on every single frame because "the ground" – a</w:t>
      </w:r>
      <w:r>
        <w:t xml:space="preserve"> </w:t>
      </w:r>
      <w:r>
        <w:t xml:space="preserve">persistent object outside the per-frame loop – matched none of the organ-name rules the</w:t>
      </w:r>
      <w:r>
        <w:t xml:space="preserve"> </w:t>
      </w:r>
      <w:r>
        <w:t xml:space="preserve">helper checked. Root-growth timing in the animation has no Boyes-equivalent source (that</w:t>
      </w:r>
      <w:r>
        <w:t xml:space="preserve"> </w:t>
      </w:r>
      <w:r>
        <w:t xml:space="preserve">paper covers shoot phenotypes only) and instead follows the rosette-growth fraction as a</w:t>
      </w:r>
      <w:r>
        <w:t xml:space="preserve"> </w:t>
      </w:r>
      <w:r>
        <w:t xml:space="preserve">disclosed proxy, exactly as in the static viewer.</w:t>
      </w:r>
    </w:p>
    <w:p>
      <w:pPr>
        <w:pStyle w:val="BodyText"/>
      </w:pPr>
      <w:r>
        <w:t xml:space="preserve">No claim is made that this is the most detailed 4D Arabidopsis model ever produced. The</w:t>
      </w:r>
      <w:r>
        <w:t xml:space="preserve"> </w:t>
      </w:r>
      <w:r>
        <w:t xml:space="preserve">real state of the art is genuinely fragmented across cell-lineage imaging</w:t>
      </w:r>
      <w:r>
        <w:t xml:space="preserve"> </w:t>
      </w:r>
      <w:r>
        <w:t xml:space="preserve">(Fernandez et al. 2010)</w:t>
      </w:r>
      <w:r>
        <w:t xml:space="preserve">, whole-plant mechanistic growth modelling</w:t>
      </w:r>
      <w:r>
        <w:t xml:space="preserve"> </w:t>
      </w:r>
      <w:r>
        <w:t xml:space="preserve">(Chew et al. 2014)</w:t>
      </w:r>
      <w:r>
        <w:t xml:space="preserve">, and</w:t>
      </w:r>
      <w:r>
        <w:t xml:space="preserve"> </w:t>
      </w:r>
      <w:r>
        <w:t xml:space="preserve">whole-rosette 4D phenotyping</w:t>
      </w:r>
      <w:r>
        <w:t xml:space="preserve"> </w:t>
      </w:r>
      <w:r>
        <w:t xml:space="preserve">(Apelt et al. 2015; Bernotas et al. 2019)</w:t>
      </w:r>
      <w:r>
        <w:t xml:space="preserve">, each leading on a different axis</w:t>
      </w:r>
      <w:r>
        <w:t xml:space="preserve"> </w:t>
      </w:r>
      <w:r>
        <w:t xml:space="preserve">of "detail," with no CGI Arabidopsis growth-animation precedent found at all – there is no</w:t>
      </w:r>
      <w:r>
        <w:t xml:space="preserve"> </w:t>
      </w:r>
      <w:r>
        <w:t xml:space="preserve">single existing bar to measure this against, so none is asserted.</w:t>
      </w:r>
    </w:p>
    <w:bookmarkEnd w:id="28"/>
    <w:bookmarkStart w:id="29" w:name="Xd8292899af4826381bd3b25ddbca5e28ce1d31c"/>
    <w:p>
      <w:pPr>
        <w:pStyle w:val="Heading2"/>
      </w:pPr>
      <w:r>
        <w:t xml:space="preserve">A director’s pass: continuity, camera and photorealism (v2)</w:t>
      </w:r>
    </w:p>
    <w:p>
      <w:pPr>
        <w:pStyle w:val="FirstParagraph"/>
      </w:pPr>
      <w:r>
        <w:t xml:space="preserve">Assessing the v1 animation against its own actual output – rendered frames, not just the</w:t>
      </w:r>
      <w:r>
        <w:t xml:space="preserve"> </w:t>
      </w:r>
      <w:r>
        <w:t xml:space="preserve">code that produced them – surfaced concrete, fixable problems rather than vague notes.</w:t>
      </w:r>
      <w:r>
        <w:t xml:space="preserve"> </w:t>
      </w:r>
      <w:r>
        <w:t xml:space="preserve">Every organ’s fine-detail jitter (lateral-root angle/length, silique pedicel tilt) used</w:t>
      </w:r>
      <w:r>
        <w:t xml:space="preserve"> </w:t>
      </w:r>
      <w:r>
        <w:t xml:space="preserve">JavaScript’s unseeded random generator; because each frame is regenerated in an independent</w:t>
      </w:r>
      <w:r>
        <w:t xml:space="preserve"> </w:t>
      </w:r>
      <w:r>
        <w:t xml:space="preserve">subprocess, every organ received a completely new random value every single frame even</w:t>
      </w:r>
      <w:r>
        <w:t xml:space="preserve"> </w:t>
      </w:r>
      <w:r>
        <w:t xml:space="preserve">where nothing developmentally changed, reading as shimmer rather than growth. This is fixed</w:t>
      </w:r>
      <w:r>
        <w:t xml:space="preserve"> </w:t>
      </w:r>
      <w:r>
        <w:t xml:space="preserve">with a small deterministic hash keyed to each organ’s own stable index, so an organ’s jitter</w:t>
      </w:r>
      <w:r>
        <w:t xml:space="preserve"> </w:t>
      </w:r>
      <w:r>
        <w:t xml:space="preserve">is identical across every frame it appears in while still varying between organs. The</w:t>
      </w:r>
      <w:r>
        <w:t xml:space="preserve"> </w:t>
      </w:r>
      <w:r>
        <w:t xml:space="preserve">inflorescence axis and each individual flower/silique also previously appeared at full size</w:t>
      </w:r>
      <w:r>
        <w:t xml:space="preserve"> </w:t>
      </w:r>
      <w:r>
        <w:t xml:space="preserve">the instant a threshold was crossed rather than growing in; both now use the same</w:t>
      </w:r>
      <w:r>
        <w:t xml:space="preserve"> </w:t>
      </w:r>
      <w:r>
        <w:t xml:space="preserve">emergence-ramp treatment rosette leaves already had. The camera itself was a single framing</w:t>
      </w:r>
      <w:r>
        <w:t xml:space="preserve"> </w:t>
      </w:r>
      <w:r>
        <w:t xml:space="preserve">computed once from the mature plant and reused for all 576 frames: inspecting actual output</w:t>
      </w:r>
      <w:r>
        <w:t xml:space="preserve"> </w:t>
      </w:r>
      <w:r>
        <w:t xml:space="preserve">frames showed the day-0 seedling occupying roughly 1-2% of frame, and the mature plant’s</w:t>
      </w:r>
      <w:r>
        <w:t xml:space="preserve"> </w:t>
      </w:r>
      <w:r>
        <w:t xml:space="preserve">inflorescence exiting the top of frame before any flower or silique was visible. The camera</w:t>
      </w:r>
      <w:r>
        <w:t xml:space="preserve"> </w:t>
      </w:r>
      <w:r>
        <w:t xml:space="preserve">now re-frames on each frame’s own actual above-ground extent, eased across keyframes</w:t>
      </w:r>
      <w:r>
        <w:t xml:space="preserve"> </w:t>
      </w:r>
      <w:r>
        <w:t xml:space="preserve">anchored to real Boyes stage boundaries, with physical depth of field added – the camera</w:t>
      </w:r>
      <w:r>
        <w:t xml:space="preserve"> </w:t>
      </w:r>
      <w:r>
        <w:t xml:space="preserve">parameter</w:t>
      </w:r>
      <w:r>
        <w:t xml:space="preserve"> </w:t>
      </w:r>
      <w:r>
        <w:rPr>
          <w:i/>
          <w:iCs/>
        </w:rPr>
        <w:t xml:space="preserve">values</w:t>
      </w:r>
      <w:r>
        <w:t xml:space="preserve"> </w:t>
      </w:r>
      <w:r>
        <w:t xml:space="preserve">at each keyframe are a disclosed directorial choice, the same</w:t>
      </w:r>
      <w:r>
        <w:t xml:space="preserve"> </w:t>
      </w:r>
      <w:r>
        <w:t xml:space="preserve">"real data drives</w:t>
      </w:r>
      <w:r>
        <w:t xml:space="preserve"> </w:t>
      </w:r>
      <w:r>
        <w:rPr>
          <w:i/>
          <w:iCs/>
        </w:rPr>
        <w:t xml:space="preserve">when</w:t>
      </w:r>
      <w:r>
        <w:t xml:space="preserve">, technique choice drives</w:t>
      </w:r>
      <w:r>
        <w:t xml:space="preserve"> </w:t>
      </w:r>
      <w:r>
        <w:rPr>
          <w:i/>
          <w:iCs/>
        </w:rPr>
        <w:t xml:space="preserve">how</w:t>
      </w:r>
      <w:r>
        <w:t xml:space="preserve">" split already used for</w:t>
      </w:r>
      <w:r>
        <w:t xml:space="preserve"> </w:t>
      </w:r>
      <w:r>
        <w:t xml:space="preserve">organ emergence timing. The full v2 sequence rendered in 88 minutes,</w:t>
      </w:r>
      <w:r>
        <w:t xml:space="preserve"> </w:t>
      </w:r>
      <w:r>
        <w:t xml:space="preserve">averaging 9.3s/frame across all 576 frames –</w:t>
      </w:r>
      <w:r>
        <w:t xml:space="preserve"> </w:t>
      </w:r>
      <w:r>
        <w:t xml:space="preserve">measured from the actual render log, not estimated; the richer materials and depth of field</w:t>
      </w:r>
      <w:r>
        <w:t xml:space="preserve"> </w:t>
      </w:r>
      <w:r>
        <w:t xml:space="preserve">added roughly 18% to the v1 pipeline’s 576-frame baseline time.</w:t>
      </w:r>
    </w:p>
    <w:bookmarkEnd w:id="29"/>
    <w:bookmarkStart w:id="30" w:name="a-digital-twin-data-overlay-layer"/>
    <w:p>
      <w:pPr>
        <w:pStyle w:val="Heading2"/>
      </w:pPr>
      <w:r>
        <w:t xml:space="preserve">A digital-twin data-overlay layer</w:t>
      </w:r>
    </w:p>
    <w:p>
      <w:pPr>
        <w:pStyle w:val="FirstParagraph"/>
      </w:pPr>
      <w:r>
        <w:t xml:space="preserve">A real-data-driven visualization and integration layer was added over the existing</w:t>
      </w:r>
      <w:r>
        <w:t xml:space="preserve"> </w:t>
      </w:r>
      <w:r>
        <w:t xml:space="preserve">organ-selectable geometry, explicitly</w:t>
      </w:r>
      <w:r>
        <w:t xml:space="preserve"> </w:t>
      </w:r>
      <w:r>
        <w:rPr>
          <w:i/>
          <w:iCs/>
        </w:rPr>
        <w:t xml:space="preserve">not</w:t>
      </w:r>
      <w:r>
        <w:t xml:space="preserve"> </w:t>
      </w:r>
      <w:r>
        <w:t xml:space="preserve">a claim to reimplement existing systems</w:t>
      </w:r>
      <w:r>
        <w:t xml:space="preserve"> </w:t>
      </w:r>
      <w:r>
        <w:t xml:space="preserve">models: AraGEM</w:t>
      </w:r>
      <w:r>
        <w:t xml:space="preserve"> </w:t>
      </w:r>
      <w:r>
        <w:t xml:space="preserve">(Oliveira Dal’Molin et al. 2010)</w:t>
      </w:r>
      <w:r>
        <w:t xml:space="preserve"> </w:t>
      </w:r>
      <w:r>
        <w:t xml:space="preserve">and its more recent tissue-specific descendant AraRoot,</w:t>
      </w:r>
      <w:r>
        <w:t xml:space="preserve"> </w:t>
      </w:r>
      <w:r>
        <w:t xml:space="preserve">Chew et al.’s</w:t>
      </w:r>
      <w:r>
        <w:t xml:space="preserve"> </w:t>
      </w:r>
      <w:r>
        <w:t xml:space="preserve">(2014)</w:t>
      </w:r>
      <w:r>
        <w:t xml:space="preserve"> </w:t>
      </w:r>
      <w:r>
        <w:t xml:space="preserve">whole-plant Framework Model, and BioOS</w:t>
      </w:r>
      <w:r>
        <w:t xml:space="preserve"> </w:t>
      </w:r>
      <w:r>
        <w:t xml:space="preserve">(Auger et al. 2026)</w:t>
      </w:r>
      <w:r>
        <w:t xml:space="preserve"> </w:t>
      </w:r>
      <w:r>
        <w:t xml:space="preserve">– a real, directly relevant, very recent (2026) Arabidopsis digital-twin</w:t>
      </w:r>
      <w:r>
        <w:t xml:space="preserve"> </w:t>
      </w:r>
      <w:r>
        <w:t xml:space="preserve">effort – are cited and linked as the real existing computational layer this visualization</w:t>
      </w:r>
      <w:r>
        <w:t xml:space="preserve"> </w:t>
      </w:r>
      <w:r>
        <w:t xml:space="preserve">complements, not duplicates. NASA OSDR ingestion is generalized from the two studies already</w:t>
      </w:r>
      <w:r>
        <w:t xml:space="preserve"> </w:t>
      </w:r>
      <w:r>
        <w:t xml:space="preserve">hardcoded to any real OSD accession, verified end-to-end against OSD-522</w:t>
      </w:r>
      <w:r>
        <w:t xml:space="preserve"> </w:t>
      </w:r>
      <w:r>
        <w:t xml:space="preserve">(NASA Open Science Data Repository 2026c)</w:t>
      </w:r>
      <w:r>
        <w:t xml:space="preserve"> </w:t>
      </w:r>
      <w:r>
        <w:t xml:space="preserve">– a study this repository’s own limitations section had already flagged as</w:t>
      </w:r>
      <w:r>
        <w:t xml:space="preserve"> </w:t>
      </w:r>
      <w:r>
        <w:t xml:space="preserve">real and relevant but unprocessed – yielding 32,833 genes and a top</w:t>
      </w:r>
      <w:r>
        <w:t xml:space="preserve"> </w:t>
      </w:r>
      <w:r>
        <w:t xml:space="preserve">mean-CPM log2 ratio of 3.51 for</w:t>
      </w:r>
      <w:r>
        <w:t xml:space="preserve"> </w:t>
      </w:r>
      <w:r>
        <w:rPr>
          <w:rStyle w:val="VerbatimChar"/>
        </w:rPr>
        <w:t xml:space="preserve">AT3G19680</w:t>
      </w:r>
      <w:r>
        <w:t xml:space="preserve"> </w:t>
      </w:r>
      <w:r>
        <w:t xml:space="preserve">between its real flight and ground sample groups. OSD-522’s own protocol describes dissecting</w:t>
      </w:r>
      <w:r>
        <w:t xml:space="preserve"> </w:t>
      </w:r>
      <w:r>
        <w:t xml:space="preserve">plants into root and shoot tissue for different assays, but its RNA-seq sample records</w:t>
      </w:r>
      <w:r>
        <w:t xml:space="preserve"> </w:t>
      </w:r>
      <w:r>
        <w:t xml:space="preserve">carry no organism-part annotation in the metadata this repository could query – so this</w:t>
      </w:r>
      <w:r>
        <w:t xml:space="preserve"> </w:t>
      </w:r>
      <w:r>
        <w:t xml:space="preserve">comparison is reported as whole-study flight-vs-ground, explicitly not claimed as</w:t>
      </w:r>
      <w:r>
        <w:t xml:space="preserve"> </w:t>
      </w:r>
      <w:r>
        <w:t xml:space="preserve">tissue-specific, rather than guessing which tissue the 12 sequenced samples are. A real</w:t>
      </w:r>
      <w:r>
        <w:t xml:space="preserve"> </w:t>
      </w:r>
      <w:r>
        <w:t xml:space="preserve">architectural constraint was found,</w:t>
      </w:r>
      <w:r>
        <w:t xml:space="preserve"> </w:t>
      </w:r>
      <w:r>
        <w:t xml:space="preserve">not assumed: NASA OSDR’s API returns</w:t>
      </w:r>
      <w:r>
        <w:t xml:space="preserve"> </w:t>
      </w:r>
      <w:r>
        <w:rPr>
          <w:rStyle w:val="VerbatimChar"/>
        </w:rPr>
        <w:t xml:space="preserve">Access-Control-Allow-Origin: osdr.nasa.gov</w:t>
      </w:r>
      <w:r>
        <w:t xml:space="preserve"> </w:t>
      </w:r>
      <w:r>
        <w:t xml:space="preserve">on</w:t>
      </w:r>
      <w:r>
        <w:t xml:space="preserve"> </w:t>
      </w:r>
      <w:r>
        <w:t xml:space="preserve">every endpoint used, which a browser enforces against any other origin, so OSDR data reaches</w:t>
      </w:r>
      <w:r>
        <w:t xml:space="preserve"> </w:t>
      </w:r>
      <w:r>
        <w:t xml:space="preserve">this atlas the same way the original two studies already did – fetched by a script and</w:t>
      </w:r>
      <w:r>
        <w:t xml:space="preserve"> </w:t>
      </w:r>
      <w:r>
        <w:t xml:space="preserve">committed as static data – rather than a live in-browser request the deployed site could</w:t>
      </w:r>
      <w:r>
        <w:t xml:space="preserve"> </w:t>
      </w:r>
      <w:r>
        <w:t xml:space="preserve">actually serve. Real per-organ context from</w:t>
      </w:r>
      <w:r>
        <w:t xml:space="preserve"> </w:t>
      </w:r>
      <w:r>
        <w:t xml:space="preserve">Lee et al. (2025)</w:t>
      </w:r>
      <w:r>
        <w:t xml:space="preserve"> </w:t>
      </w:r>
      <w:r>
        <w:t xml:space="preserve">– a single-cell and spatial</w:t>
      </w:r>
      <w:r>
        <w:t xml:space="preserve"> </w:t>
      </w:r>
      <w:r>
        <w:t xml:space="preserve">transcriptomic atlas spanning ten real developmental stages and over 400</w:t>
      </w:r>
      <w:r>
        <w:t xml:space="preserve">,</w:t>
      </w:r>
      <w:r>
        <w:t xml:space="preserve">000 nuclei,</w:t>
      </w:r>
      <w:r>
        <w:t xml:space="preserve"> </w:t>
      </w:r>
      <w:r>
        <w:t xml:space="preserve">seed to silique – is linked to, not redistributed, pending confirmation of its data’s</w:t>
      </w:r>
      <w:r>
        <w:t xml:space="preserve"> </w:t>
      </w:r>
      <w:r>
        <w:t xml:space="preserve">bulk-reuse terms (the same open item already carried for TraVA). A viewer’s own uploaded</w:t>
      </w:r>
      <w:r>
        <w:t xml:space="preserve"> </w:t>
      </w:r>
      <w:r>
        <w:t xml:space="preserve">tissue-resolved data is parsed entirely client-side, malformed rows reported rather than</w:t>
      </w:r>
      <w:r>
        <w:t xml:space="preserve"> </w:t>
      </w:r>
      <w:r>
        <w:t xml:space="preserve">silently dropped, and matched to the nearest real day on this atlas’s own Boyes-2001 axis</w:t>
      </w:r>
      <w:r>
        <w:t xml:space="preserve"> </w:t>
      </w:r>
      <w:r>
        <w:t xml:space="preserve">with the actual day gap always shown rather than a silent interpolation.</w:t>
      </w:r>
    </w:p>
    <w:bookmarkEnd w:id="30"/>
    <w:bookmarkStart w:id="31"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 The digital-twin panel’s CSV upload,</w:t>
      </w:r>
      <w:r>
        <w:t xml:space="preserve"> </w:t>
      </w:r>
      <w:r>
        <w:t xml:space="preserve">parsing, validation, and day-proximity matching were confirmed against a hand-crafted test</w:t>
      </w:r>
      <w:r>
        <w:t xml:space="preserve"> </w:t>
      </w:r>
      <w:r>
        <w:t xml:space="preserve">file with one deliberately malformed row (verified reported, not silently dropped), and</w:t>
      </w:r>
      <w:r>
        <w:t xml:space="preserve"> </w:t>
      </w:r>
      <w:r>
        <w:t xml:space="preserve">every new external link (the Salk atlas tool, the GEO record, the OSDR search page) was</w:t>
      </w:r>
      <w:r>
        <w:t xml:space="preserve"> </w:t>
      </w:r>
      <w:r>
        <w:t xml:space="preserve">confirmed to resolve live before shipping.</w:t>
      </w:r>
    </w:p>
    <w:bookmarkEnd w:id="31"/>
    <w:bookmarkEnd w:id="32"/>
    <w:bookmarkStart w:id="35"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p>
      <w:pPr>
        <w:pStyle w:val="BodyText"/>
      </w:pPr>
      <w:r>
        <w:t xml:space="preserve">Building the growth animation surfaced the same lesson from a different angle: the two</w:t>
      </w:r>
      <w:r>
        <w:t xml:space="preserve"> </w:t>
      </w:r>
      <w:r>
        <w:t xml:space="preserve">real bugs that actually blocked it (a crashing Metal shader compiler; a materials helper</w:t>
      </w:r>
      <w:r>
        <w:t xml:space="preserve"> </w:t>
      </w:r>
      <w:r>
        <w:t xml:space="preserve">silently erasing the ground’s texture every frame) were both found only by running the full</w:t>
      </w:r>
      <w:r>
        <w:t xml:space="preserve"> </w:t>
      </w:r>
      <w:r>
        <w:t xml:space="preserve">pipeline to completion and checking its output, not by reading the code and judging it</w:t>
      </w:r>
      <w:r>
        <w:t xml:space="preserve"> </w:t>
      </w:r>
      <w:r>
        <w:t xml:space="preserve">correct. A short test render of a handful of frames would not have caught the shader-cache</w:t>
      </w:r>
      <w:r>
        <w:t xml:space="preserve"> </w:t>
      </w:r>
      <w:r>
        <w:t xml:space="preserve">crash, which took roughly nine frames of repeated recompilation to trigger – "it worked on</w:t>
      </w:r>
      <w:r>
        <w:t xml:space="preserve"> </w:t>
      </w:r>
      <w:r>
        <w:t xml:space="preserve">a small sample" and "it works" are different claims for a pipeline whose failure mode is</w:t>
      </w:r>
      <w:r>
        <w:t xml:space="preserve"> </w:t>
      </w:r>
      <w:r>
        <w:t xml:space="preserve">cumulative rather than immediate.</w:t>
      </w:r>
    </w:p>
    <w:bookmarkStart w:id="33"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and OSD-522, both</w:t>
      </w:r>
      <w:r>
        <w:t xml:space="preserve"> </w:t>
      </w:r>
      <w:r>
        <w:t xml:space="preserve">confirmed real and relevant, remain unprocessed. The spaceflight comparisons reported are</w:t>
      </w:r>
      <w:r>
        <w:t xml:space="preserve"> </w:t>
      </w:r>
      <w:r>
        <w:t xml:space="preserve">mean ratios from two studies with their own genotype and lighting confounds, not a</w:t>
      </w:r>
      <w:r>
        <w:t xml:space="preserve"> </w:t>
      </w:r>
      <w:r>
        <w:t xml:space="preserve">meta-analytic or statistically tested effect size, and should not be read as one. The</w:t>
      </w:r>
      <w:r>
        <w:t xml:space="preserve"> </w:t>
      </w:r>
      <w:r>
        <w:t xml:space="preserve">growth animation’s timing rests on a single primary source</w:t>
      </w:r>
      <w:r>
        <w:t xml:space="preserve"> </w:t>
      </w:r>
      <w:r>
        <w:t xml:space="preserve">(Boyes et al. 2001)</w:t>
      </w:r>
      <w:r>
        <w:t xml:space="preserve"> </w:t>
      </w:r>
      <w:r>
        <w:t xml:space="preserve">– its</w:t>
      </w:r>
      <w:r>
        <w:t xml:space="preserve"> </w:t>
      </w:r>
      <w:r>
        <w:t xml:space="preserve">corroborating TAIR pages returned HTTP 403 to automated verification and were not</w:t>
      </w:r>
      <w:r>
        <w:t xml:space="preserve"> </w:t>
      </w:r>
      <w:r>
        <w:t xml:space="preserve">independently checked – and its root-growth curve, having no Boyes-equivalent measurement</w:t>
      </w:r>
      <w:r>
        <w:t xml:space="preserve"> </w:t>
      </w:r>
      <w:r>
        <w:t xml:space="preserve">to follow, is a disclosed proxy (the rosette-growth fraction) rather than an independently</w:t>
      </w:r>
      <w:r>
        <w:t xml:space="preserve"> </w:t>
      </w:r>
      <w:r>
        <w:t xml:space="preserve">timed root phenotype.</w:t>
      </w:r>
    </w:p>
    <w:bookmarkEnd w:id="33"/>
    <w:bookmarkStart w:id="34" w:name="what-would-make-this-stronger"/>
    <w:p>
      <w:pPr>
        <w:pStyle w:val="Heading2"/>
      </w:pPr>
      <w:r>
        <w:t xml:space="preserve">What would make this stronger</w:t>
      </w:r>
    </w:p>
    <w:p>
      <w:pPr>
        <w:pStyle w:val="FirstParagraph"/>
      </w:pPr>
      <w:r>
        <w:t xml:space="preserve">Resolving TraVA’s reuse terms directly, processing OSD-38 and OSD-522 to extend</w:t>
      </w:r>
      <w:r>
        <w:t xml:space="preserve"> </w:t>
      </w:r>
      <w:r>
        <w:t xml:space="preserve">organ-matched spaceflight coverage beyond root,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34"/>
    <w:bookmarkEnd w:id="35"/>
    <w:bookmarkStart w:id="39"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36">
        <w:r>
          <w:rPr>
            <w:rStyle w:val="Hyperlink"/>
          </w:rPr>
          <w:t xml:space="preserve">https://github.com/dr-richard-barker/arabidopsis-atlas</w:t>
        </w:r>
      </w:hyperlink>
      <w:r>
        <w:t xml:space="preserve">, deployed at</w:t>
      </w:r>
      <w:r>
        <w:t xml:space="preserve"> </w:t>
      </w:r>
      <w:hyperlink r:id="rId37">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w:t>
      </w:r>
      <w:r>
        <w:t xml:space="preserve">and OSD-314</w:t>
      </w:r>
      <w:r>
        <w:t xml:space="preserve"> </w:t>
      </w:r>
      <w:r>
        <w:t xml:space="preserve">(NASA Open Science Data Repository 2026b)</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The growth animation (</w:t>
      </w:r>
      <w:hyperlink r:id="rId38">
        <w:r>
          <w:rPr>
            <w:rStyle w:val="Hyperlink"/>
          </w:rPr>
          <w:t xml:space="preserve">https://dr-richard-barker.github.io/arabidopsis-atlas/growth.html</w:t>
        </w:r>
      </w:hyperlink>
      <w:r>
        <w:t xml:space="preserve">)</w:t>
      </w:r>
      <w:r>
        <w:t xml:space="preserve"> </w:t>
      </w:r>
      <w:r>
        <w:t xml:space="preserve">is timed to</w:t>
      </w:r>
      <w:r>
        <w:t xml:space="preserve"> </w:t>
      </w:r>
      <w:r>
        <w:t xml:space="preserve">Boyes et al. (2001)</w:t>
      </w:r>
      <w:r>
        <w:t xml:space="preserve">; prior 4D plant-modelling work discussed for context is</w:t>
      </w:r>
      <w:r>
        <w:t xml:space="preserve"> </w:t>
      </w:r>
      <w:r>
        <w:t xml:space="preserve">Fernandez et al. (2010)</w:t>
      </w:r>
      <w:r>
        <w:t xml:space="preserve">,</w:t>
      </w:r>
      <w:r>
        <w:t xml:space="preserve"> </w:t>
      </w:r>
      <w:r>
        <w:t xml:space="preserve">Chew et al. (2014)</w:t>
      </w:r>
      <w:r>
        <w:t xml:space="preserve">,</w:t>
      </w:r>
      <w:r>
        <w:t xml:space="preserve"> </w:t>
      </w:r>
      <w:r>
        <w:t xml:space="preserve">Apelt et al. (2015)</w:t>
      </w:r>
      <w:r>
        <w:t xml:space="preserve">, and</w:t>
      </w:r>
      <w:r>
        <w:t xml:space="preserve"> </w:t>
      </w:r>
      <w:r>
        <w:t xml:space="preserve">Bernotas et al. (2019)</w:t>
      </w:r>
      <w:r>
        <w:t xml:space="preserve">.</w:t>
      </w:r>
      <w:r>
        <w:t xml:space="preserve"> </w:t>
      </w:r>
      <w:r>
        <w:t xml:space="preserve">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39"/>
    <w:bookmarkStart w:id="40" w:name="competing-interests"/>
    <w:p>
      <w:pPr>
        <w:pStyle w:val="Heading1"/>
      </w:pPr>
      <w:r>
        <w:t xml:space="preserve">Competing interests</w:t>
      </w:r>
    </w:p>
    <w:p>
      <w:pPr>
        <w:pStyle w:val="FirstParagraph"/>
      </w:pPr>
      <w:r>
        <w:t xml:space="preserve">The author declares no competing interests.</w:t>
      </w:r>
    </w:p>
    <w:bookmarkEnd w:id="40"/>
    <w:bookmarkStart w:id="80"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79" w:name="refs"/>
    <w:bookmarkStart w:id="42" w:name="ref-Apelt2015"/>
    <w:p>
      <w:pPr>
        <w:pStyle w:val="Bibliography"/>
      </w:pPr>
      <w:r>
        <w:t xml:space="preserve">Apelt, Federico, David Breuer, Zoran Nikoloski, Mark Stitt, and Friedrich Kragler. 2015.</w:t>
      </w:r>
      <w:r>
        <w:t xml:space="preserve"> </w:t>
      </w:r>
      <w:r>
        <w:t xml:space="preserve">“Phytotyping</w:t>
      </w:r>
      <w:r>
        <w:t xml:space="preserve">^</w:t>
      </w:r>
      <w:r>
        <w:t xml:space="preserve">4</w:t>
      </w:r>
      <w:r>
        <w:t xml:space="preserve">D</w:t>
      </w:r>
      <w:r>
        <w:t xml:space="preserve">: A Light-Field Imaging System for Non-Invasive and Accurate Monitoring of Spatio-Temporal Plant Growth.”</w:t>
      </w:r>
      <w:r>
        <w:t xml:space="preserve"> </w:t>
      </w:r>
      <w:r>
        <w:rPr>
          <w:i/>
          <w:iCs/>
        </w:rPr>
        <w:t xml:space="preserve">The Plant Journal</w:t>
      </w:r>
      <w:r>
        <w:t xml:space="preserve"> </w:t>
      </w:r>
      <w:r>
        <w:t xml:space="preserve">82 (4): 693–706.</w:t>
      </w:r>
      <w:r>
        <w:t xml:space="preserve"> </w:t>
      </w:r>
      <w:hyperlink r:id="rId41">
        <w:r>
          <w:rPr>
            <w:rStyle w:val="Hyperlink"/>
          </w:rPr>
          <w:t xml:space="preserve">https://doi.org/10.1111/tpj.12833</w:t>
        </w:r>
      </w:hyperlink>
      <w:r>
        <w:t xml:space="preserve">.</w:t>
      </w:r>
    </w:p>
    <w:bookmarkEnd w:id="42"/>
    <w:bookmarkStart w:id="44" w:name="ref-BioOS2026"/>
    <w:p>
      <w:pPr>
        <w:pStyle w:val="Bibliography"/>
      </w:pPr>
      <w:r>
        <w:t xml:space="preserve">Auger, Emeline, Mickael Gandecki, Charly Delarche, and Francois Xavier Heng. 2026.</w:t>
      </w:r>
      <w:r>
        <w:t xml:space="preserve"> </w:t>
      </w:r>
      <w:r>
        <w:rPr>
          <w:i/>
          <w:iCs/>
        </w:rPr>
        <w:t xml:space="preserve">BioOS</w:t>
      </w:r>
      <w:r>
        <w:rPr>
          <w:i/>
          <w:iCs/>
        </w:rPr>
        <w:t xml:space="preserve">: A Gene-Driven Digital Twin Runtime for Emergent Plant Development</w:t>
      </w:r>
      <w:r>
        <w:t xml:space="preserve">. bioRxiv preprint.</w:t>
      </w:r>
      <w:r>
        <w:t xml:space="preserve"> </w:t>
      </w:r>
      <w:hyperlink r:id="rId43">
        <w:r>
          <w:rPr>
            <w:rStyle w:val="Hyperlink"/>
          </w:rPr>
          <w:t xml:space="preserve">https://doi.org/10.64898/2026.03.14.711542</w:t>
        </w:r>
      </w:hyperlink>
      <w:r>
        <w:t xml:space="preserve">.</w:t>
      </w:r>
    </w:p>
    <w:bookmarkEnd w:id="44"/>
    <w:bookmarkStart w:id="46" w:name="ref-Bernotas2019"/>
    <w:p>
      <w:pPr>
        <w:pStyle w:val="Bibliography"/>
      </w:pPr>
      <w:r>
        <w:t xml:space="preserve">Bernotas, Gytis, Livia C. T. Scorza, Mark F. Hansen, et al. 2019.</w:t>
      </w:r>
      <w:r>
        <w:t xml:space="preserve"> </w:t>
      </w:r>
      <w:r>
        <w:t xml:space="preserve">“A Photometric Stereo-Based</w:t>
      </w:r>
      <w:r>
        <w:t xml:space="preserve"> </w:t>
      </w:r>
      <w:r>
        <w:t xml:space="preserve">3D</w:t>
      </w:r>
      <w:r>
        <w:t xml:space="preserve"> </w:t>
      </w:r>
      <w:r>
        <w:t xml:space="preserve">Imaging System Using Computer Vision and Deep Learning for Tracking Plant Growth.”</w:t>
      </w:r>
      <w:r>
        <w:t xml:space="preserve"> </w:t>
      </w:r>
      <w:r>
        <w:rPr>
          <w:i/>
          <w:iCs/>
        </w:rPr>
        <w:t xml:space="preserve">GigaScience</w:t>
      </w:r>
      <w:r>
        <w:t xml:space="preserve"> </w:t>
      </w:r>
      <w:r>
        <w:t xml:space="preserve">8 (5): giz056.</w:t>
      </w:r>
      <w:r>
        <w:t xml:space="preserve"> </w:t>
      </w:r>
      <w:hyperlink r:id="rId45">
        <w:r>
          <w:rPr>
            <w:rStyle w:val="Hyperlink"/>
          </w:rPr>
          <w:t xml:space="preserve">https://doi.org/10.1093/gigascience/giz056</w:t>
        </w:r>
      </w:hyperlink>
      <w:r>
        <w:t xml:space="preserve">.</w:t>
      </w:r>
    </w:p>
    <w:bookmarkEnd w:id="46"/>
    <w:bookmarkStart w:id="48" w:name="ref-Boyes2001"/>
    <w:p>
      <w:pPr>
        <w:pStyle w:val="Bibliography"/>
      </w:pPr>
      <w:r>
        <w:t xml:space="preserve">Boyes, Douglas C., Adel M. Zayed, Robert Ascenzi, et al. 2001.</w:t>
      </w:r>
      <w:r>
        <w:t xml:space="preserve"> </w:t>
      </w:r>
      <w:r>
        <w:t xml:space="preserve">“Growth Stage-Based Phenotypic Analysis of</w:t>
      </w:r>
      <w:r>
        <w:t xml:space="preserve"> </w:t>
      </w:r>
      <w:r>
        <w:t xml:space="preserve">Arabidopsis</w:t>
      </w:r>
      <w:r>
        <w:t xml:space="preserve">: A Model for High Throughput Functional Genomics in Plants.”</w:t>
      </w:r>
      <w:r>
        <w:t xml:space="preserve"> </w:t>
      </w:r>
      <w:r>
        <w:rPr>
          <w:i/>
          <w:iCs/>
        </w:rPr>
        <w:t xml:space="preserve">The Plant Cell</w:t>
      </w:r>
      <w:r>
        <w:t xml:space="preserve"> </w:t>
      </w:r>
      <w:r>
        <w:t xml:space="preserve">13 (7): 1499–510.</w:t>
      </w:r>
      <w:r>
        <w:t xml:space="preserve"> </w:t>
      </w:r>
      <w:hyperlink r:id="rId47">
        <w:r>
          <w:rPr>
            <w:rStyle w:val="Hyperlink"/>
          </w:rPr>
          <w:t xml:space="preserve">https://doi.org/10.1105/tpc.010011</w:t>
        </w:r>
      </w:hyperlink>
      <w:r>
        <w:t xml:space="preserve">.</w:t>
      </w:r>
    </w:p>
    <w:bookmarkEnd w:id="48"/>
    <w:bookmarkStart w:id="50"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49">
        <w:r>
          <w:rPr>
            <w:rStyle w:val="Hyperlink"/>
          </w:rPr>
          <w:t xml:space="preserve">https://doi.org/10.1371/journal.pone.0046262</w:t>
        </w:r>
      </w:hyperlink>
      <w:r>
        <w:t xml:space="preserve">.</w:t>
      </w:r>
    </w:p>
    <w:bookmarkEnd w:id="50"/>
    <w:bookmarkStart w:id="52"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51">
        <w:r>
          <w:rPr>
            <w:rStyle w:val="Hyperlink"/>
          </w:rPr>
          <w:t xml:space="preserve">https://doi.org/10.1371/journal.pone.0096889</w:t>
        </w:r>
      </w:hyperlink>
      <w:r>
        <w:t xml:space="preserve">.</w:t>
      </w:r>
    </w:p>
    <w:bookmarkEnd w:id="52"/>
    <w:bookmarkStart w:id="54" w:name="ref-Chew2014"/>
    <w:p>
      <w:pPr>
        <w:pStyle w:val="Bibliography"/>
      </w:pPr>
      <w:r>
        <w:t xml:space="preserve">Chew, Yin Hoon, Bénédicte Wenden, Anna Flis, et al. 2014.</w:t>
      </w:r>
      <w:r>
        <w:t xml:space="preserve"> </w:t>
      </w:r>
      <w:r>
        <w:t xml:space="preserve">“Multiscale Digital</w:t>
      </w:r>
      <w:r>
        <w:t xml:space="preserve"> </w:t>
      </w:r>
      <w:r>
        <w:t xml:space="preserve">Arabidopsis</w:t>
      </w:r>
      <w:r>
        <w:t xml:space="preserve"> </w:t>
      </w:r>
      <w:r>
        <w:t xml:space="preserve">Predicts Individual Organ and Whole-Organism Growth.”</w:t>
      </w:r>
      <w:r>
        <w:t xml:space="preserve"> </w:t>
      </w:r>
      <w:r>
        <w:rPr>
          <w:i/>
          <w:iCs/>
        </w:rPr>
        <w:t xml:space="preserve">Proceedings of the National Academy of Sciences</w:t>
      </w:r>
      <w:r>
        <w:t xml:space="preserve"> </w:t>
      </w:r>
      <w:r>
        <w:t xml:space="preserve">111.</w:t>
      </w:r>
      <w:r>
        <w:t xml:space="preserve"> </w:t>
      </w:r>
      <w:hyperlink r:id="rId53">
        <w:r>
          <w:rPr>
            <w:rStyle w:val="Hyperlink"/>
          </w:rPr>
          <w:t xml:space="preserve">https://doi.org/10.1073/pnas.1410238111</w:t>
        </w:r>
      </w:hyperlink>
      <w:r>
        <w:t xml:space="preserve">.</w:t>
      </w:r>
    </w:p>
    <w:bookmarkEnd w:id="54"/>
    <w:bookmarkStart w:id="56"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55">
        <w:r>
          <w:rPr>
            <w:rStyle w:val="Hyperlink"/>
          </w:rPr>
          <w:t xml:space="preserve">https://doi.org/10.3389/fpls.2018.00322</w:t>
        </w:r>
      </w:hyperlink>
      <w:r>
        <w:t xml:space="preserve">.</w:t>
      </w:r>
    </w:p>
    <w:bookmarkEnd w:id="56"/>
    <w:bookmarkStart w:id="58" w:name="ref-Fernandez2010"/>
    <w:p>
      <w:pPr>
        <w:pStyle w:val="Bibliography"/>
      </w:pPr>
      <w:r>
        <w:t xml:space="preserve">Fernandez, Romain, Pradeep Das, Vincent Mirabet, et al. 2010.</w:t>
      </w:r>
      <w:r>
        <w:t xml:space="preserve"> </w:t>
      </w:r>
      <w:r>
        <w:t xml:space="preserve">“Imaging Plant Growth in 4</w:t>
      </w:r>
      <w:r>
        <w:t xml:space="preserve">D</w:t>
      </w:r>
      <w:r>
        <w:t xml:space="preserve">: Robust Tissue Reconstruction and Lineaging at Cell Resolution.”</w:t>
      </w:r>
      <w:r>
        <w:t xml:space="preserve"> </w:t>
      </w:r>
      <w:r>
        <w:rPr>
          <w:i/>
          <w:iCs/>
        </w:rPr>
        <w:t xml:space="preserve">Nature Methods</w:t>
      </w:r>
      <w:r>
        <w:t xml:space="preserve"> </w:t>
      </w:r>
      <w:r>
        <w:t xml:space="preserve">7: 547–53.</w:t>
      </w:r>
      <w:r>
        <w:t xml:space="preserve"> </w:t>
      </w:r>
      <w:hyperlink r:id="rId57">
        <w:r>
          <w:rPr>
            <w:rStyle w:val="Hyperlink"/>
          </w:rPr>
          <w:t xml:space="preserve">https://doi.org/10.1038/nmeth.1472</w:t>
        </w:r>
      </w:hyperlink>
      <w:r>
        <w:t xml:space="preserve">.</w:t>
      </w:r>
    </w:p>
    <w:bookmarkEnd w:id="58"/>
    <w:bookmarkStart w:id="60"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59">
        <w:r>
          <w:rPr>
            <w:rStyle w:val="Hyperlink"/>
          </w:rPr>
          <w:t xml:space="preserve">https://doi.org/10.1111/tpj.13312</w:t>
        </w:r>
      </w:hyperlink>
      <w:r>
        <w:t xml:space="preserve">.</w:t>
      </w:r>
    </w:p>
    <w:bookmarkEnd w:id="60"/>
    <w:bookmarkStart w:id="62" w:name="ref-Lee2025"/>
    <w:p>
      <w:pPr>
        <w:pStyle w:val="Bibliography"/>
      </w:pPr>
      <w:r>
        <w:t xml:space="preserve">Lee, Tzuu-fen A., Neta Illouz-Eliaz, Tatsuya Nobori, et al. 2025.</w:t>
      </w:r>
      <w:r>
        <w:t xml:space="preserve"> </w:t>
      </w:r>
      <w:r>
        <w:t xml:space="preserve">“A Single-Cell, Spatial Transcriptomic Atlas of the</w:t>
      </w:r>
      <w:r>
        <w:t xml:space="preserve"> </w:t>
      </w:r>
      <w:r>
        <w:t xml:space="preserve">Arabidopsis</w:t>
      </w:r>
      <w:r>
        <w:t xml:space="preserve"> </w:t>
      </w:r>
      <w:r>
        <w:t xml:space="preserve">Life Cycle.”</w:t>
      </w:r>
      <w:r>
        <w:t xml:space="preserve"> </w:t>
      </w:r>
      <w:r>
        <w:rPr>
          <w:i/>
          <w:iCs/>
        </w:rPr>
        <w:t xml:space="preserve">Nature Plants</w:t>
      </w:r>
      <w:r>
        <w:t xml:space="preserve"> </w:t>
      </w:r>
      <w:r>
        <w:t xml:space="preserve">11 (9): 1960–75.</w:t>
      </w:r>
      <w:r>
        <w:t xml:space="preserve"> </w:t>
      </w:r>
      <w:hyperlink r:id="rId61">
        <w:r>
          <w:rPr>
            <w:rStyle w:val="Hyperlink"/>
          </w:rPr>
          <w:t xml:space="preserve">https://doi.org/10.1038/s41477-025-02072-z</w:t>
        </w:r>
      </w:hyperlink>
      <w:r>
        <w:t xml:space="preserve">.</w:t>
      </w:r>
    </w:p>
    <w:bookmarkEnd w:id="62"/>
    <w:bookmarkStart w:id="64"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63">
        <w:r>
          <w:rPr>
            <w:rStyle w:val="Hyperlink"/>
          </w:rPr>
          <w:t xml:space="preserve">Https://osdr.nasa.gov/osdr/data/osd/meta/120</w:t>
        </w:r>
      </w:hyperlink>
      <w:r>
        <w:t xml:space="preserve">.</w:t>
      </w:r>
    </w:p>
    <w:bookmarkEnd w:id="64"/>
    <w:bookmarkStart w:id="66"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65">
        <w:r>
          <w:rPr>
            <w:rStyle w:val="Hyperlink"/>
          </w:rPr>
          <w:t xml:space="preserve">Https://osdr.nasa.gov/osdr/data/osd/meta/314</w:t>
        </w:r>
      </w:hyperlink>
      <w:r>
        <w:t xml:space="preserve">.</w:t>
      </w:r>
    </w:p>
    <w:bookmarkEnd w:id="66"/>
    <w:bookmarkStart w:id="68" w:name="ref-OSD522"/>
    <w:p>
      <w:pPr>
        <w:pStyle w:val="Bibliography"/>
      </w:pPr>
      <w:r>
        <w:t xml:space="preserve">NASA Open Science Data Repository. 2026c.</w:t>
      </w:r>
      <w:r>
        <w:t xml:space="preserve"> </w:t>
      </w:r>
      <w:r>
        <w:rPr>
          <w:i/>
          <w:iCs/>
        </w:rPr>
        <w:t xml:space="preserve">OSD-522</w:t>
      </w:r>
      <w:r>
        <w:rPr>
          <w:i/>
          <w:iCs/>
        </w:rPr>
        <w:t xml:space="preserve">: Integrative Transcriptomics and Proteomics Profiling of</w:t>
      </w:r>
      <w:r>
        <w:rPr>
          <w:i/>
          <w:iCs/>
        </w:rPr>
        <w:t xml:space="preserve"> </w:t>
      </w:r>
      <w:r>
        <w:rPr>
          <w:i/>
          <w:iCs/>
        </w:rPr>
        <w:t xml:space="preserve">Arabidopsis thaliana</w:t>
      </w:r>
      <w:r>
        <w:rPr>
          <w:i/>
          <w:iCs/>
        </w:rPr>
        <w:t xml:space="preserve"> </w:t>
      </w:r>
      <w:r>
        <w:rPr>
          <w:i/>
          <w:iCs/>
        </w:rPr>
        <w:t xml:space="preserve">Elucidates Novel Mechanisms Underlying Spaceflight Adaptation</w:t>
      </w:r>
      <w:r>
        <w:t xml:space="preserve">.</w:t>
      </w:r>
      <w:r>
        <w:t xml:space="preserve"> </w:t>
      </w:r>
      <w:hyperlink r:id="rId67">
        <w:r>
          <w:rPr>
            <w:rStyle w:val="Hyperlink"/>
          </w:rPr>
          <w:t xml:space="preserve">Https://osdr.nasa.gov/osdr/data/osd/meta/522</w:t>
        </w:r>
      </w:hyperlink>
      <w:r>
        <w:t xml:space="preserve">.</w:t>
      </w:r>
    </w:p>
    <w:bookmarkEnd w:id="68"/>
    <w:bookmarkStart w:id="70" w:name="ref-DalMolin2010"/>
    <w:p>
      <w:pPr>
        <w:pStyle w:val="Bibliography"/>
      </w:pPr>
      <w:r>
        <w:t xml:space="preserve">Oliveira Dal’Molin, Cristiana Gomes de, Lake-Ee Quek, Robin W. Palfreyman, Stevens M. Brumbley, and Lars K. Nielsen. 2010.</w:t>
      </w:r>
      <w:r>
        <w:t xml:space="preserve"> </w:t>
      </w:r>
      <w:r>
        <w:t xml:space="preserve">“</w:t>
      </w:r>
      <w:r>
        <w:t xml:space="preserve">AraGEM</w:t>
      </w:r>
      <w:r>
        <w:t xml:space="preserve">, a Genome-Scale Reconstruction of the Primary Metabolic Network in</w:t>
      </w:r>
      <w:r>
        <w:t xml:space="preserve"> </w:t>
      </w:r>
      <w:r>
        <w:t xml:space="preserve">Arabidopsis</w:t>
      </w:r>
      <w:r>
        <w:t xml:space="preserve">.”</w:t>
      </w:r>
      <w:r>
        <w:t xml:space="preserve"> </w:t>
      </w:r>
      <w:r>
        <w:rPr>
          <w:i/>
          <w:iCs/>
        </w:rPr>
        <w:t xml:space="preserve">Plant Physiology</w:t>
      </w:r>
      <w:r>
        <w:t xml:space="preserve"> </w:t>
      </w:r>
      <w:r>
        <w:t xml:space="preserve">152 (2): 579–89.</w:t>
      </w:r>
      <w:r>
        <w:t xml:space="preserve"> </w:t>
      </w:r>
      <w:hyperlink r:id="rId69">
        <w:r>
          <w:rPr>
            <w:rStyle w:val="Hyperlink"/>
          </w:rPr>
          <w:t xml:space="preserve">https://doi.org/10.1104/pp.109.148817</w:t>
        </w:r>
      </w:hyperlink>
      <w:r>
        <w:t xml:space="preserve">.</w:t>
      </w:r>
    </w:p>
    <w:bookmarkEnd w:id="70"/>
    <w:bookmarkStart w:id="72"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71">
        <w:r>
          <w:rPr>
            <w:rStyle w:val="Hyperlink"/>
          </w:rPr>
          <w:t xml:space="preserve">https://doi.org/10.1016/j.devcel.2022.01.008</w:t>
        </w:r>
      </w:hyperlink>
      <w:r>
        <w:t xml:space="preserve">.</w:t>
      </w:r>
    </w:p>
    <w:bookmarkEnd w:id="72"/>
    <w:bookmarkStart w:id="74"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73">
        <w:r>
          <w:rPr>
            <w:rStyle w:val="Hyperlink"/>
          </w:rPr>
          <w:t xml:space="preserve">https://doi.org/10.1186/s13007-018-0333-4</w:t>
        </w:r>
      </w:hyperlink>
      <w:r>
        <w:t xml:space="preserve">.</w:t>
      </w:r>
    </w:p>
    <w:bookmarkEnd w:id="74"/>
    <w:bookmarkStart w:id="76"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75">
        <w:r>
          <w:rPr>
            <w:rStyle w:val="Hyperlink"/>
          </w:rPr>
          <w:t xml:space="preserve">https://doi.org/10.1105/tpc.8.4.735</w:t>
        </w:r>
      </w:hyperlink>
      <w:r>
        <w:t xml:space="preserve">.</w:t>
      </w:r>
    </w:p>
    <w:bookmarkEnd w:id="76"/>
    <w:bookmarkStart w:id="78"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77">
        <w:r>
          <w:rPr>
            <w:rStyle w:val="Hyperlink"/>
          </w:rPr>
          <w:t xml:space="preserve">https://doi.org/10.7554/eLife.63262</w:t>
        </w:r>
      </w:hyperlink>
      <w:r>
        <w:t xml:space="preserve">.</w:t>
      </w:r>
    </w:p>
    <w:bookmarkEnd w:id="78"/>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71"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69"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5"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3"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43" Target="https://doi.org/10.64898/2026.03.14.711542" TargetMode="External" /><Relationship Type="http://schemas.openxmlformats.org/officeDocument/2006/relationships/hyperlink" Id="rId77"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69"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5"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3"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43" Target="https://doi.org/10.64898/2026.03.14.711542" TargetMode="External" /><Relationship Type="http://schemas.openxmlformats.org/officeDocument/2006/relationships/hyperlink" Id="rId77"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2026-09-21T17:54:39Z</dcterms:created>
  <dcterms:modified xsi:type="dcterms:W3CDTF">2026-09-21T17:54:39Z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A third pass adds a seed-to-flowering growth animation timed to Boyes et al. (2001)’s 28 real measured developmental-stage transitions rather than an invented pace, each of 576 frames an independently regenerated snapshot from the same live generator, not an interpolated or hand-animated mesh; we explicitly do not claim this is the most detailed 4D Arabidopsis model produced to date, since the real state of the art is fragmented across cell-lineage imaging, whole-plant growth modelling, and rosette phenotyping with no single existing bar to measure against.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2026-09-21</vt:lpwstr>
  </property>
</Properties>
</file>