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2026-09-18</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The result is graded against</w:t>
      </w:r>
      <w:r>
        <w:t xml:space="preserve"> </w:t>
      </w:r>
      <w:r>
        <w:t xml:space="preserve">our own portfolio’s evidence gate before publication, and every claim in this manuscript</w:t>
      </w:r>
      <w:r>
        <w:t xml:space="preserve"> </w:t>
      </w:r>
      <w:r>
        <w:t xml:space="preserve">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two (OSD-38, OSD-522) are cited as confirmed,</w:t>
      </w:r>
      <w:r>
        <w:t xml:space="preserve"> </w:t>
      </w:r>
      <w:r>
        <w:t xml:space="preserve">relevant, real studies but are not yet quantitatively integrated, and are documented as</w:t>
      </w:r>
      <w:r>
        <w:t xml:space="preserve"> </w:t>
      </w:r>
      <w:r>
        <w:t xml:space="preserve">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29"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7"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4267200"/>
                  <wp:effectExtent b="0" l="0" r="0" t="0"/>
                  <wp:docPr descr="" title="" id="22" name="Picture"/>
                  <a:graphic>
                    <a:graphicData uri="http://schemas.openxmlformats.org/drawingml/2006/picture">
                      <pic:pic>
                        <pic:nvPicPr>
                          <pic:cNvPr descr="../figures/col0_showcase.png" id="23" name="Picture"/>
                          <pic:cNvPicPr>
                            <a:picLocks noChangeArrowheads="1" noChangeAspect="1"/>
                          </pic:cNvPicPr>
                        </pic:nvPicPr>
                        <pic:blipFill>
                          <a:blip r:embed="rId21"/>
                          <a:stretch>
                            <a:fillRect/>
                          </a:stretch>
                        </pic:blipFill>
                        <pic:spPr bwMode="auto">
                          <a:xfrm>
                            <a:off x="0" y="0"/>
                            <a:ext cx="2667000" cy="4267200"/>
                          </a:xfrm>
                          <a:prstGeom prst="rect">
                            <a:avLst/>
                          </a:prstGeom>
                          <a:noFill/>
                          <a:ln w="9525">
                            <a:noFill/>
                            <a:headEnd/>
                            <a:tailEnd/>
                          </a:ln>
                        </pic:spPr>
                      </pic:pic>
                    </a:graphicData>
                  </a:graphic>
                </wp:inline>
              </w:drawing>
            </w:r>
          </w:p>
        </w:tc>
        <w:tc>
          <w:tcPr/>
          <w:p>
            <w:pPr>
              <w:pStyle w:val="Compact"/>
              <w:jc w:val="center"/>
            </w:pPr>
            <w:r>
              <w:drawing>
                <wp:inline>
                  <wp:extent cx="2667000" cy="4267200"/>
                  <wp:effectExtent b="0" l="0" r="0" t="0"/>
                  <wp:docPr descr="" title="" id="25" name="Picture"/>
                  <a:graphic>
                    <a:graphicData uri="http://schemas.openxmlformats.org/drawingml/2006/picture">
                      <pic:pic>
                        <pic:nvPicPr>
                          <pic:cNvPr descr="../figures/ler_showcase.png" id="26" name="Picture"/>
                          <pic:cNvPicPr>
                            <a:picLocks noChangeArrowheads="1" noChangeAspect="1"/>
                          </pic:cNvPicPr>
                        </pic:nvPicPr>
                        <pic:blipFill>
                          <a:blip r:embed="rId24"/>
                          <a:stretch>
                            <a:fillRect/>
                          </a:stretch>
                        </pic:blipFill>
                        <pic:spPr bwMode="auto">
                          <a:xfrm>
                            <a:off x="0" y="0"/>
                            <a:ext cx="2667000" cy="4267200"/>
                          </a:xfrm>
                          <a:prstGeom prst="rect">
                            <a:avLst/>
                          </a:prstGeom>
                          <a:noFill/>
                          <a:ln w="9525">
                            <a:noFill/>
                            <a:headEnd/>
                            <a:tailEnd/>
                          </a:ln>
                        </pic:spPr>
                      </pic:pic>
                    </a:graphicData>
                  </a:graphic>
                </wp:inline>
              </w:drawing>
            </w:r>
          </w:p>
        </w:tc>
      </w:tr>
    </w:tbl>
    <w:p>
      <w:pPr>
        <w:pStyle w:val="ImageCaption"/>
      </w:pPr>
      <w:r>
        <w:t xml:space="preserve">Col-0 (left) and Ler (right), rendered from the same live generator</w:t>
      </w:r>
      <w:r>
        <w:t xml:space="preserve"> </w:t>
      </w:r>
      <w:r>
        <w:t xml:space="preserve">(</w:t>
      </w:r>
      <w:r>
        <w:rPr>
          <w:rStyle w:val="VerbatimChar"/>
        </w:rPr>
        <w:t xml:space="preserve">app/src/geometry.ts</w:t>
      </w:r>
      <w:r>
        <w:t xml:space="preserve">) used in the interactive viewer, refined offline in Blender</w:t>
      </w:r>
      <w:r>
        <w:t xml:space="preserve"> </w:t>
      </w:r>
      <w:r>
        <w:t xml:space="preserve">5.2 (</w:t>
      </w:r>
      <w:r>
        <w:rPr>
          <w:rStyle w:val="VerbatimChar"/>
        </w:rPr>
        <w:t xml:space="preserve">blender/refine_showcase.py</w:t>
      </w:r>
      <w:r>
        <w:t xml:space="preserve">: a Solidify modifier and</w:t>
      </w:r>
      <w:r>
        <w:t xml:space="preserve"> </w:t>
      </w:r>
      <w:r>
        <w:rPr>
          <w:rStyle w:val="VerbatimChar"/>
        </w:rPr>
        <w:t xml:space="preserve">shade_smooth</w:t>
      </w:r>
      <w:r>
        <w:t xml:space="preserve"> </w:t>
      </w:r>
      <w:r>
        <w:t xml:space="preserve">applied only to leaf-blade meshes, matching rice-atlas’s own actual technique) and rendered</w:t>
      </w:r>
      <w:r>
        <w:t xml:space="preserve"> </w:t>
      </w:r>
      <w:r>
        <w:t xml:space="preserve">with EEVEE. This step is separate from the live viewer, which stays fully procedural so</w:t>
      </w:r>
      <w:r>
        <w:t xml:space="preserve"> </w:t>
      </w:r>
      <w:r>
        <w:t xml:space="preserve">ecotype-switching keeps working; the plant shown here is the real parametric output for</w:t>
      </w:r>
      <w:r>
        <w:t xml:space="preserve"> </w:t>
      </w:r>
      <w:r>
        <w:t xml:space="preserve">each ecotype, not a hand-modeled illustration.</w:t>
      </w:r>
    </w:p>
    <w:bookmarkEnd w:id="27"/>
    <w:bookmarkStart w:id="28"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w:t>
      </w:r>
    </w:p>
    <w:bookmarkEnd w:id="28"/>
    <w:bookmarkEnd w:id="29"/>
    <w:bookmarkStart w:id="32"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bookmarkStart w:id="30"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and OSD-522, both</w:t>
      </w:r>
      <w:r>
        <w:t xml:space="preserve"> </w:t>
      </w:r>
      <w:r>
        <w:t xml:space="preserve">confirmed real and relevant, remain unprocessed. The spaceflight comparisons reported are</w:t>
      </w:r>
      <w:r>
        <w:t xml:space="preserve"> </w:t>
      </w:r>
      <w:r>
        <w:t xml:space="preserve">mean ratios from two studies with their own genotype and lighting confounds, not a</w:t>
      </w:r>
      <w:r>
        <w:t xml:space="preserve"> </w:t>
      </w:r>
      <w:r>
        <w:t xml:space="preserve">meta-analytic or statistically tested effect size, and should not be read as one.</w:t>
      </w:r>
    </w:p>
    <w:bookmarkEnd w:id="30"/>
    <w:bookmarkStart w:id="31" w:name="what-would-make-this-stronger"/>
    <w:p>
      <w:pPr>
        <w:pStyle w:val="Heading2"/>
      </w:pPr>
      <w:r>
        <w:t xml:space="preserve">What would make this stronger</w:t>
      </w:r>
    </w:p>
    <w:p>
      <w:pPr>
        <w:pStyle w:val="FirstParagraph"/>
      </w:pPr>
      <w:r>
        <w:t xml:space="preserve">Resolving TraVA’s reuse terms directly, processing OSD-38 and OSD-522 to extend</w:t>
      </w:r>
      <w:r>
        <w:t xml:space="preserve"> </w:t>
      </w:r>
      <w:r>
        <w:t xml:space="preserve">organ-matched spaceflight coverage beyond root,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31"/>
    <w:bookmarkEnd w:id="32"/>
    <w:bookmarkStart w:id="35"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33">
        <w:r>
          <w:rPr>
            <w:rStyle w:val="Hyperlink"/>
          </w:rPr>
          <w:t xml:space="preserve">https://github.com/dr-richard-barker/arabidopsis-atlas</w:t>
        </w:r>
      </w:hyperlink>
      <w:r>
        <w:t xml:space="preserve">, deployed at</w:t>
      </w:r>
      <w:r>
        <w:t xml:space="preserve"> </w:t>
      </w:r>
      <w:hyperlink r:id="rId34">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w:t>
      </w:r>
      <w:r>
        <w:t xml:space="preserve">and OSD-314</w:t>
      </w:r>
      <w:r>
        <w:t xml:space="preserve"> </w:t>
      </w:r>
      <w:r>
        <w:t xml:space="preserve">(NASA Open Science Data Repository 2026b)</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35"/>
    <w:bookmarkStart w:id="36" w:name="competing-interests"/>
    <w:p>
      <w:pPr>
        <w:pStyle w:val="Heading1"/>
      </w:pPr>
      <w:r>
        <w:t xml:space="preserve">Competing interests</w:t>
      </w:r>
    </w:p>
    <w:p>
      <w:pPr>
        <w:pStyle w:val="FirstParagraph"/>
      </w:pPr>
      <w:r>
        <w:t xml:space="preserve">The author declares no competing interests.</w:t>
      </w:r>
    </w:p>
    <w:bookmarkEnd w:id="36"/>
    <w:bookmarkStart w:id="58"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57" w:name="refs"/>
    <w:bookmarkStart w:id="38"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37">
        <w:r>
          <w:rPr>
            <w:rStyle w:val="Hyperlink"/>
          </w:rPr>
          <w:t xml:space="preserve">https://doi.org/10.1371/journal.pone.0046262</w:t>
        </w:r>
      </w:hyperlink>
      <w:r>
        <w:t xml:space="preserve">.</w:t>
      </w:r>
    </w:p>
    <w:bookmarkEnd w:id="38"/>
    <w:bookmarkStart w:id="40"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39">
        <w:r>
          <w:rPr>
            <w:rStyle w:val="Hyperlink"/>
          </w:rPr>
          <w:t xml:space="preserve">https://doi.org/10.1371/journal.pone.0096889</w:t>
        </w:r>
      </w:hyperlink>
      <w:r>
        <w:t xml:space="preserve">.</w:t>
      </w:r>
    </w:p>
    <w:bookmarkEnd w:id="40"/>
    <w:bookmarkStart w:id="42"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41">
        <w:r>
          <w:rPr>
            <w:rStyle w:val="Hyperlink"/>
          </w:rPr>
          <w:t xml:space="preserve">https://doi.org/10.3389/fpls.2018.00322</w:t>
        </w:r>
      </w:hyperlink>
      <w:r>
        <w:t xml:space="preserve">.</w:t>
      </w:r>
    </w:p>
    <w:bookmarkEnd w:id="42"/>
    <w:bookmarkStart w:id="44"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43">
        <w:r>
          <w:rPr>
            <w:rStyle w:val="Hyperlink"/>
          </w:rPr>
          <w:t xml:space="preserve">https://doi.org/10.1111/tpj.13312</w:t>
        </w:r>
      </w:hyperlink>
      <w:r>
        <w:t xml:space="preserve">.</w:t>
      </w:r>
    </w:p>
    <w:bookmarkEnd w:id="44"/>
    <w:bookmarkStart w:id="46"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45">
        <w:r>
          <w:rPr>
            <w:rStyle w:val="Hyperlink"/>
          </w:rPr>
          <w:t xml:space="preserve">Https://osdr.nasa.gov/osdr/data/osd/meta/120</w:t>
        </w:r>
      </w:hyperlink>
      <w:r>
        <w:t xml:space="preserve">.</w:t>
      </w:r>
    </w:p>
    <w:bookmarkEnd w:id="46"/>
    <w:bookmarkStart w:id="48"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47">
        <w:r>
          <w:rPr>
            <w:rStyle w:val="Hyperlink"/>
          </w:rPr>
          <w:t xml:space="preserve">Https://osdr.nasa.gov/osdr/data/osd/meta/314</w:t>
        </w:r>
      </w:hyperlink>
      <w:r>
        <w:t xml:space="preserve">.</w:t>
      </w:r>
    </w:p>
    <w:bookmarkEnd w:id="48"/>
    <w:bookmarkStart w:id="50"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49">
        <w:r>
          <w:rPr>
            <w:rStyle w:val="Hyperlink"/>
          </w:rPr>
          <w:t xml:space="preserve">https://doi.org/10.1016/j.devcel.2022.01.008</w:t>
        </w:r>
      </w:hyperlink>
      <w:r>
        <w:t xml:space="preserve">.</w:t>
      </w:r>
    </w:p>
    <w:bookmarkEnd w:id="50"/>
    <w:bookmarkStart w:id="52"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51">
        <w:r>
          <w:rPr>
            <w:rStyle w:val="Hyperlink"/>
          </w:rPr>
          <w:t xml:space="preserve">https://doi.org/10.1186/s13007-018-0333-4</w:t>
        </w:r>
      </w:hyperlink>
      <w:r>
        <w:t xml:space="preserve">.</w:t>
      </w:r>
    </w:p>
    <w:bookmarkEnd w:id="52"/>
    <w:bookmarkStart w:id="54"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53">
        <w:r>
          <w:rPr>
            <w:rStyle w:val="Hyperlink"/>
          </w:rPr>
          <w:t xml:space="preserve">https://doi.org/10.1105/tpc.8.4.735</w:t>
        </w:r>
      </w:hyperlink>
      <w:r>
        <w:t xml:space="preserve">.</w:t>
      </w:r>
    </w:p>
    <w:bookmarkEnd w:id="54"/>
    <w:bookmarkStart w:id="56"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55">
        <w:r>
          <w:rPr>
            <w:rStyle w:val="Hyperlink"/>
          </w:rPr>
          <w:t xml:space="preserve">https://doi.org/10.7554/eLife.63262</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49" Target="https://doi.org/10.1016/j.devcel.2022.01.008" TargetMode="External" /><Relationship Type="http://schemas.openxmlformats.org/officeDocument/2006/relationships/hyperlink" Id="rId53" Target="https://doi.org/10.1105/tpc.8.4.735" TargetMode="External" /><Relationship Type="http://schemas.openxmlformats.org/officeDocument/2006/relationships/hyperlink" Id="rId43" Target="https://doi.org/10.1111/tpj.13312" TargetMode="External" /><Relationship Type="http://schemas.openxmlformats.org/officeDocument/2006/relationships/hyperlink" Id="rId51" Target="https://doi.org/10.1186/s13007-018-0333-4" TargetMode="External" /><Relationship Type="http://schemas.openxmlformats.org/officeDocument/2006/relationships/hyperlink" Id="rId37" Target="https://doi.org/10.1371/journal.pone.0046262" TargetMode="External" /><Relationship Type="http://schemas.openxmlformats.org/officeDocument/2006/relationships/hyperlink" Id="rId39" Target="https://doi.org/10.1371/journal.pone.0096889" TargetMode="External" /><Relationship Type="http://schemas.openxmlformats.org/officeDocument/2006/relationships/hyperlink" Id="rId41" Target="https://doi.org/10.3389/fpls.2018.00322" TargetMode="External" /><Relationship Type="http://schemas.openxmlformats.org/officeDocument/2006/relationships/hyperlink" Id="rId55" Target="https://doi.org/10.7554/eLife.63262" TargetMode="External" /><Relationship Type="http://schemas.openxmlformats.org/officeDocument/2006/relationships/hyperlink" Id="rId34" Target="https://dr-richard-barker.github.io/arabidopsis-atlas/" TargetMode="External" /><Relationship Type="http://schemas.openxmlformats.org/officeDocument/2006/relationships/hyperlink" Id="rId33"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45" Target="https://osdr.nasa.gov/osdr/data/osd/meta/120" TargetMode="External" /><Relationship Type="http://schemas.openxmlformats.org/officeDocument/2006/relationships/hyperlink" Id="rId47" Target="https://osdr.nasa.gov/osdr/data/osd/meta/314"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16/j.devcel.2022.01.008" TargetMode="External" /><Relationship Type="http://schemas.openxmlformats.org/officeDocument/2006/relationships/hyperlink" Id="rId53" Target="https://doi.org/10.1105/tpc.8.4.735" TargetMode="External" /><Relationship Type="http://schemas.openxmlformats.org/officeDocument/2006/relationships/hyperlink" Id="rId43" Target="https://doi.org/10.1111/tpj.13312" TargetMode="External" /><Relationship Type="http://schemas.openxmlformats.org/officeDocument/2006/relationships/hyperlink" Id="rId51" Target="https://doi.org/10.1186/s13007-018-0333-4" TargetMode="External" /><Relationship Type="http://schemas.openxmlformats.org/officeDocument/2006/relationships/hyperlink" Id="rId37" Target="https://doi.org/10.1371/journal.pone.0046262" TargetMode="External" /><Relationship Type="http://schemas.openxmlformats.org/officeDocument/2006/relationships/hyperlink" Id="rId39" Target="https://doi.org/10.1371/journal.pone.0096889" TargetMode="External" /><Relationship Type="http://schemas.openxmlformats.org/officeDocument/2006/relationships/hyperlink" Id="rId41" Target="https://doi.org/10.3389/fpls.2018.00322" TargetMode="External" /><Relationship Type="http://schemas.openxmlformats.org/officeDocument/2006/relationships/hyperlink" Id="rId55" Target="https://doi.org/10.7554/eLife.63262" TargetMode="External" /><Relationship Type="http://schemas.openxmlformats.org/officeDocument/2006/relationships/hyperlink" Id="rId34" Target="https://dr-richard-barker.github.io/arabidopsis-atlas/" TargetMode="External" /><Relationship Type="http://schemas.openxmlformats.org/officeDocument/2006/relationships/hyperlink" Id="rId33"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45" Target="https://osdr.nasa.gov/osdr/data/osd/meta/120" TargetMode="External" /><Relationship Type="http://schemas.openxmlformats.org/officeDocument/2006/relationships/hyperlink" Id="rId47" Target="https://osdr.nasa.gov/osdr/data/osd/meta/3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2026-09-18T23:42:27Z</dcterms:created>
  <dcterms:modified xsi:type="dcterms:W3CDTF">2026-09-18T23:42:27Z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2026-09-18</vt:lpwstr>
  </property>
</Properties>
</file>