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  <Override PartName="/word/media/rId79.png" ContentType="image/png"/>
  <Override PartName="/word/media/rId84.png" ContentType="image/png"/>
  <Override PartName="/word/media/rId89.png" ContentType="image/png"/>
  <Override PartName="/word/media/rId94.png" ContentType="image/png"/>
  <Override PartName="/word/media/rId21.png" ContentType="image/png"/>
  <Override PartName="/word/media/rId26.png" ContentType="image/png"/>
  <Override PartName="/word/media/rId32.png" ContentType="image/png"/>
  <Override PartName="/word/media/rId36.png" ContentType="image/png"/>
  <Override PartName="/word/media/rId52.png" ContentType="image/png"/>
  <Override PartName="/word/media/rId42.png" ContentType="image/png"/>
  <Override PartName="/word/media/rId73.png" ContentType="image/png"/>
  <Override PartName="/word/media/rId64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 cell-type-weighted regulatory prior resolves the transcription factors</w:t>
      </w:r>
      <w:r>
        <w:t xml:space="preserve"> </w:t>
      </w:r>
      <w:r>
        <w:t xml:space="preserve">driving bifurcations in a cross-study</w:t>
      </w:r>
      <w:r>
        <w:t xml:space="preserve"> </w:t>
      </w:r>
      <w:r>
        <w:rPr>
          <w:i/>
          <w:iCs/>
        </w:rPr>
        <w:t xml:space="preserve">Arabidopsis</w:t>
      </w:r>
      <w:r>
        <w:t xml:space="preserve"> </w:t>
      </w:r>
      <w:r>
        <w:t xml:space="preserve">irradiation</w:t>
      </w:r>
      <w:r>
        <w:t xml:space="preserve"> </w:t>
      </w:r>
      <w:r>
        <w:t xml:space="preserve">pseudo-time-series</w:t>
      </w:r>
    </w:p>
    <w:p>
      <w:pPr>
        <w:pStyle w:val="Author"/>
      </w:pPr>
      <w:r>
        <w:t xml:space="preserve">Richard J. Barker</w:t>
      </w:r>
      <w:r>
        <w:rPr>
          <w:rStyle w:val="FootnoteReference"/>
        </w:rPr>
        <w:footnoteReference w:id="9"/>
      </w:r>
      <w:r>
        <w:br/>
      </w:r>
      <w:r>
        <w:rPr>
          <w:b/>
          <w:bCs/>
        </w:rPr>
        <w:t xml:space="preserve">TODO: co-author list</w:t>
      </w:r>
    </w:p>
    <w:p>
      <w:pPr>
        <w:pStyle w:val="Date"/>
      </w:pPr>
      <w:r>
        <w:t xml:space="preserve">2026-10-28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The Dynamic Regulatory Events Miner (DREM) reconstructs when transcription factors (TFs)</w:t>
      </w:r>
      <w:r>
        <w:t xml:space="preserve"> </w:t>
      </w:r>
      <w:r>
        <w:t xml:space="preserve">act by finding bifurcations in time-series expression and attributing each to a</w:t>
      </w:r>
      <w:r>
        <w:t xml:space="preserve"> </w:t>
      </w:r>
      <w:r>
        <w:t xml:space="preserve">regulator, using a static TF–gene interaction prior</w:t>
      </w:r>
      <w:r>
        <w:t xml:space="preserve"> </w:t>
      </w:r>
      <w:r>
        <w:t xml:space="preserve">(Ernst et al. 2007; Schulz et al. 2012)</w:t>
      </w:r>
      <w:r>
        <w:t xml:space="preserve">.</w:t>
      </w:r>
      <w:r>
        <w:t xml:space="preserve"> </w:t>
      </w:r>
      <w:r>
        <w:t xml:space="preserve">That prior is normally binary and tissue-blind: an edge either exists or it does not,</w:t>
      </w:r>
      <w:r>
        <w:t xml:space="preserve"> </w:t>
      </w:r>
      <w:r>
        <w:t xml:space="preserve">regardless of whether the TF is expressed in the cells producing the signal. We show</w:t>
      </w:r>
      <w:r>
        <w:t xml:space="preserve"> </w:t>
      </w:r>
      <w:r>
        <w:t xml:space="preserve">that a single-cell atlas can be made to act on the model itself rather than on its</w:t>
      </w:r>
      <w:r>
        <w:t xml:space="preserve"> </w:t>
      </w:r>
      <w:r>
        <w:t xml:space="preserve">annotation, by writing cell-type context into the score column DREM already reads.</w:t>
      </w:r>
      <w:r>
        <w:t xml:space="preserve"> </w:t>
      </w:r>
      <w:r>
        <w:t xml:space="preserve">Screening all 62</w:t>
      </w:r>
      <w:r>
        <w:t xml:space="preserve"> </w:t>
      </w:r>
      <w:r>
        <w:rPr>
          <w:i/>
          <w:iCs/>
        </w:rPr>
        <w:t xml:space="preserve">Arabidopsis thaliana</w:t>
      </w:r>
      <w:r>
        <w:t xml:space="preserve"> </w:t>
      </w:r>
      <w:r>
        <w:t xml:space="preserve">studies in</w:t>
      </w:r>
      <w:r>
        <w:t xml:space="preserve"> </w:t>
      </w:r>
      <w:r>
        <w:t xml:space="preserve">NASA’s Open Science Data Repository (OSDR), we assemble a</w:t>
      </w:r>
      <w:r>
        <w:t xml:space="preserve"> </w:t>
      </w:r>
      <w:r>
        <w:t xml:space="preserve">10-point</w:t>
      </w:r>
      <w:r>
        <w:t xml:space="preserve"> </w:t>
      </w:r>
      <m:oMath>
        <m:r>
          <m:t>γ</m:t>
        </m:r>
      </m:oMath>
      <w:r>
        <w:t xml:space="preserve">-irradiation pseudo-time-series spanning 10 min to</w:t>
      </w:r>
      <w:r>
        <w:t xml:space="preserve"> </w:t>
      </w:r>
      <w:r>
        <w:t xml:space="preserve">72 h from 108 samples, and a second</w:t>
      </w:r>
      <w:r>
        <w:t xml:space="preserve"> </w:t>
      </w:r>
      <w:r>
        <w:t xml:space="preserve">3-point spaceflight series from 115 samples. We</w:t>
      </w:r>
      <w:r>
        <w:t xml:space="preserve"> </w:t>
      </w:r>
      <w:r>
        <w:t xml:space="preserve">deconvolve each timepoint against a 183-cluster single-nucleus atlas,</w:t>
      </w:r>
      <w:r>
        <w:t xml:space="preserve"> </w:t>
      </w:r>
      <w:r>
        <w:t xml:space="preserve">weight 976</w:t>
      </w:r>
      <w:r>
        <w:t xml:space="preserve">,</w:t>
      </w:r>
      <w:r>
        <w:t xml:space="preserve">588 DAP-seq and ChIP-seq TF–gene edges by the cell types actually</w:t>
      </w:r>
      <w:r>
        <w:t xml:space="preserve"> </w:t>
      </w:r>
      <w:r>
        <w:t xml:space="preserve">present, and compare the resulting models against flat and binding-only priors under an</w:t>
      </w:r>
      <w:r>
        <w:t xml:space="preserve"> </w:t>
      </w:r>
      <w:r>
        <w:t xml:space="preserve">otherwise identical search. The wild-type/</w:t>
      </w:r>
      <w:r>
        <w:rPr>
          <w:i/>
          <w:iCs/>
        </w:rPr>
        <w:t xml:space="preserve">sog1-1</w:t>
      </w:r>
      <w:r>
        <w:t xml:space="preserve"> </w:t>
      </w:r>
      <w:r>
        <w:t xml:space="preserve">design provides an internal</w:t>
      </w:r>
      <w:r>
        <w:t xml:space="preserve"> </w:t>
      </w:r>
      <w:r>
        <w:t xml:space="preserve">positive control: the canonical DNA-damage response is induced across all</w:t>
      </w:r>
      <w:r>
        <w:t xml:space="preserve"> </w:t>
      </w:r>
      <w:r>
        <w:t xml:space="preserve">6 sentinel genes in wild type and collapses in the mutant.</w:t>
      </w:r>
      <w:r>
        <w:t xml:space="preserve"> </w:t>
      </w:r>
      <w:r>
        <w:t xml:space="preserve">Turning the two-genotype contrast into a decoder and scoring it across every</w:t>
      </w:r>
      <w:r>
        <w:t xml:space="preserve"> </w:t>
      </w:r>
      <w:r>
        <w:rPr>
          <w:i/>
          <w:iCs/>
        </w:rPr>
        <w:t xml:space="preserve">Arabidopsis</w:t>
      </w:r>
      <w:r>
        <w:t xml:space="preserve"> </w:t>
      </w:r>
      <w:r>
        <w:t xml:space="preserve">study in the repository recovers 11 of</w:t>
      </w:r>
      <w:r>
        <w:t xml:space="preserve"> </w:t>
      </w:r>
      <w:r>
        <w:t xml:space="preserve">12 labelled irradiation contrasts, ordered by dose, and calls</w:t>
      </w:r>
      <w:r>
        <w:t xml:space="preserve"> </w:t>
      </w:r>
      <w:r>
        <w:t xml:space="preserve">2 non-radiation contrasts radiation-like: an in-flight 0.38 g</w:t>
      </w:r>
      <w:r>
        <w:t xml:space="preserve"> </w:t>
      </w:r>
      <w:r>
        <w:t xml:space="preserve">centrifuge contrast (OSD-346) and an</w:t>
      </w:r>
      <w:r>
        <w:t xml:space="preserve"> </w:t>
      </w:r>
      <w:r>
        <w:rPr>
          <w:i/>
          <w:iCs/>
        </w:rPr>
        <w:t xml:space="preserve">ARG1</w:t>
      </w:r>
      <w:r>
        <w:t xml:space="preserve"> </w:t>
      </w:r>
      <w:r>
        <w:t xml:space="preserve">knockout (OSD-147).</w:t>
      </w:r>
      <w:r>
        <w:t xml:space="preserve"> </w:t>
      </w:r>
      <w:r>
        <w:t xml:space="preserve">No DREM transcription factor is altered in spaceflight and no flight contrast matches any</w:t>
      </w:r>
      <w:r>
        <w:t xml:space="preserve"> </w:t>
      </w:r>
      <w:r>
        <w:t xml:space="preserve">phase of the radiation trajectory — but the assay’s diagnostic arm needs</w:t>
      </w:r>
      <w:r>
        <w:t xml:space="preserve"> </w:t>
      </w:r>
      <w:r>
        <w:t xml:space="preserve">40 cGy while ISS missions deliver 0.39–2.485 cGy, so that</w:t>
      </w:r>
      <w:r>
        <w:t xml:space="preserve"> </w:t>
      </w:r>
      <w:r>
        <w:t xml:space="preserve">null bounds the effect rather than excluding damage.</w:t>
      </w:r>
      <w:r>
        <w:t xml:space="preserve"> </w:t>
      </w:r>
      <w:r>
        <w:t xml:space="preserve">Of 6 bifurcations in the wild-type model,</w:t>
      </w:r>
      <w:r>
        <w:t xml:space="preserve"> </w:t>
      </w:r>
      <w:r>
        <w:t xml:space="preserve">3 change their top-ranked regulator with the prior — but not</w:t>
      </w:r>
      <w:r>
        <w:t xml:space="preserve"> </w:t>
      </w:r>
      <w:r>
        <w:t xml:space="preserve">the canonical ones: SOG1 ranks first of 479 TFs in wild type under every</w:t>
      </w:r>
      <w:r>
        <w:t xml:space="preserve"> </w:t>
      </w:r>
      <w:r>
        <w:t xml:space="preserve">prior and falls to rank 294 in</w:t>
      </w:r>
      <w:r>
        <w:t xml:space="preserve"> </w:t>
      </w:r>
      <w:r>
        <w:rPr>
          <w:i/>
          <w:iCs/>
        </w:rPr>
        <w:t xml:space="preserve">sog1-1</w:t>
      </w:r>
      <w:r>
        <w:t xml:space="preserve"> </w:t>
      </w:r>
      <w:r>
        <w:t xml:space="preserve">under the</w:t>
      </w:r>
      <w:r>
        <w:t xml:space="preserve"> </w:t>
      </w:r>
      <w:r>
        <w:t xml:space="preserve">cell-type-weighted prior. Attribution moves</w:t>
      </w:r>
      <w:r>
        <w:t xml:space="preserve"> </w:t>
      </w:r>
      <w:r>
        <w:t xml:space="preserve">where the evidence was marginal and holds where it was strong.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Time-series transcriptomics answers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a response happens, but not</w:t>
      </w:r>
      <w:r>
        <w:t xml:space="preserve"> </w:t>
      </w:r>
      <w:r>
        <w:rPr>
          <w:i/>
          <w:iCs/>
        </w:rPr>
        <w:t xml:space="preserve">who</w:t>
      </w:r>
      <w:r>
        <w:t xml:space="preserve"> </w:t>
      </w:r>
      <w:r>
        <w:t xml:space="preserve">drives it. The Dynamic Regulatory Events Miner (DREM) closes that gap by fitting an</w:t>
      </w:r>
      <w:r>
        <w:t xml:space="preserve"> </w:t>
      </w:r>
      <w:r>
        <w:t xml:space="preserve">input–output hidden Markov model in which co-expressed genes travel together until a</w:t>
      </w:r>
      <w:r>
        <w:t xml:space="preserve"> </w:t>
      </w:r>
      <w:r>
        <w:rPr>
          <w:i/>
          <w:iCs/>
        </w:rPr>
        <w:t xml:space="preserve">bifurcation</w:t>
      </w:r>
      <w:r>
        <w:t xml:space="preserve">, and by attributing each bifurcation to the transcription factors</w:t>
      </w:r>
      <w:r>
        <w:t xml:space="preserve"> </w:t>
      </w:r>
      <w:r>
        <w:t xml:space="preserve">(TFs) whose targets are enriched along one branch</w:t>
      </w:r>
      <w:r>
        <w:t xml:space="preserve"> </w:t>
      </w:r>
      <w:r>
        <w:t xml:space="preserve">(Ernst et al. 2007)</w:t>
      </w:r>
      <w:r>
        <w:t xml:space="preserve">. DREM 2.0 added</w:t>
      </w:r>
      <w:r>
        <w:t xml:space="preserve"> </w:t>
      </w:r>
      <w:r>
        <w:t xml:space="preserve">model-selection and scoring improvements</w:t>
      </w:r>
      <w:r>
        <w:t xml:space="preserve"> </w:t>
      </w:r>
      <w:r>
        <w:t xml:space="preserve">(Schulz et al. 2012)</w:t>
      </w:r>
      <w:r>
        <w:t xml:space="preserve">, and iDREM extended the</w:t>
      </w:r>
      <w:r>
        <w:t xml:space="preserve"> </w:t>
      </w:r>
      <w:r>
        <w:t xml:space="preserve">framework to multi-omic inputs and interactive exploration</w:t>
      </w:r>
      <w:r>
        <w:t xml:space="preserve"> </w:t>
      </w:r>
      <w:r>
        <w:t xml:space="preserve">(Ding et al. 2018)</w:t>
      </w:r>
      <w:r>
        <w:t xml:space="preserve">.</w:t>
      </w:r>
    </w:p>
    <w:p>
      <w:pPr>
        <w:pStyle w:val="BodyText"/>
      </w:pPr>
      <w:r>
        <w:t xml:space="preserve">The attribution step depends entirely on a second input: a static TF–gene interaction</w:t>
      </w:r>
      <w:r>
        <w:t xml:space="preserve"> </w:t>
      </w:r>
      <w:r>
        <w:t xml:space="preserve">table. In practice that table is binary and tissue-blind. An edge asserts that a TF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bind a promoter, not that the TF is present in the cells generating the</w:t>
      </w:r>
      <w:r>
        <w:t xml:space="preserve"> </w:t>
      </w:r>
      <w:r>
        <w:t xml:space="preserve">measured signal. For a bulk time-series drawn from a whole organism this is a real</w:t>
      </w:r>
      <w:r>
        <w:t xml:space="preserve"> </w:t>
      </w:r>
      <w:r>
        <w:t xml:space="preserve">limitation, because the transcriptome is a mixture and the mixture changes.</w:t>
      </w:r>
    </w:p>
    <w:p>
      <w:pPr>
        <w:pStyle w:val="BodyText"/>
      </w:pPr>
      <w:r>
        <w:t xml:space="preserve">Single-cell data is the obvious remedy, and iDREM already accepts it — but only after</w:t>
      </w:r>
      <w:r>
        <w:t xml:space="preserve"> </w:t>
      </w:r>
      <w:r>
        <w:t xml:space="preserve">the fact. Its documentation is explicit that the cell-type data</w:t>
      </w:r>
      <w:r>
        <w:t xml:space="preserve"> </w:t>
      </w:r>
      <w:r>
        <w:t xml:space="preserve">“is not used when</w:t>
      </w:r>
      <w:r>
        <w:t xml:space="preserve"> </w:t>
      </w:r>
      <w:r>
        <w:t xml:space="preserve">predicting the iDREM model”</w:t>
      </w:r>
      <w:r>
        <w:t xml:space="preserve">; it annotates finished nodes rather than informing them.</w:t>
      </w:r>
      <w:r>
        <w:t xml:space="preserve"> </w:t>
      </w:r>
      <w:r>
        <w:t xml:space="preserve">The contribution of this work is to move that information upstream, into the model</w:t>
      </w:r>
      <w:r>
        <w:t xml:space="preserve"> </w:t>
      </w:r>
      <w:r>
        <w:t xml:space="preserve">itself, without modifying the engine. DREM reads the third column of its TF–gene file as</w:t>
      </w:r>
      <w:r>
        <w:t xml:space="preserve"> </w:t>
      </w:r>
      <w:r>
        <w:t xml:space="preserve">a score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rather than as a binary flag, and that column is a sufficient channel:</w:t>
      </w:r>
      <w:r>
        <w:t xml:space="preserve"> </w:t>
      </w:r>
      <w:r>
        <w:t xml:space="preserve">an edge whose TF is absent from the responding cell types can be down-weighted before the</w:t>
      </w:r>
      <w:r>
        <w:t xml:space="preserve"> </w:t>
      </w:r>
      <w:r>
        <w:t xml:space="preserve">search begins.</w:t>
      </w:r>
    </w:p>
    <w:p>
      <w:pPr>
        <w:pStyle w:val="BodyText"/>
      </w:pPr>
      <w:r>
        <w:t xml:space="preserve">We test this on</w:t>
      </w:r>
      <w:r>
        <w:t xml:space="preserve"> </w:t>
      </w:r>
      <w:r>
        <w:rPr>
          <w:i/>
          <w:iCs/>
        </w:rPr>
        <w:t xml:space="preserve">Arabidopsis thaliana</w:t>
      </w:r>
      <w:r>
        <w:t xml:space="preserve"> </w:t>
      </w:r>
      <w:r>
        <w:t xml:space="preserve">data from NASA’s Open Science Data</w:t>
      </w:r>
      <w:r>
        <w:t xml:space="preserve"> </w:t>
      </w:r>
      <w:r>
        <w:t xml:space="preserve">Repository (OSDR). Screening all 62 OSDR</w:t>
      </w:r>
      <w:r>
        <w:t xml:space="preserve"> </w:t>
      </w:r>
      <w:r>
        <w:rPr>
          <w:i/>
          <w:iCs/>
        </w:rPr>
        <w:t xml:space="preserve">Arabidopsis</w:t>
      </w:r>
      <w:r>
        <w:t xml:space="preserve"> </w:t>
      </w:r>
      <w:r>
        <w:t xml:space="preserve">studies for compatible genotype and treatment metadata yields two</w:t>
      </w:r>
      <w:r>
        <w:t xml:space="preserve"> </w:t>
      </w:r>
      <w:r>
        <w:t xml:space="preserve">cross-study pseudo-time-series. The first is a</w:t>
      </w:r>
      <w:r>
        <w:t xml:space="preserve"> </w:t>
      </w:r>
      <m:oMath>
        <m:r>
          <m:t>γ</m:t>
        </m:r>
      </m:oMath>
      <w:r>
        <w:t xml:space="preserve">-irradiation series of</w:t>
      </w:r>
      <w:r>
        <w:t xml:space="preserve"> </w:t>
      </w:r>
      <w:r>
        <w:t xml:space="preserve">10 timepoints spanning 10 min to 72 h. Its core — OSD-498, OSD-508</w:t>
      </w:r>
      <w:r>
        <w:t xml:space="preserve"> </w:t>
      </w:r>
      <w:r>
        <w:t xml:space="preserve">and OSD-510 — is a re-assembly of one experiment deposited under three accessions, that</w:t>
      </w:r>
      <w:r>
        <w:t xml:space="preserve"> </w:t>
      </w:r>
      <w:r>
        <w:t xml:space="preserve">of</w:t>
      </w:r>
      <w:r>
        <w:t xml:space="preserve"> </w:t>
      </w:r>
      <w:r>
        <w:t xml:space="preserve">Bourbousse et al. (2018)</w:t>
      </w:r>
      <w:r>
        <w:t xml:space="preserve">, who built their own DREM model over these data and</w:t>
      </w:r>
      <w:r>
        <w:t xml:space="preserve"> </w:t>
      </w:r>
      <w:r>
        <w:t xml:space="preserve">reported 11 co-expressed gene groups. That gives this work an unusual</w:t>
      </w:r>
      <w:r>
        <w:t xml:space="preserve"> </w:t>
      </w:r>
      <w:r>
        <w:t xml:space="preserve">advantage: a published DREM analysis of the same material to calibrate against, and a</w:t>
      </w:r>
      <w:r>
        <w:t xml:space="preserve"> </w:t>
      </w:r>
      <w:r>
        <w:t xml:space="preserve">genetic positive control, since the series contains both wild type and</w:t>
      </w:r>
      <w:r>
        <w:t xml:space="preserve"> </w:t>
      </w:r>
      <w:r>
        <w:rPr>
          <w:i/>
          <w:iCs/>
        </w:rPr>
        <w:t xml:space="preserve">sog1-1</w:t>
      </w:r>
      <w:r>
        <w:t xml:space="preserve">,</w:t>
      </w:r>
      <w:r>
        <w:t xml:space="preserve"> </w:t>
      </w:r>
      <w:r>
        <w:t xml:space="preserve">a knockout of the NAC master regulator of the plant DNA-damage response</w:t>
      </w:r>
      <w:r>
        <w:t xml:space="preserve"> </w:t>
      </w:r>
      <w:r>
        <w:t xml:space="preserve">(Yoshiyama et al. 2009)</w:t>
      </w:r>
      <w:r>
        <w:t xml:space="preserve">. The second series follows spaceflight seedling development</w:t>
      </w:r>
      <w:r>
        <w:t xml:space="preserve"> </w:t>
      </w:r>
      <w:r>
        <w:t xml:space="preserve">across 3 timepoints and tests whether the method generalises to a</w:t>
      </w:r>
      <w:r>
        <w:t xml:space="preserve"> </w:t>
      </w:r>
      <w:r>
        <w:t xml:space="preserve">different stress.</w:t>
      </w:r>
    </w:p>
    <w:bookmarkEnd w:id="10"/>
    <w:bookmarkStart w:id="20" w:name="methods"/>
    <w:p>
      <w:pPr>
        <w:pStyle w:val="Heading1"/>
      </w:pPr>
      <w:r>
        <w:t xml:space="preserve">Methods</w:t>
      </w:r>
    </w:p>
    <w:bookmarkStart w:id="11" w:name="study-selection"/>
    <w:p>
      <w:pPr>
        <w:pStyle w:val="Heading2"/>
      </w:pPr>
      <w:r>
        <w:t xml:space="preserve">Study selection</w:t>
      </w:r>
    </w:p>
    <w:p>
      <w:pPr>
        <w:pStyle w:val="FirstParagraph"/>
      </w:pPr>
      <w:r>
        <w:t xml:space="preserve">All</w:t>
      </w:r>
      <w:r>
        <w:t xml:space="preserve"> </w:t>
      </w:r>
      <w:r>
        <w:rPr>
          <w:i/>
          <w:iCs/>
        </w:rPr>
        <w:t xml:space="preserve">Arabidopsis thaliana</w:t>
      </w:r>
      <w:r>
        <w:t xml:space="preserve"> </w:t>
      </w:r>
      <w:r>
        <w:t xml:space="preserve">studies in OSDR were retrieved through the</w:t>
      </w:r>
      <w:r>
        <w:t xml:space="preserve"> </w:t>
      </w:r>
      <w:r>
        <w:rPr>
          <w:rStyle w:val="VerbatimChar"/>
        </w:rPr>
        <w:t xml:space="preserve">biodata</w:t>
      </w:r>
      <w:r>
        <w:t xml:space="preserve"> </w:t>
      </w:r>
      <w:r>
        <w:t xml:space="preserve">v2 metadata API, returning sample-level factor values for</w:t>
      </w:r>
      <w:r>
        <w:t xml:space="preserve"> </w:t>
      </w:r>
      <w:r>
        <w:t xml:space="preserve">62 studies. Studies were admitted to a cohort only where a</w:t>
      </w:r>
      <w:r>
        <w:t xml:space="preserve"> </w:t>
      </w:r>
      <w:r>
        <w:t xml:space="preserve">numeric time axis could be parsed from a factor-value field and the assay was Illumina</w:t>
      </w:r>
      <w:r>
        <w:t xml:space="preserve"> </w:t>
      </w:r>
      <w:r>
        <w:t xml:space="preserve">RNA-seq. Cohort A (</w:t>
      </w:r>
      <m:oMath>
        <m:r>
          <m:t>γ</m:t>
        </m:r>
      </m:oMath>
      <w:r>
        <w:t xml:space="preserve">-irradiation) comprises 5 studies and</w:t>
      </w:r>
      <w:r>
        <w:t xml:space="preserve"> </w:t>
      </w:r>
      <w:r>
        <w:t xml:space="preserve">cohort B (spaceflight development) 4.</w:t>
      </w:r>
      <w:r>
        <w:t xml:space="preserve"> </w:t>
      </w:r>
      <w:r>
        <w:t xml:space="preserve">7 studies were excluded with a recorded reason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scripts/cohorts.py</w:t>
      </w:r>
      <w:r>
        <w:t xml:space="preserve">).</w:t>
      </w:r>
    </w:p>
    <w:p>
      <w:pPr>
        <w:pStyle w:val="BodyText"/>
      </w:pPr>
      <w:r>
        <w:t xml:space="preserve">Two exclusions matter. OSD-219 re-deposits all 32 of OSD-218’s BioSample identifiers</w:t>
      </w:r>
      <w:r>
        <w:t xml:space="preserve"> </w:t>
      </w:r>
      <w:r>
        <w:t xml:space="preserve">verbatim; including both would double-count every sample. This is re-detected each run</w:t>
      </w:r>
      <w:r>
        <w:t xml:space="preserve"> </w:t>
      </w:r>
      <w:r>
        <w:t xml:space="preserve">from sample-name overlap rather than hard-coded, so the exclusion cannot outlive the</w:t>
      </w:r>
      <w:r>
        <w:t xml:space="preserve"> </w:t>
      </w:r>
      <w:r>
        <w:t xml:space="preserve">condition that justifies it. The microarray irradiation studies (OSD-46, OSD-320,</w:t>
      </w:r>
      <w:r>
        <w:t xml:space="preserve"> </w:t>
      </w:r>
      <w:r>
        <w:t xml:space="preserve">OSD-329) were held out of the primary analysis because pooling them with RNA-seq would</w:t>
      </w:r>
      <w:r>
        <w:t xml:space="preserve"> </w:t>
      </w:r>
      <w:r>
        <w:t xml:space="preserve">confound platform with timepoint.</w:t>
      </w:r>
    </w:p>
    <w:bookmarkEnd w:id="11"/>
    <w:bookmarkStart w:id="12" w:name="pseudo-time-series-construction"/>
    <w:p>
      <w:pPr>
        <w:pStyle w:val="Heading2"/>
      </w:pPr>
      <w:r>
        <w:t xml:space="preserve">Pseudo-time-series construction</w:t>
      </w:r>
    </w:p>
    <w:p>
      <w:pPr>
        <w:pStyle w:val="FirstParagraph"/>
      </w:pPr>
      <w:r>
        <w:t xml:space="preserve">Raw RSEM counts and GeneLab runsheets were retrieved from the OSDR file API. Counts were</w:t>
      </w:r>
      <w:r>
        <w:t xml:space="preserve"> </w:t>
      </w:r>
      <w:r>
        <w:t xml:space="preserve">converted to CPM 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</m:oMath>
      <w:r>
        <w:t xml:space="preserve">-transformed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each study, then expressed as a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ratio against that study’s own untreated controls. This within-study referencing</w:t>
      </w:r>
      <w:r>
        <w:t xml:space="preserve"> </w:t>
      </w:r>
      <w:r>
        <w:t xml:space="preserve">removes most between-study offset by construction, because a per-study additive term</w:t>
      </w:r>
      <w:r>
        <w:t xml:space="preserve"> </w:t>
      </w:r>
      <w:r>
        <w:t xml:space="preserve">cancels between numerator and denominator. A residual per-study offset was then fitted as</w:t>
      </w:r>
      <w:r>
        <w:t xml:space="preserve"> </w:t>
      </w:r>
      <w:r>
        <w:t xml:space="preserve">the median gene-wise difference from the cross-study consensus, computed only at the</w:t>
      </w:r>
      <w:r>
        <w:t xml:space="preserve"> </w:t>
      </w:r>
      <w:r>
        <w:t xml:space="preserve">7 timepoints more than one study measured; a study sharing no</w:t>
      </w:r>
      <w:r>
        <w:t xml:space="preserve"> </w:t>
      </w:r>
      <w:r>
        <w:t xml:space="preserve">timepoint with any other is left unadjusted rather than shifted against a reference it</w:t>
      </w:r>
      <w:r>
        <w:t xml:space="preserve"> </w:t>
      </w:r>
      <w:r>
        <w:t xml:space="preserve">never overlaps.</w:t>
      </w:r>
    </w:p>
    <w:p>
      <w:pPr>
        <w:pStyle w:val="BodyText"/>
      </w:pPr>
      <w:r>
        <w:t xml:space="preserve">Because every value is already a ratio against the untreated state, an explicit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column of zeros is prepended and DREM is run with</w:t>
      </w:r>
      <w:r>
        <w:t xml:space="preserve"> </w:t>
      </w:r>
      <w:r>
        <w:rPr>
          <w:rStyle w:val="VerbatimChar"/>
        </w:rPr>
        <w:t xml:space="preserve">No normalization/add 0</w:t>
      </w:r>
      <w:r>
        <w:t xml:space="preserve">. Omitting either would make DREM re-anchor on the 10-min</w:t>
      </w:r>
      <w:r>
        <w:t xml:space="preserve"> </w:t>
      </w:r>
      <w:r>
        <w:t xml:space="preserve">timepoint, which is already strongly induced, and the entire early response would vanish</w:t>
      </w:r>
      <w:r>
        <w:t xml:space="preserve"> </w:t>
      </w:r>
      <w:r>
        <w:t xml:space="preserve">from the model.</w:t>
      </w:r>
    </w:p>
    <w:p>
      <w:pPr>
        <w:pStyle w:val="BodyText"/>
      </w:pPr>
      <w:r>
        <w:t xml:space="preserve">OSD-782 is held out rather than pooled. It is an independent laboratory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different dose regime (10–100 cGy against the core’s high-dose</w:t>
      </w:r>
      <w:r>
        <w:t xml:space="preserve"> </w:t>
      </w:r>
      <m:oMath>
        <m:r>
          <m:t>γ</m:t>
        </m:r>
      </m:oMath>
      <w:r>
        <w:t xml:space="preserve">), so fitting it a</w:t>
      </w:r>
      <w:r>
        <w:t xml:space="preserve"> </w:t>
      </w:r>
      <w:r>
        <w:t xml:space="preserve">shared offset would remove real biology.</w:t>
      </w:r>
    </w:p>
    <w:p>
      <w:pPr>
        <w:pStyle w:val="BodyText"/>
      </w:pPr>
      <w:r>
        <w:t xml:space="preserve">Batch correction was verified against six canonical DNA-damage-response genes</w:t>
      </w:r>
      <w:r>
        <w:t xml:space="preserve"> </w:t>
      </w:r>
      <w:r>
        <w:t xml:space="preserve">(BRCA1, RAD51, PARP2, SMR7, GMI1, XRI1). The pipeline fails if fewer than three remain</w:t>
      </w:r>
      <w:r>
        <w:t xml:space="preserve"> </w:t>
      </w:r>
      <w:r>
        <w:t xml:space="preserve">2-fold responsive in the wild-type arm — the check exists to catch a correction that has</w:t>
      </w:r>
      <w:r>
        <w:t xml:space="preserve"> </w:t>
      </w:r>
      <w:r>
        <w:t xml:space="preserve">flattened the signal it was meant to preserve.</w:t>
      </w:r>
    </w:p>
    <w:bookmarkEnd w:id="12"/>
    <w:bookmarkStart w:id="14" w:name="tfgene-prior"/>
    <w:p>
      <w:pPr>
        <w:pStyle w:val="Heading2"/>
      </w:pPr>
      <w:r>
        <w:t xml:space="preserve">TF–gene prior</w:t>
      </w:r>
    </w:p>
    <w:p>
      <w:pPr>
        <w:pStyle w:val="FirstParagraph"/>
      </w:pPr>
      <w:r>
        <w:t xml:space="preserve">A binding prior was built from the</w:t>
      </w:r>
      <w:r>
        <w:t xml:space="preserve"> </w:t>
      </w:r>
      <w:r>
        <w:rPr>
          <w:i/>
          <w:iCs/>
        </w:rPr>
        <w:t xml:space="preserve">Arabidopsis</w:t>
      </w:r>
      <w:r>
        <w:t xml:space="preserve"> </w:t>
      </w:r>
      <w:r>
        <w:t xml:space="preserve">DAP-seq cistrome</w:t>
      </w:r>
      <w:r>
        <w:t xml:space="preserve"> </w:t>
      </w:r>
      <w:r>
        <w:t xml:space="preserve">(O’Malley et al. 2016)</w:t>
      </w:r>
      <w:r>
        <w:t xml:space="preserve">, retrieved as GEO GSE60143. Of 814 peak</w:t>
      </w:r>
      <w:r>
        <w:t xml:space="preserve"> </w:t>
      </w:r>
      <w:r>
        <w:t xml:space="preserve">files, 194 name the assayed TF by AGI locus and</w:t>
      </w:r>
      <w:r>
        <w:t xml:space="preserve"> </w:t>
      </w:r>
      <w:r>
        <w:t xml:space="preserve">557 by gene symbol; symbols were resolved through a map built</w:t>
      </w:r>
      <w:r>
        <w:t xml:space="preserve"> </w:t>
      </w:r>
      <w:r>
        <w:t xml:space="preserve">from the Ensembl Plants release-54 annotation, TAIR gene aliases</w:t>
      </w:r>
      <w:r>
        <w:t xml:space="preserve"> </w:t>
      </w:r>
      <w:r>
        <w:t xml:space="preserve">(Berardini et al. 2015)</w:t>
      </w:r>
      <w:r>
        <w:t xml:space="preserve"> </w:t>
      </w:r>
      <w:r>
        <w:t xml:space="preserve">and ConnecTF</w:t>
      </w:r>
      <w:r>
        <w:t xml:space="preserve"> </w:t>
      </w:r>
      <w:r>
        <w:t xml:space="preserve">(Brooks et al. 2020)</w:t>
      </w:r>
      <w:r>
        <w:t xml:space="preserve">.</w:t>
      </w:r>
      <w:r>
        <w:t xml:space="preserve"> </w:t>
      </w:r>
      <w:r>
        <w:t xml:space="preserve">63 files remain unresolved (ChIP-seq controls, non-</w:t>
      </w:r>
      <w:r>
        <w:rPr>
          <w:i/>
          <w:iCs/>
        </w:rPr>
        <w:t xml:space="preserve">Arabidopsis</w:t>
      </w:r>
      <w:r>
        <w:t xml:space="preserve"> </w:t>
      </w:r>
      <w:r>
        <w:t xml:space="preserve">orthologue assays, and post-2014 symbols) and are listed in the run report. Resolving</w:t>
      </w:r>
      <w:r>
        <w:t xml:space="preserve"> </w:t>
      </w:r>
      <w:r>
        <w:t xml:space="preserve">symbols is not cosmetic: the unresolved set is dominated by the NAC, MYB, WRKY and bZIP</w:t>
      </w:r>
      <w:r>
        <w:t xml:space="preserve"> </w:t>
      </w:r>
      <w:r>
        <w:t xml:space="preserve">families, which is where the DNA-damage regulators are.</w:t>
      </w:r>
    </w:p>
    <w:p>
      <w:pPr>
        <w:pStyle w:val="BodyText"/>
      </w:pPr>
      <w:r>
        <w:t xml:space="preserve">Peaks were assigned to genes within 1 kb of a TSS using the same Ensembl release-54</w:t>
      </w:r>
      <w:r>
        <w:t xml:space="preserve"> </w:t>
      </w:r>
      <w:r>
        <w:t xml:space="preserve">TAIR10 annotation GeneLab used to produce the count matrices, so binding and expression</w:t>
      </w:r>
      <w:r>
        <w:t xml:space="preserve"> </w:t>
      </w:r>
      <w:r>
        <w:t xml:space="preserve">share one coordinate system and one locus vocabulary. Edge scores were rank-normalised</w:t>
      </w:r>
      <w:r>
        <w:t xml:space="preserve"> </w:t>
      </w:r>
      <w:r>
        <w:t xml:space="preserve">within each TF, so a score encodes binding confidence relative to that TF’s other sites</w:t>
      </w:r>
      <w:r>
        <w:t xml:space="preserve"> </w:t>
      </w:r>
      <w:r>
        <w:t xml:space="preserve">rather than its sequencing depth. The prior contains 976</w:t>
      </w:r>
      <w:r>
        <w:t xml:space="preserve">,</w:t>
      </w:r>
      <w:r>
        <w:t xml:space="preserve">588 edges over</w:t>
      </w:r>
      <w:r>
        <w:t xml:space="preserve"> </w:t>
      </w:r>
      <w:r>
        <w:t xml:space="preserve">478 TFs, with a median of 2</w:t>
      </w:r>
      <w:r>
        <w:t xml:space="preserve">,</w:t>
      </w:r>
      <w:r>
        <w:t xml:space="preserve">467 targets per TF.</w:t>
      </w:r>
    </w:p>
    <w:bookmarkStart w:id="13" w:name="sog1."/>
    <w:p>
      <w:pPr>
        <w:pStyle w:val="Heading4"/>
      </w:pPr>
      <w:r>
        <w:t xml:space="preserve">SOG1.</w:t>
      </w:r>
    </w:p>
    <w:p>
      <w:pPr>
        <w:pStyle w:val="FirstParagraph"/>
      </w:pPr>
      <w:r>
        <w:t xml:space="preserve">DAP-seq does not assay SOG1, so the DAP-seq prior cannot attribute any</w:t>
      </w:r>
      <w:r>
        <w:t xml:space="preserve"> </w:t>
      </w:r>
      <w:r>
        <w:t xml:space="preserve">bifurcation to the very regulator this cohort is about. SOG1 edges were therefore called</w:t>
      </w:r>
      <w:r>
        <w:t xml:space="preserve"> </w:t>
      </w:r>
      <w:r>
        <w:t xml:space="preserve">from the ChIP-seq of the same experiment (OSD-496 / GEO GSE112529), in which</w:t>
      </w:r>
      <w:r>
        <w:t xml:space="preserve"> </w:t>
      </w:r>
      <w:r>
        <w:t xml:space="preserve">SOG1-3xFLAG was immunoprecipitated 20 min and 1 h after irradiation. OSDR holds only raw</w:t>
      </w:r>
      <w:r>
        <w:t xml:space="preserve"> </w:t>
      </w:r>
      <w:r>
        <w:t xml:space="preserve">reads for OSD-496, so coverage was taken from GEO. A 200 bp bin was retained where IP</w:t>
      </w:r>
      <w:r>
        <w:t xml:space="preserve"> </w:t>
      </w:r>
      <w:r>
        <w:t xml:space="preserve">exceeded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its matched input and the no-FLAG wild-type IP two-fold, which</w:t>
      </w:r>
      <w:r>
        <w:t xml:space="preserve"> </w:t>
      </w:r>
      <w:r>
        <w:t xml:space="preserve">removes chromatin-accessibility and antibody-background artefacts that either control</w:t>
      </w:r>
      <w:r>
        <w:t xml:space="preserve"> </w:t>
      </w:r>
      <w:r>
        <w:t xml:space="preserve">alone would miss. This yielded 3</w:t>
      </w:r>
      <w:r>
        <w:t xml:space="preserve">,</w:t>
      </w:r>
      <w:r>
        <w:t xml:space="preserve">310 and 3</w:t>
      </w:r>
      <w:r>
        <w:t xml:space="preserve">,</w:t>
      </w:r>
      <w:r>
        <w:t xml:space="preserve">101</w:t>
      </w:r>
      <w:r>
        <w:t xml:space="preserve"> </w:t>
      </w:r>
      <w:r>
        <w:t xml:space="preserve">peaks at the two timepoints, and 1</w:t>
      </w:r>
      <w:r>
        <w:t xml:space="preserve">,</w:t>
      </w:r>
      <w:r>
        <w:t xml:space="preserve">720 target genes after the same</w:t>
      </w:r>
      <w:r>
        <w:t xml:space="preserve"> </w:t>
      </w:r>
      <w:r>
        <w:t xml:space="preserve">TSS-proximity assignment used for DAP-seq.</w:t>
      </w:r>
    </w:p>
    <w:bookmarkEnd w:id="13"/>
    <w:bookmarkEnd w:id="14"/>
    <w:bookmarkStart w:id="15" w:name="the-auto-decoder-lever"/>
    <w:p>
      <w:pPr>
        <w:pStyle w:val="Heading2"/>
      </w:pPr>
      <w:r>
        <w:t xml:space="preserve">The auto-decoder lever</w:t>
      </w:r>
    </w:p>
    <w:p>
      <w:pPr>
        <w:pStyle w:val="FirstParagraph"/>
      </w:pPr>
      <w:r>
        <w:t xml:space="preserve">Cell-type context comes from an auto-decoder trained on the GSE226097 single-nucleus</w:t>
      </w:r>
      <w:r>
        <w:t xml:space="preserve"> </w:t>
      </w:r>
      <w:r>
        <w:rPr>
          <w:i/>
          <w:iCs/>
        </w:rPr>
        <w:t xml:space="preserve">Arabidopsis</w:t>
      </w:r>
      <w:r>
        <w:t xml:space="preserve"> </w:t>
      </w:r>
      <w:r>
        <w:t xml:space="preserve">atlas</w:t>
      </w:r>
      <w:r>
        <w:t xml:space="preserve"> </w:t>
      </w:r>
      <w:r>
        <w:t xml:space="preserve">(Lee et al. 2025)</w:t>
      </w:r>
      <w:r>
        <w:t xml:space="preserve">, which provides</w:t>
      </w:r>
      <w:r>
        <w:t xml:space="preserve"> </w:t>
      </w:r>
      <w:r>
        <w:t xml:space="preserve">4</w:t>
      </w:r>
      <w:r>
        <w:t xml:space="preserve">,</w:t>
      </w:r>
      <w:r>
        <w:t xml:space="preserve">000 signature genes across 183 clusters and a</w:t>
      </w:r>
      <w:r>
        <w:t xml:space="preserve"> </w:t>
      </w:r>
      <w:r>
        <w:t xml:space="preserve">32-dimensional latent code per cluster.</w:t>
      </w:r>
    </w:p>
    <w:p>
      <w:pPr>
        <w:pStyle w:val="BodyText"/>
      </w:pPr>
      <w:r>
        <w:t xml:space="preserve">Each timepoint’s mean linear CPM profile was deconvolved against the signature matrix by</w:t>
      </w:r>
      <w:r>
        <w:t xml:space="preserve"> </w:t>
      </w:r>
      <w:r>
        <w:t xml:space="preserve">non-negative least squares, with both sides scaled to unit norm and the atlas signatures</w:t>
      </w:r>
      <w:r>
        <w:t xml:space="preserve"> </w:t>
      </w:r>
      <w:r>
        <w:t xml:space="preserve">returned to linear space beforehand. Deconvolution uses absolute expression, never the</w:t>
      </w:r>
      <w:r>
        <w:t xml:space="preserve"> </w:t>
      </w:r>
      <m:oMath>
        <m:r>
          <m:rPr>
            <m:sty m:val="p"/>
          </m:rPr>
          <m:t>log</m:t>
        </m:r>
      </m:oMath>
      <w:r>
        <w:t xml:space="preserve">-ratio series: a fraction is a statement about composition, and a fold-change has</w:t>
      </w:r>
      <w:r>
        <w:t xml:space="preserve"> </w:t>
      </w:r>
      <w:r>
        <w:t xml:space="preserve">already divided composition out. 3</w:t>
      </w:r>
      <w:r>
        <w:t xml:space="preserve">,</w:t>
      </w:r>
      <w:r>
        <w:t xml:space="preserve">834 signature genes matched, with a</w:t>
      </w:r>
      <w:r>
        <w:t xml:space="preserve"> </w:t>
      </w:r>
      <w:r>
        <w:t xml:space="preserve">median relative residual of 0.3388.</w:t>
      </w:r>
    </w:p>
    <w:p>
      <w:pPr>
        <w:pStyle w:val="BodyText"/>
      </w:pPr>
      <w:r>
        <w:t xml:space="preserve">Writing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f</m:t>
                </m:r>
              </m:e>
            </m:acc>
          </m:e>
          <m:sub>
            <m:r>
              <m:t>c</m:t>
            </m:r>
          </m:sub>
        </m:sSub>
      </m:oMath>
      <w:r>
        <w:t xml:space="preserve"> </w:t>
      </w:r>
      <w:r>
        <w:t xml:space="preserve">for the timepoint-averaged fraction of cluster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e</m:t>
            </m:r>
          </m:e>
        </m:acc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gene</w:t>
      </w:r>
      <w:r>
        <w:t xml:space="preserve"> </w:t>
      </w:r>
      <m:oMath>
        <m:r>
          <m:t>g</m:t>
        </m:r>
      </m:oMath>
      <w:r>
        <w:t xml:space="preserve">’s cluster profile scaled to its own maximum, the context of a gene is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t</m:t>
        </m:r>
        <m:r>
          <m:rPr>
            <m:sty m:val="p"/>
          </m:rPr>
          <m:t>x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c</m:t>
            </m:r>
          </m:sub>
          <m:sup>
            <m:r>
              <m:t>​</m:t>
            </m:r>
          </m:sup>
          <m:e>
            <m:sSub>
              <m:e>
                <m:acc>
                  <m:accPr>
                    <m:chr m:val="‾"/>
                  </m:accPr>
                  <m:e>
                    <m:r>
                      <m:t>f</m:t>
                    </m:r>
                  </m:e>
                </m:acc>
              </m:e>
              <m:sub>
                <m:r>
                  <m:t>c</m:t>
                </m:r>
              </m:sub>
            </m:sSub>
          </m:e>
        </m:nary>
        <m:r>
          <m:t> </m:t>
        </m:r>
        <m:acc>
          <m:accPr>
            <m:chr m:val="̂"/>
          </m:accPr>
          <m:e>
            <m:r>
              <m:t>e</m:t>
            </m:r>
          </m:e>
        </m:acc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 and each edge is re-weighted as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(</m:t>
          </m:r>
          <m:r>
            <m:rPr>
              <m:sty m:val="p"/>
            </m:rPr>
            <m:t>T</m:t>
          </m:r>
          <m:r>
            <m:rPr>
              <m:sty m:val="p"/>
            </m:rPr>
            <m:t>F</m:t>
          </m:r>
          <m:r>
            <m:rPr>
              <m:sty m:val="p"/>
            </m:rPr>
            <m:t>,</m:t>
          </m:r>
          <m:r>
            <m:t>g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ty m:val="p"/>
            </m:rPr>
            <m:t>b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r>
            <m:rPr>
              <m:sty m:val="p"/>
            </m:rPr>
            <m:t>d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T</m:t>
          </m:r>
          <m:r>
            <m:rPr>
              <m:sty m:val="p"/>
            </m:rPr>
            <m:t>F</m:t>
          </m:r>
          <m:r>
            <m:rPr>
              <m:sty m:val="p"/>
            </m:rPr>
            <m:t>,</m:t>
          </m:r>
          <m:r>
            <m:t>g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⋅</m:t>
          </m:r>
          <m:r>
            <m:t> </m:t>
          </m:r>
          <m:r>
            <m:rPr>
              <m:sty m:val="p"/>
            </m:rPr>
            <m:t>c</m:t>
          </m:r>
          <m:r>
            <m:rPr>
              <m:sty m:val="p"/>
            </m:rPr>
            <m:t>t</m:t>
          </m:r>
          <m:r>
            <m:rPr>
              <m:sty m:val="p"/>
            </m:rPr>
            <m:t>x</m:t>
          </m:r>
          <m:r>
            <m:rPr>
              <m:sty m:val="p"/>
            </m:rPr>
            <m:t>(</m:t>
          </m:r>
          <m:r>
            <m:rPr>
              <m:sty m:val="p"/>
            </m:rPr>
            <m:t>T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α</m:t>
              </m:r>
            </m:sup>
          </m:sSup>
          <m:r>
            <m:t> </m:t>
          </m:r>
          <m:r>
            <m:rPr>
              <m:sty m:val="p"/>
            </m:rPr>
            <m:t>⋅</m:t>
          </m:r>
          <m:r>
            <m:t> </m:t>
          </m:r>
          <m:r>
            <m:rPr>
              <m:sty m:val="p"/>
            </m:rPr>
            <m:t>c</m:t>
          </m:r>
          <m:r>
            <m:rPr>
              <m:sty m:val="p"/>
            </m:rPr>
            <m:t>t</m:t>
          </m:r>
          <m:r>
            <m:rPr>
              <m:sty m:val="p"/>
            </m:rPr>
            <m:t>x</m:t>
          </m:r>
          <m:r>
            <m:rPr>
              <m:sty m:val="p"/>
            </m:rPr>
            <m:t>(</m:t>
          </m:r>
          <m:r>
            <m:t>g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β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0.5</m:t>
        </m:r>
      </m:oMath>
      <w:r>
        <w:t xml:space="preserve">: the TF side dominates because DREM’s attribution</w:t>
      </w:r>
      <w:r>
        <w:t xml:space="preserve"> </w:t>
      </w:r>
      <w:r>
        <w:t xml:space="preserve">asks which regulator explains a split, not which target. Weights are renormalised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within each TF and floored at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where binding evidence exists, so context can</w:t>
      </w:r>
      <w:r>
        <w:t xml:space="preserve"> </w:t>
      </w:r>
      <w:r>
        <w:t xml:space="preserve">down-weight an edge but never silently delete it.</w:t>
      </w:r>
    </w:p>
    <w:p>
      <w:pPr>
        <w:pStyle w:val="BodyText"/>
      </w:pPr>
      <w:r>
        <w:t xml:space="preserve">Genes outside the atlas signature set are, by construction, genes whose expression varies</w:t>
      </w:r>
      <w:r>
        <w:t xml:space="preserve"> </w:t>
      </w:r>
      <w:r>
        <w:t xml:space="preserve">little across the 183 clusters; their context is therefore close to</w:t>
      </w:r>
      <w:r>
        <w:t xml:space="preserve"> </w:t>
      </w:r>
      <w:r>
        <w:t xml:space="preserve">uniform and their edges are passed through unchanged. 232</w:t>
      </w:r>
      <w:r>
        <w:t xml:space="preserve">,</w:t>
      </w:r>
      <w:r>
        <w:t xml:space="preserve">931 edges</w:t>
      </w:r>
      <w:r>
        <w:t xml:space="preserve"> </w:t>
      </w:r>
      <w:r>
        <w:t xml:space="preserve">(24%) are atlas-informed and</w:t>
      </w:r>
      <w:r>
        <w:t xml:space="preserve"> </w:t>
      </w:r>
      <w:r>
        <w:t xml:space="preserve">16% move by more than</w:t>
      </w:r>
      <w:r>
        <w:t xml:space="preserve"> </w:t>
      </w:r>
      <m:oMath>
        <m:r>
          <m:t>0.01</m:t>
        </m:r>
      </m:oMath>
      <w:r>
        <w:t xml:space="preserve">.</w:t>
      </w:r>
    </w:p>
    <w:bookmarkEnd w:id="15"/>
    <w:bookmarkStart w:id="16" w:name="radiation-signature-and-decoder"/>
    <w:p>
      <w:pPr>
        <w:pStyle w:val="Heading2"/>
      </w:pPr>
      <w:r>
        <w:t xml:space="preserve">Radiation signature and decoder</w:t>
      </w:r>
    </w:p>
    <w:p>
      <w:pPr>
        <w:pStyle w:val="FirstParagraph"/>
      </w:pPr>
      <w:r>
        <w:t xml:space="preserve">Gene sets were derived from the two-genotype arms. A gene is</w:t>
      </w:r>
      <w:r>
        <w:t xml:space="preserve"> </w:t>
      </w:r>
      <w:r>
        <w:rPr>
          <w:i/>
          <w:iCs/>
        </w:rPr>
        <w:t xml:space="preserve">SOG1-dependent</w:t>
      </w:r>
      <w:r>
        <w:t xml:space="preserve"> </w:t>
      </w:r>
      <w:r>
        <w:t xml:space="preserve">when it</w:t>
      </w:r>
      <w:r>
        <w:t xml:space="preserve"> </w:t>
      </w:r>
      <w:r>
        <w:t xml:space="preserve">reaches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F</m:t>
        </m:r>
        <m:r>
          <m:rPr>
            <m:sty m:val="p"/>
          </m:rPr>
          <m:t>C</m:t>
        </m:r>
        <m:r>
          <m:rPr>
            <m:sty m:val="p"/>
          </m:rPr>
          <m:t>|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 wild type, is a SOG1 ChIP target, and its</w:t>
      </w:r>
      <w:r>
        <w:t xml:space="preserve"> </w:t>
      </w:r>
      <w:r>
        <w:rPr>
          <w:i/>
          <w:iCs/>
        </w:rPr>
        <w:t xml:space="preserve">sog1-1</w:t>
      </w:r>
      <w:r>
        <w:t xml:space="preserve"> </w:t>
      </w:r>
      <w:r>
        <w:t xml:space="preserve">amplitude is below 40% of its wild-type amplitude — a genetic criterion,</w:t>
      </w:r>
      <w:r>
        <w:t xml:space="preserve"> </w:t>
      </w:r>
      <w:r>
        <w:t xml:space="preserve">not a correlation with exposure. The contrast set (</w:t>
      </w:r>
      <w:r>
        <w:rPr>
          <w:i/>
          <w:iCs/>
        </w:rPr>
        <w:t xml:space="preserve">SOG1-independent</w:t>
      </w:r>
      <w:r>
        <w:t xml:space="preserve">) holds induced</w:t>
      </w:r>
      <w:r>
        <w:t xml:space="preserve"> </w:t>
      </w:r>
      <w:r>
        <w:t xml:space="preserve">SOG1 targets that respond in both genotypes.</w:t>
      </w:r>
    </w:p>
    <w:p>
      <w:pPr>
        <w:pStyle w:val="BodyText"/>
      </w:pPr>
      <w:r>
        <w:t xml:space="preserve">Each OSDR study was scored on every contrast its metadata supports: for each factor, any</w:t>
      </w:r>
      <w:r>
        <w:t xml:space="preserve"> </w:t>
      </w:r>
      <w:r>
        <w:t xml:space="preserve">level matching a control vocabulary (ground control, non-irradiated, mock, untreated, zero</w:t>
      </w:r>
      <w:r>
        <w:t xml:space="preserve"> </w:t>
      </w:r>
      <w:r>
        <w:t xml:space="preserve">dose) defines the reference and every other level of that factor is scored against it.</w:t>
      </w:r>
      <w:r>
        <w:t xml:space="preserve"> </w:t>
      </w:r>
      <w:r>
        <w:t xml:space="preserve">Factors describing what a sample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rather than what was done to it — organ,</w:t>
      </w:r>
      <w:r>
        <w:t xml:space="preserve"> </w:t>
      </w:r>
      <w:r>
        <w:t xml:space="preserve">tissue, age, ecotype — are excluded. Genes are ranked by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fold change and a set’s</w:t>
      </w:r>
      <w:r>
        <w:t xml:space="preserve"> </w:t>
      </w:r>
      <w:r>
        <w:t xml:space="preserve">mean normalised rank is compared with 2,000 size-matched random sets from the same</w:t>
      </w:r>
      <w:r>
        <w:t xml:space="preserve"> </w:t>
      </w:r>
      <w:r>
        <w:t xml:space="preserve">ranking, giving a</w:t>
      </w:r>
      <w:r>
        <w:t xml:space="preserve"> </w:t>
      </w:r>
      <m:oMath>
        <m:r>
          <m:t>z</m:t>
        </m:r>
      </m:oMath>
      <w:r>
        <w:t xml:space="preserve">-score and an empirical</w:t>
      </w:r>
      <w:r>
        <w:t xml:space="preserve"> </w:t>
      </w:r>
      <m:oMath>
        <m:r>
          <m:t>p</m:t>
        </m:r>
      </m:oMath>
      <w:r>
        <w:t xml:space="preserve">. Ranks, rather than fold-change</w:t>
      </w:r>
      <w:r>
        <w:t xml:space="preserve"> </w:t>
      </w:r>
      <w:r>
        <w:t xml:space="preserve">thresholds, keep the score comparable across platforms and sequencing depths.</w:t>
      </w:r>
    </w:p>
    <w:p>
      <w:pPr>
        <w:pStyle w:val="BodyText"/>
      </w:pPr>
      <w:r>
        <w:t xml:space="preserve">The decision index is the conjunction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rPr>
                <m:nor/>
                <m:sty m:val="p"/>
              </m:rPr>
              <m:t>SOG1-dep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rPr>
                <m:nor/>
                <m:sty m:val="p"/>
              </m:rPr>
              <m:t>MYB3R-rep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a fixed threshold of</w:t>
      </w:r>
      <w:r>
        <w:t xml:space="preserve"> </w:t>
      </w:r>
      <m:oMath>
        <m:r>
          <m:t>1.96</m:t>
        </m:r>
      </m:oMath>
      <w:r>
        <w:t xml:space="preserve">, so both arms must be individually significant. The threshold</w:t>
      </w:r>
      <w:r>
        <w:t xml:space="preserve"> </w:t>
      </w:r>
      <w:r>
        <w:t xml:space="preserve">is statistical rather than fitted: a threshold placed between the labelled classes is</w:t>
      </w:r>
      <w:r>
        <w:t xml:space="preserve"> </w:t>
      </w:r>
      <w:r>
        <w:t xml:space="preserve">hostage to OSDR’s positives including a 10 cGy exposure that produces no response.</w:t>
      </w:r>
    </w:p>
    <w:bookmarkEnd w:id="16"/>
    <w:bookmarkStart w:id="17" w:name="tissue-attribution"/>
    <w:p>
      <w:pPr>
        <w:pStyle w:val="Heading2"/>
      </w:pPr>
      <w:r>
        <w:t xml:space="preserve">Tissue attribution</w:t>
      </w:r>
    </w:p>
    <w:p>
      <w:pPr>
        <w:pStyle w:val="FirstParagraph"/>
      </w:pPr>
      <w:r>
        <w:t xml:space="preserve">Tissue association was tested against the atlas expression matrix directly, not through</w:t>
      </w:r>
      <w:r>
        <w:t xml:space="preserve"> </w:t>
      </w:r>
      <w:r>
        <w:t xml:space="preserve">the deconvolution. Each gene’s cluster profile is scaled to its own maximum, a set’s mean</w:t>
      </w:r>
      <w:r>
        <w:t xml:space="preserve"> </w:t>
      </w:r>
      <w:r>
        <w:t xml:space="preserve">scaled expression per cluster is compared with 1,000 size-matched random sets, and the</w:t>
      </w:r>
      <w:r>
        <w:t xml:space="preserve"> </w:t>
      </w:r>
      <w:r>
        <w:t xml:space="preserve">result is a per-cluster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empirical</w:t>
      </w:r>
      <w:r>
        <w:t xml:space="preserve"> </w:t>
      </w:r>
      <m:oMath>
        <m:r>
          <m:t>p</m:t>
        </m:r>
      </m:oMath>
      <w:r>
        <w:t xml:space="preserve">. Deconvolution stability was measured as the</w:t>
      </w:r>
      <w:r>
        <w:t xml:space="preserve"> </w:t>
      </w:r>
      <w:r>
        <w:t xml:space="preserve">median relative change in fraction between adjacent timepoints, restricted to compartments</w:t>
      </w:r>
      <w:r>
        <w:t xml:space="preserve"> </w:t>
      </w:r>
      <w:r>
        <w:t xml:space="preserve">carrying at least 2% mass, and the time-averaged composition was bootstrapped over</w:t>
      </w:r>
      <w:r>
        <w:t xml:space="preserve"> </w:t>
      </w:r>
      <w:r>
        <w:t xml:space="preserve">timepoints.</w:t>
      </w:r>
    </w:p>
    <w:bookmarkEnd w:id="17"/>
    <w:bookmarkStart w:id="18" w:name="X24c4e6a773900fc678aabfe702375fe5419631e"/>
    <w:p>
      <w:pPr>
        <w:pStyle w:val="Heading2"/>
      </w:pPr>
      <w:r>
        <w:t xml:space="preserve">Spaceflight TF activity, statistics and machine learning</w:t>
      </w:r>
    </w:p>
    <w:p>
      <w:pPr>
        <w:pStyle w:val="FirstParagraph"/>
      </w:pPr>
      <w:r>
        <w:t xml:space="preserve">TF activity is the rank statistic above applied to each transcription factor’s target set</w:t>
      </w:r>
      <w:r>
        <w:t xml:space="preserve"> </w:t>
      </w:r>
      <w:r>
        <w:t xml:space="preserve">(edges scoring</w:t>
      </w:r>
      <w:r>
        <w:t xml:space="preserve"> </w:t>
      </w:r>
      <m:oMath>
        <m:r>
          <m:rPr>
            <m:sty m:val="p"/>
          </m:rPr>
          <m:t>≥</m:t>
        </m:r>
        <m:r>
          <m:t>0.5</m:t>
        </m:r>
      </m:oMath>
      <w:r>
        <w:t xml:space="preserve">, at least 20 targets), giving 474 features per</w:t>
      </w:r>
      <w:r>
        <w:t xml:space="preserve"> </w:t>
      </w:r>
      <w:r>
        <w:t xml:space="preserve">contrast. The null is analytic rather than permuted: for a size-</w:t>
      </w:r>
      <m:oMath>
        <m:r>
          <m:t>n</m:t>
        </m:r>
      </m:oMath>
      <w:r>
        <w:t xml:space="preserve"> </w:t>
      </w:r>
      <w:r>
        <w:t xml:space="preserve">subset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ranks the</w:t>
      </w:r>
      <w:r>
        <w:t xml:space="preserve"> </w:t>
      </w:r>
      <w:r>
        <w:t xml:space="preserve">subset mean has variance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num>
          <m:den>
            <m:r>
              <m:t>n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, the finite-population</w:t>
      </w:r>
      <w:r>
        <w:t xml:space="preserve"> </w:t>
      </w:r>
      <w:r>
        <w:t xml:space="preserve">correction, which is exact. Agreement with permutation was verified across set sizes from</w:t>
      </w:r>
      <w:r>
        <w:t xml:space="preserve"> </w:t>
      </w:r>
      <w:r>
        <w:t xml:space="preserve">20 to 3</w:t>
      </w:r>
      <w:r>
        <w:t xml:space="preserve">,</w:t>
      </w:r>
      <w:r>
        <w:t xml:space="preserve">000 (</w:t>
      </w:r>
      <w:r>
        <w:rPr>
          <w:rStyle w:val="VerbatimChar"/>
        </w:rPr>
        <w:t xml:space="preserve">--verify-null</w:t>
      </w:r>
      <w:r>
        <w:t xml:space="preserve">); differences were within Monte-Carlo error.</w:t>
      </w:r>
    </w:p>
    <w:p>
      <w:pPr>
        <w:pStyle w:val="BodyText"/>
      </w:pPr>
      <w:r>
        <w:t xml:space="preserve">Per-TF tests average contrasts within a mission before testing, so the unit of analysis is</w:t>
      </w:r>
      <w:r>
        <w:t xml:space="preserve"> </w:t>
      </w:r>
      <w:r>
        <w:t xml:space="preserve">the mission. Flight effects are one-sample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tests over mission means; flight-versus-</w:t>
      </w:r>
      <w:r>
        <w:t xml:space="preserve"> </w:t>
      </w:r>
      <w:r>
        <w:t xml:space="preserve">radiation uses Welch’s</w:t>
      </w:r>
      <w:r>
        <w:t xml:space="preserve"> </w:t>
      </w:r>
      <m:oMath>
        <m:r>
          <m:t>t</m:t>
        </m:r>
      </m:oMath>
      <w:r>
        <w:t xml:space="preserve">; both are Benjamini–Hochberg corrected across TFs.</w:t>
      </w:r>
    </w:p>
    <w:p>
      <w:pPr>
        <w:pStyle w:val="BodyText"/>
      </w:pPr>
      <w:r>
        <w:t xml:space="preserve">Classification is L2-regularised logistic regression (</w:t>
      </w:r>
      <m:oMath>
        <m:r>
          <m:t>C</m:t>
        </m:r>
        <m:r>
          <m:rPr>
            <m:sty m:val="p"/>
          </m:rPr>
          <m:t>=</m:t>
        </m:r>
        <m:r>
          <m:t>0.1</m:t>
        </m:r>
      </m:oMath>
      <w:r>
        <w:t xml:space="preserve">, balanced classes) and a</w:t>
      </w:r>
      <w:r>
        <w:t xml:space="preserve"> </w:t>
      </w:r>
      <w:r>
        <w:t xml:space="preserve">random forest, under leave-one-mission-out cross-validation, with radiation studies each</w:t>
      </w:r>
      <w:r>
        <w:t xml:space="preserve"> </w:t>
      </w:r>
      <w:r>
        <w:t xml:space="preserve">forming their own group. Significance comes from permuting the group-to-label assignment,</w:t>
      </w:r>
      <w:r>
        <w:t xml:space="preserve"> </w:t>
      </w:r>
      <w:r>
        <w:t xml:space="preserve">not the contrast labels. A platform classifier trained on identical features under</w:t>
      </w:r>
      <w:r>
        <w:t xml:space="preserve"> </w:t>
      </w:r>
      <w:r>
        <w:t xml:space="preserve">identical cross-validation serves as the confound control.</w:t>
      </w:r>
    </w:p>
    <w:p>
      <w:pPr>
        <w:pStyle w:val="BodyText"/>
      </w:pPr>
      <w:r>
        <w:t xml:space="preserve">Trajectory projection correlates each contrast’s TF-activity vector (Spearman) against the</w:t>
      </w:r>
      <w:r>
        <w:t xml:space="preserve"> </w:t>
      </w:r>
      <w:r>
        <w:t xml:space="preserve">same vector computed at each DREM timepoint. Because an argmax over eight profiles always</w:t>
      </w:r>
      <w:r>
        <w:t xml:space="preserve"> </w:t>
      </w:r>
      <w:r>
        <w:t xml:space="preserve">exists, the reported statistics are the shape of the mean correlation profile and the</w:t>
      </w:r>
      <w:r>
        <w:t xml:space="preserve"> </w:t>
      </w:r>
      <w:r>
        <w:t xml:space="preserve">fraction of per-contrast argmaxes falling at or beside its peak.</w:t>
      </w:r>
    </w:p>
    <w:bookmarkEnd w:id="18"/>
    <w:bookmarkStart w:id="19" w:name="model-fitting-and-comparison"/>
    <w:p>
      <w:pPr>
        <w:pStyle w:val="Heading2"/>
      </w:pPr>
      <w:r>
        <w:t xml:space="preserve">Model fitting and comparison</w:t>
      </w:r>
    </w:p>
    <w:p>
      <w:pPr>
        <w:pStyle w:val="FirstParagraph"/>
      </w:pPr>
      <w:r>
        <w:t xml:space="preserve">Models were fitted with DREM 2.0.7</w:t>
      </w:r>
      <w:r>
        <w:t xml:space="preserve"> </w:t>
      </w:r>
      <w:r>
        <w:t xml:space="preserve">(</w:t>
      </w:r>
      <w:r>
        <w:rPr>
          <w:i/>
          <w:iCs/>
        </w:rPr>
        <w:t xml:space="preserve">DREM 2.0.7 Software Release</w:t>
      </w:r>
      <w:r>
        <w:t xml:space="preserve"> </w:t>
      </w:r>
      <w:r>
        <w:t xml:space="preserve">2026)</w:t>
      </w:r>
      <w:r>
        <w:t xml:space="preserve"> </w:t>
      </w:r>
      <w:r>
        <w:t xml:space="preserve">in batch mode</w:t>
      </w:r>
      <w:r>
        <w:t xml:space="preserve"> </w:t>
      </w:r>
      <w:r>
        <w:t xml:space="preserve">(</w:t>
      </w:r>
      <w:r>
        <w:rPr>
          <w:rStyle w:val="VerbatimChar"/>
        </w:rPr>
        <w:t xml:space="preserve">java -jar drem.jar -b</w:t>
      </w:r>
      <w:r>
        <w:t xml:space="preserve">), with a pinned random seed, node penalty 40, at most</w:t>
      </w:r>
      <w:r>
        <w:t xml:space="preserve"> </w:t>
      </w:r>
      <w:r>
        <w:t xml:space="preserve">three paths out of a split, and a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expression filter. Replicates were</w:t>
      </w:r>
      <w:r>
        <w:t xml:space="preserve"> </w:t>
      </w:r>
      <w:r>
        <w:t xml:space="preserve">supplied as separate full matrices rather than pre-medianed. The wrapper was validated</w:t>
      </w:r>
      <w:r>
        <w:t xml:space="preserve"> </w:t>
      </w:r>
      <w:r>
        <w:t xml:space="preserve">against DREM’s own bundled example before any study data was fitted.</w:t>
      </w:r>
    </w:p>
    <w:p>
      <w:pPr>
        <w:pStyle w:val="BodyText"/>
      </w:pPr>
      <w:r>
        <w:t xml:space="preserve">Each arm was fitted three times under identical settings, differing only in the prior:</w:t>
      </w:r>
      <w:r>
        <w:t xml:space="preserve"> </w:t>
      </w:r>
      <w:r>
        <w:rPr>
          <w:i/>
          <w:iCs/>
        </w:rPr>
        <w:t xml:space="preserve">flat</w:t>
      </w:r>
      <w:r>
        <w:t xml:space="preserve"> </w:t>
      </w:r>
      <w:r>
        <w:t xml:space="preserve">(all edges 1.0),</w:t>
      </w:r>
      <w:r>
        <w:t xml:space="preserve"> </w:t>
      </w:r>
      <w:r>
        <w:rPr>
          <w:i/>
          <w:iCs/>
        </w:rPr>
        <w:t xml:space="preserve">binding</w:t>
      </w:r>
      <w:r>
        <w:t xml:space="preserve"> </w:t>
      </w:r>
      <w:r>
        <w:t xml:space="preserve">(DAP-seq/ChIP score), and</w:t>
      </w:r>
      <w:r>
        <w:t xml:space="preserve"> </w:t>
      </w:r>
      <w:r>
        <w:rPr>
          <w:i/>
          <w:iCs/>
        </w:rPr>
        <w:t xml:space="preserve">weighted</w:t>
      </w:r>
      <w:r>
        <w:t xml:space="preserve"> </w:t>
      </w:r>
      <w:r>
        <w:t xml:space="preserve">(cell-type-weighted). Because seed and data are held constant, any difference in TF</w:t>
      </w:r>
      <w:r>
        <w:t xml:space="preserve"> </w:t>
      </w:r>
      <w:r>
        <w:t xml:space="preserve">attribution is attributable to the prior alone.</w:t>
      </w:r>
    </w:p>
    <w:bookmarkEnd w:id="19"/>
    <w:bookmarkEnd w:id="20"/>
    <w:bookmarkStart w:id="99" w:name="results"/>
    <w:p>
      <w:pPr>
        <w:pStyle w:val="Heading1"/>
      </w:pPr>
      <w:r>
        <w:t xml:space="preserve">Results</w:t>
      </w:r>
    </w:p>
    <w:bookmarkStart w:id="25" w:name="X295578f0ed1ebaa2d3e9d0e3212a360f7267b04"/>
    <w:p>
      <w:pPr>
        <w:pStyle w:val="Heading2"/>
      </w:pPr>
      <w:r>
        <w:t xml:space="preserve">OSDR contains an interlocking irradiation series, not a set of disjoint studies</w:t>
      </w:r>
    </w:p>
    <w:p>
      <w:pPr>
        <w:pStyle w:val="FirstParagraph"/>
      </w:pPr>
      <w:r>
        <w:t xml:space="preserve">Of the 62</w:t>
      </w:r>
      <w:r>
        <w:t xml:space="preserve"> </w:t>
      </w:r>
      <w:r>
        <w:rPr>
          <w:i/>
          <w:iCs/>
        </w:rPr>
        <w:t xml:space="preserve">Arabidopsis</w:t>
      </w:r>
      <w:r>
        <w:t xml:space="preserve"> </w:t>
      </w:r>
      <w:r>
        <w:t xml:space="preserve">studies in OSDR, most carry</w:t>
      </w:r>
      <w:r>
        <w:t xml:space="preserve"> </w:t>
      </w:r>
      <w:r>
        <w:t xml:space="preserve">no parsable time axis. Those that do fall into two families. The</w:t>
      </w:r>
      <w:r>
        <w:t xml:space="preserve"> </w:t>
      </w:r>
      <m:oMath>
        <m:r>
          <m:t>γ</m:t>
        </m:r>
      </m:oMath>
      <w:r>
        <w:t xml:space="preserve">-irradiation family yields 108 timed samples across</w:t>
      </w:r>
      <w:r>
        <w:t xml:space="preserve"> </w:t>
      </w:r>
      <w:r>
        <w:t xml:space="preserve">10 timepoints from 10 min to 72 h, plus</w:t>
      </w:r>
      <w:r>
        <w:t xml:space="preserve"> </w:t>
      </w:r>
      <w:r>
        <w:t xml:space="preserve">36 untreated samples that anchor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(Table </w:t>
      </w:r>
      <w:hyperlink w:anchor="tab:cohorts">
        <w:r>
          <w:rPr>
            <w:rStyle w:val="Hyperlink"/>
          </w:rPr>
          <w:t xml:space="preserve">2</w:t>
        </w:r>
      </w:hyperlink>
      <w:r>
        <w:t xml:space="preserve">).</w:t>
      </w:r>
    </w:p>
    <w:p>
      <w:pPr>
        <w:pStyle w:val="BodyText"/>
      </w:pPr>
      <w:r>
        <w:t xml:space="preserve">The series interlocks rather than butt-joining. OSD-508 and OSD-510 share six timepoints</w:t>
      </w:r>
      <w:r>
        <w:t xml:space="preserve"> </w:t>
      </w:r>
      <w:r>
        <w:t xml:space="preserve">and OSD-498 shares four with OSD-508, giving 7 timepoints</w:t>
      </w:r>
      <w:r>
        <w:t xml:space="preserve"> </w:t>
      </w:r>
      <w:r>
        <w:t xml:space="preserve">measured by more than one accession — enough to fit and remove a residual per-study</w:t>
      </w:r>
      <w:r>
        <w:t xml:space="preserve"> </w:t>
      </w:r>
      <w:r>
        <w:t xml:space="preserve">offset without extrapolation. This is a direct consequence of provenance: the three core</w:t>
      </w:r>
      <w:r>
        <w:t xml:space="preserve"> </w:t>
      </w:r>
      <w:r>
        <w:t xml:space="preserve">accessions are one experiment split across three deposits, not three independent</w:t>
      </w:r>
      <w:r>
        <w:t xml:space="preserve"> </w:t>
      </w:r>
      <w:r>
        <w:t xml:space="preserve">laboratories. We state this explicitly because it bounds the claim. The cross-study</w:t>
      </w:r>
      <w:r>
        <w:t xml:space="preserve"> </w:t>
      </w:r>
      <w:r>
        <w:t xml:space="preserve">element of cohort A is OSD-782, and OSD-782 alone.</w:t>
      </w:r>
    </w:p>
    <w:p>
      <w:pPr>
        <w:pStyle w:val="BodyText"/>
      </w:pPr>
      <w:r>
        <w:t xml:space="preserve">The spaceflight cohort is thinner: 115 samples over only</w:t>
      </w:r>
      <w:r>
        <w:t xml:space="preserve"> </w:t>
      </w:r>
      <w:r>
        <w:t xml:space="preserve">3 timepoints (4, 6 and 8 d) across two ecotypes (Col-0 and WS) and</w:t>
      </w:r>
      <w:r>
        <w:t xml:space="preserve"> </w:t>
      </w:r>
      <w:r>
        <w:t xml:space="preserve">two root-skewing mutants (</w:t>
      </w:r>
      <w:r>
        <w:rPr>
          <w:i/>
          <w:iCs/>
        </w:rPr>
        <w:t xml:space="preserve">sku5</w:t>
      </w:r>
      <w:r>
        <w:t xml:space="preserve"> </w:t>
      </w:r>
      <w:r>
        <w:t xml:space="preserve">in WS,</w:t>
      </w:r>
      <w:r>
        <w:t xml:space="preserve"> </w:t>
      </w:r>
      <w:r>
        <w:rPr>
          <w:i/>
          <w:iCs/>
        </w:rPr>
        <w:t xml:space="preserve">sku6</w:t>
      </w:r>
      <w:r>
        <w:t xml:space="preserve"> </w:t>
      </w:r>
      <w:r>
        <w:t xml:space="preserve">in Col-0). It is reported as</w:t>
      </w:r>
      <w:r>
        <w:t xml:space="preserve"> </w:t>
      </w:r>
      <w:r>
        <w:t xml:space="preserve">a generalisation test, not as a co-equal result.</w:t>
      </w:r>
    </w:p>
    <w:bookmarkStart w:id="24" w:name="fig:design"/>
    <w:p>
      <w:pPr>
        <w:pStyle w:val="CaptionedFigure"/>
      </w:pPr>
      <w:r>
        <w:drawing>
          <wp:inline>
            <wp:extent cx="5334000" cy="2309356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../figures/fig1_cohort_desig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9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Pseudo-time-series coverage. Each marker is a timepoint measured by one</w:t>
      </w:r>
      <w:r>
        <w:t xml:space="preserve"> </w:t>
      </w:r>
      <w:r>
        <w:t xml:space="preserve">accession; marker area is the replicate count. Cohort A’s accessions overlap at</w:t>
      </w:r>
      <w:r>
        <w:t xml:space="preserve"> </w:t>
      </w:r>
      <w:r>
        <w:t xml:space="preserve">7 timepoints, which is what allows a residual between-study</w:t>
      </w:r>
      <w:r>
        <w:t xml:space="preserve"> </w:t>
      </w:r>
      <w:r>
        <w:t xml:space="preserve">offset to be fitted without extrapolation.</w:t>
      </w:r>
    </w:p>
    <w:bookmarkEnd w:id="24"/>
    <w:bookmarkEnd w:id="25"/>
    <w:bookmarkStart w:id="30" w:name="X5ffb361b2c1f6bb0788a090a7f6fde8d48fa9d0"/>
    <w:p>
      <w:pPr>
        <w:pStyle w:val="Heading2"/>
      </w:pPr>
      <w:r>
        <w:t xml:space="preserve">Batch harmonisation preserves the DNA-damage response and its genetic dependency</w:t>
      </w:r>
    </w:p>
    <w:p>
      <w:pPr>
        <w:pStyle w:val="FirstParagraph"/>
      </w:pPr>
      <w:r>
        <w:t xml:space="preserve">After within-study referencing and offset removal, all 6 canonical</w:t>
      </w:r>
      <w:r>
        <w:t xml:space="preserve"> </w:t>
      </w:r>
      <w:r>
        <w:t xml:space="preserve">DNA-damage sentinel genes exceed 2-fold induction in the wild-type arm, tracing a clean</w:t>
      </w:r>
      <w:r>
        <w:t xml:space="preserve"> </w:t>
      </w:r>
      <w:r>
        <w:t xml:space="preserve">rise–peak–decay kinetic, peaking at 3 h and decaying by 24 h (Figure </w:t>
      </w:r>
      <w:hyperlink w:anchor="fig:sentinels">
        <w:r>
          <w:rPr>
            <w:rStyle w:val="Hyperlink"/>
          </w:rPr>
          <w:t xml:space="preserve">2</w:t>
        </w:r>
      </w:hyperlink>
      <w:r>
        <w:t xml:space="preserve">).</w:t>
      </w:r>
    </w:p>
    <w:p>
      <w:pPr>
        <w:pStyle w:val="BodyText"/>
      </w:pPr>
      <w:r>
        <w:t xml:space="preserve">In</w:t>
      </w:r>
      <w:r>
        <w:t xml:space="preserve"> </w:t>
      </w:r>
      <w:r>
        <w:rPr>
          <w:i/>
          <w:iCs/>
        </w:rPr>
        <w:t xml:space="preserve">sog1-1</w:t>
      </w:r>
      <w:r>
        <w:t xml:space="preserve"> </w:t>
      </w:r>
      <w:r>
        <w:t xml:space="preserve">the early response is absent: no sentinel reaches 2-fold before 24 h,</w:t>
      </w:r>
      <w:r>
        <w:t xml:space="preserve"> </w:t>
      </w:r>
      <w:r>
        <w:t xml:space="preserve">when only 4 do, and RAD51 loses almost all of its induction.</w:t>
      </w:r>
      <w:r>
        <w:t xml:space="preserve"> </w:t>
      </w:r>
      <w:r>
        <w:t xml:space="preserve">The pipeline therefore recovers the central genetic finding of</w:t>
      </w:r>
      <w:r>
        <w:t xml:space="preserve"> </w:t>
      </w:r>
      <w:r>
        <w:t xml:space="preserve">Bourbousse et al. (2018)</w:t>
      </w:r>
      <w:r>
        <w:t xml:space="preserve"> </w:t>
      </w:r>
      <w:r>
        <w:t xml:space="preserve">— that the response is SOG1-dependent — before any</w:t>
      </w:r>
      <w:r>
        <w:t xml:space="preserve"> </w:t>
      </w:r>
      <w:r>
        <w:t xml:space="preserve">regulatory model is fitted. This is the strongest available evidence that the</w:t>
      </w:r>
      <w:r>
        <w:t xml:space="preserve"> </w:t>
      </w:r>
      <w:r>
        <w:t xml:space="preserve">cross-study assembly is measuring biology rather than batch structure, because no step in</w:t>
      </w:r>
      <w:r>
        <w:t xml:space="preserve"> </w:t>
      </w:r>
      <w:r>
        <w:t xml:space="preserve">the harmonisation has access to genotype.</w:t>
      </w:r>
    </w:p>
    <w:bookmarkStart w:id="29" w:name="fig:sentinels"/>
    <w:p>
      <w:pPr>
        <w:pStyle w:val="CaptionedFigure"/>
      </w:pPr>
      <w:r>
        <w:drawing>
          <wp:inline>
            <wp:extent cx="5334000" cy="2670939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../figures/fig2_sentinel_kinetic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09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DNA-damage sentinel kinetics after cross-study harmonisation. All</w:t>
      </w:r>
      <w:r>
        <w:t xml:space="preserve"> </w:t>
      </w:r>
      <w:r>
        <w:t xml:space="preserve">6 sentinels exceed 2-fold induction in wild type and trace a</w:t>
      </w:r>
      <w:r>
        <w:t xml:space="preserve"> </w:t>
      </w:r>
      <w:r>
        <w:t xml:space="preserve">rise–peak–decay curve; in</w:t>
      </w:r>
      <w:r>
        <w:t xml:space="preserve"> </w:t>
      </w:r>
      <w:r>
        <w:rPr>
          <w:i/>
          <w:iCs/>
        </w:rPr>
        <w:t xml:space="preserve">sog1-1</w:t>
      </w:r>
      <w:r>
        <w:t xml:space="preserve"> </w:t>
      </w:r>
      <w:r>
        <w:t xml:space="preserve">none reaches 2-fold before 24 h. No step in the</w:t>
      </w:r>
      <w:r>
        <w:t xml:space="preserve"> </w:t>
      </w:r>
      <w:r>
        <w:t xml:space="preserve">harmonisation has access to genotype.</w:t>
      </w:r>
    </w:p>
    <w:bookmarkEnd w:id="29"/>
    <w:p>
      <w:pPr>
        <w:pStyle w:val="BodyText"/>
      </w:pPr>
      <w:r>
        <w:t xml:space="preserve">The held-out OSD-782 arm shows no sentinel induction (maximum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>
          <m:t>1.0</m:t>
        </m:r>
      </m:oMath>
      <w:r>
        <w:t xml:space="preserve">). This is</w:t>
      </w:r>
      <w:r>
        <w:t xml:space="preserve"> </w:t>
      </w:r>
      <w:r>
        <w:t xml:space="preserve">the expected biology, not a failure: at 10–100 cGy the dose is two to three orders of</w:t>
      </w:r>
      <w:r>
        <w:t xml:space="preserve"> </w:t>
      </w:r>
      <w:r>
        <w:t xml:space="preserve">magnitude below that of the core experiment, and the source study reports ethylene</w:t>
      </w:r>
      <w:r>
        <w:t xml:space="preserve"> </w:t>
      </w:r>
      <w:r>
        <w:t xml:space="preserve">signalling rather than a canonical DNA-damage response. The sentinel gate is therefore</w:t>
      </w:r>
      <w:r>
        <w:t xml:space="preserve"> </w:t>
      </w:r>
      <w:r>
        <w:t xml:space="preserve">enforced only on the wild-type primary arm.</w:t>
      </w:r>
    </w:p>
    <w:bookmarkEnd w:id="30"/>
    <w:bookmarkStart w:id="31" w:name="Xd04ffd012b171b172f3ee96cf1255decbe29c0d"/>
    <w:p>
      <w:pPr>
        <w:pStyle w:val="Heading2"/>
      </w:pPr>
      <w:r>
        <w:t xml:space="preserve">The prior is incomplete in exactly the place that matters</w:t>
      </w:r>
    </w:p>
    <w:p>
      <w:pPr>
        <w:pStyle w:val="FirstParagraph"/>
      </w:pPr>
      <w:r>
        <w:t xml:space="preserve">The DAP-seq prior covers 478 TFs and 976</w:t>
      </w:r>
      <w:r>
        <w:t xml:space="preserve">,</w:t>
      </w:r>
      <w:r>
        <w:t xml:space="preserve">588 edges, but does not</w:t>
      </w:r>
      <w:r>
        <w:t xml:space="preserve"> </w:t>
      </w:r>
      <w:r>
        <w:t xml:space="preserve">contain SOG1: DAP-seq never assayed it. A DREM model built on DAP-seq alone therefore</w:t>
      </w:r>
      <w:r>
        <w:t xml:space="preserve"> </w:t>
      </w:r>
      <w:r>
        <w:t xml:space="preserve">cannot attribute any bifurcation to the master regulator of the response being modelled,</w:t>
      </w:r>
      <w:r>
        <w:t xml:space="preserve"> </w:t>
      </w:r>
      <w:r>
        <w:t xml:space="preserve">and would do so silently. Calling SOG1 peaks from the same experiment’s ChIP-seq recovers</w:t>
      </w:r>
      <w:r>
        <w:t xml:space="preserve"> </w:t>
      </w:r>
      <w:r>
        <w:t xml:space="preserve">1</w:t>
      </w:r>
      <w:r>
        <w:t xml:space="preserve">,</w:t>
      </w:r>
      <w:r>
        <w:t xml:space="preserve">720 target genes and closes the gap. We report this because the failure</w:t>
      </w:r>
      <w:r>
        <w:t xml:space="preserve"> </w:t>
      </w:r>
      <w:r>
        <w:t xml:space="preserve">mode generalises: a regulatory prior’s absences are invisible in its outputs, and any</w:t>
      </w:r>
      <w:r>
        <w:t xml:space="preserve"> </w:t>
      </w:r>
      <w:r>
        <w:t xml:space="preserve">DREM analysis should check that the regulators its conclusions depend on are actually</w:t>
      </w:r>
      <w:r>
        <w:t xml:space="preserve"> </w:t>
      </w:r>
      <w:r>
        <w:t xml:space="preserve">present in the prior.</w:t>
      </w:r>
    </w:p>
    <w:bookmarkEnd w:id="31"/>
    <w:bookmarkStart w:id="40" w:name="cell-type-weighting"/>
    <w:p>
      <w:pPr>
        <w:pStyle w:val="Heading2"/>
      </w:pPr>
      <w:r>
        <w:t xml:space="preserve">Cell-type weighting</w:t>
      </w:r>
    </w:p>
    <w:p>
      <w:pPr>
        <w:pStyle w:val="FirstParagraph"/>
      </w:pPr>
      <w:r>
        <w:t xml:space="preserve">Deconvolution places the irradiation cohort predominantly in rosette and seedling</w:t>
      </w:r>
      <w:r>
        <w:t xml:space="preserve"> </w:t>
      </w:r>
      <w:r>
        <w:t xml:space="preserve">clusters, consistent with whole-seedling material.</w:t>
      </w:r>
      <w:r>
        <w:t xml:space="preserve"> </w:t>
      </w:r>
      <w:r>
        <w:t xml:space="preserve">232</w:t>
      </w:r>
      <w:r>
        <w:t xml:space="preserve">,</w:t>
      </w:r>
      <w:r>
        <w:t xml:space="preserve">931 edges (24%) are atlas-informed and</w:t>
      </w:r>
      <w:r>
        <w:t xml:space="preserve"> </w:t>
      </w:r>
      <w:r>
        <w:t xml:space="preserve">16% change by more than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 weighting. The</w:t>
      </w:r>
      <w:r>
        <w:t xml:space="preserve"> </w:t>
      </w:r>
      <w:r>
        <w:t xml:space="preserve">auto-decoder’s 32-dimensional latent code moves monotonically away from the</w:t>
      </w:r>
      <w:r>
        <w:t xml:space="preserve"> </w:t>
      </w:r>
      <w:r>
        <w:t xml:space="preserve">untreated state over pseudo-time (Figure </w:t>
      </w:r>
      <w:hyperlink w:anchor="fig:latent">
        <w:r>
          <w:rPr>
            <w:rStyle w:val="Hyperlink"/>
          </w:rPr>
          <w:t xml:space="preserve">3</w:t>
        </w:r>
      </w:hyperlink>
      <w:r>
        <w:t xml:space="preserve">).</w:t>
      </w:r>
    </w:p>
    <w:bookmarkStart w:id="35" w:name="fig:latent"/>
    <w:p>
      <w:pPr>
        <w:pStyle w:val="CaptionedFigure"/>
      </w:pPr>
      <w:r>
        <w:drawing>
          <wp:inline>
            <wp:extent cx="3840480" cy="2423328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../figures/fig3_latent_trajectory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423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Displacement of the auto-decoder latent code from the earliest timepoint, per</w:t>
      </w:r>
      <w:r>
        <w:t xml:space="preserve"> </w:t>
      </w:r>
      <w:r>
        <w:t xml:space="preserve">arm. One interpretable scalar summarising the 32-dimensional trajectory.</w:t>
      </w:r>
    </w:p>
    <w:bookmarkEnd w:id="35"/>
    <w:p>
      <w:pPr>
        <w:pStyle w:val="BodyText"/>
      </w:pPr>
      <w:r>
        <w:t xml:space="preserve">Across 6 bifurcations in the wild-type model, compared on the</w:t>
      </w:r>
      <w:r>
        <w:t xml:space="preserve"> </w:t>
      </w:r>
      <w:r>
        <w:t xml:space="preserve">2way test all three priors produced,</w:t>
      </w:r>
      <w:r>
        <w:t xml:space="preserve"> </w:t>
      </w:r>
      <w:r>
        <w:t xml:space="preserve">3 (50%) change their top-ranked TF</w:t>
      </w:r>
      <w:r>
        <w:t xml:space="preserve"> </w:t>
      </w:r>
      <w:r>
        <w:t xml:space="preserve">between the flat, binding and cell-type-weighted priors.</w:t>
      </w:r>
    </w:p>
    <w:p>
      <w:pPr>
        <w:pStyle w:val="BodyText"/>
      </w:pPr>
      <w:r>
        <w:t xml:space="preserve">The split is not random. The bifurcations whose attribution is</w:t>
      </w:r>
      <w:r>
        <w:t xml:space="preserve"> </w:t>
      </w:r>
      <w:r>
        <w:rPr>
          <w:i/>
          <w:iCs/>
        </w:rPr>
        <w:t xml:space="preserve">stable</w:t>
      </w:r>
      <w:r>
        <w:t xml:space="preserve"> </w:t>
      </w:r>
      <w:r>
        <w:t xml:space="preserve">across all</w:t>
      </w:r>
      <w:r>
        <w:t xml:space="preserve"> </w:t>
      </w:r>
      <w:r>
        <w:t xml:space="preserve">three priors are the biologically canonical ones: two are attributed to SOG1</w:t>
      </w:r>
      <w:r>
        <w:t xml:space="preserve"> </w:t>
      </w:r>
      <w:r>
        <w:t xml:space="preserve">(AT1G25580) and one to MYB3R1 (AT4G32730) — the activator and repressor arms the source</w:t>
      </w:r>
      <w:r>
        <w:t xml:space="preserve"> </w:t>
      </w:r>
      <w:r>
        <w:t xml:space="preserve">study identified. The bifurcations that</w:t>
      </w:r>
      <w:r>
        <w:t xml:space="preserve"> </w:t>
      </w:r>
      <w:r>
        <w:rPr>
          <w:i/>
          <w:iCs/>
        </w:rPr>
        <w:t xml:space="preserve">move</w:t>
      </w:r>
      <w:r>
        <w:t xml:space="preserve"> </w:t>
      </w:r>
      <w:r>
        <w:t xml:space="preserve">are the weaker ones, reassigned among</w:t>
      </w:r>
      <w:r>
        <w:t xml:space="preserve"> </w:t>
      </w:r>
      <w:r>
        <w:t xml:space="preserve">MYB-related, WRKY, TCP, NAC and bZIP regulators (WRKY33, TCP15, ANAC071, bZIP3, MYB49).</w:t>
      </w:r>
      <w:r>
        <w:t xml:space="preserve"> </w:t>
      </w:r>
      <w:r>
        <w:t xml:space="preserve">The prior therefore does not overturn well-supported attributions; it changes the calls</w:t>
      </w:r>
      <w:r>
        <w:t xml:space="preserve"> </w:t>
      </w:r>
      <w:r>
        <w:t xml:space="preserve">that were marginal to begin with, which is the behaviour a prior ought to have.</w:t>
      </w:r>
    </w:p>
    <w:p>
      <w:pPr>
        <w:pStyle w:val="BodyText"/>
      </w:pPr>
      <w:r>
        <w:t xml:space="preserve">The wild-type arm is the only one with enough resolved bifurcations to read an ablation</w:t>
      </w:r>
      <w:r>
        <w:t xml:space="preserve"> </w:t>
      </w:r>
      <w:r>
        <w:t xml:space="preserve">from. The remaining three arms each resolved a single split shared by all three priors,</w:t>
      </w:r>
      <w:r>
        <w:t xml:space="preserve"> </w:t>
      </w:r>
      <w:r>
        <w:t xml:space="preserve">so their apparent 100% change rate rests on one comparison and is reported in</w:t>
      </w:r>
      <w:r>
        <w:t xml:space="preserve"> </w:t>
      </w:r>
      <w:r>
        <w:t xml:space="preserve">Figure </w:t>
      </w:r>
      <w:hyperlink w:anchor="fig:ablation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with its denominator rather than as a rate.</w:t>
      </w:r>
    </w:p>
    <w:bookmarkStart w:id="39" w:name="fig:ablation"/>
    <w:p>
      <w:pPr>
        <w:pStyle w:val="CaptionedFigure"/>
      </w:pPr>
      <w:r>
        <w:drawing>
          <wp:inline>
            <wp:extent cx="4267200" cy="2376708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../figures/fig4_prior_ablation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76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Proportion of bifurcations whose top-ranked transcription factor changes with</w:t>
      </w:r>
      <w:r>
        <w:t xml:space="preserve"> </w:t>
      </w:r>
      <w:r>
        <w:t xml:space="preserve">the prior. Labels give changed/total splits; pale bars rest on fewer than four</w:t>
      </w:r>
      <w:r>
        <w:t xml:space="preserve"> </w:t>
      </w:r>
      <w:r>
        <w:t xml:space="preserve">bifurcations and should not be read as rates.</w:t>
      </w:r>
    </w:p>
    <w:bookmarkEnd w:id="39"/>
    <w:bookmarkEnd w:id="40"/>
    <w:bookmarkStart w:id="41" w:name="X5e41d9bfea5b027926628063da76e146412dc75"/>
    <w:p>
      <w:pPr>
        <w:pStyle w:val="Heading2"/>
      </w:pPr>
      <w:r>
        <w:t xml:space="preserve">What the cell-type weighting actually did</w:t>
      </w:r>
    </w:p>
    <w:p>
      <w:pPr>
        <w:pStyle w:val="FirstParagraph"/>
      </w:pPr>
      <w:r>
        <w:t xml:space="preserve">The weighting is a multiplier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every regulator’s total edge mass shrinks;</w:t>
      </w:r>
      <w:r>
        <w:t xml:space="preserve"> </w:t>
      </w:r>
      <w:r>
        <w:t xml:space="preserve">what re-ranks regulators against one another is shrinking more or less than the typical</w:t>
      </w:r>
      <w:r>
        <w:t xml:space="preserve"> </w:t>
      </w:r>
      <w:r>
        <w:t xml:space="preserve">TF. Measured that way, the atlas informs 57 of 479 TFs and</w:t>
      </w:r>
      <w:r>
        <w:t xml:space="preserve"> </w:t>
      </w:r>
      <w:r>
        <w:t xml:space="preserve">its action is specific rather than diffuse (Figure </w:t>
      </w:r>
      <w:hyperlink w:anchor="fig:tissue">
        <w:r>
          <w:rPr>
            <w:rStyle w:val="Hyperlink"/>
          </w:rPr>
          <w:t xml:space="preserve">5</w:t>
        </w:r>
      </w:hyperlink>
      <w:r>
        <w:t xml:space="preserve">).</w:t>
      </w:r>
    </w:p>
    <w:p>
      <w:pPr>
        <w:pStyle w:val="BodyText"/>
      </w:pPr>
      <w:r>
        <w:t xml:space="preserve">The six most strongly demoted regulators are</w:t>
      </w:r>
      <w:r>
        <w:t xml:space="preserve"> </w:t>
      </w:r>
      <w:r>
        <w:rPr>
          <w:i/>
          <w:iCs/>
        </w:rPr>
        <w:t xml:space="preserve">FUS3</w:t>
      </w:r>
      <w:r>
        <w:t xml:space="preserve">, ANAC079, ANAC058, ANAC038,</w:t>
      </w:r>
      <w:r>
        <w:t xml:space="preserve"> </w:t>
      </w:r>
      <w:r>
        <w:t xml:space="preserve">AT1G04880 and ANAC029. Four of the six (</w:t>
      </w:r>
      <w:r>
        <w:rPr>
          <w:i/>
          <w:iCs/>
        </w:rPr>
        <w:t xml:space="preserve">FUS3</w:t>
      </w:r>
      <w:r>
        <w:t xml:space="preserve">, ANAC079, ANAC058, ANAC029) have their</w:t>
      </w:r>
      <w:r>
        <w:t xml:space="preserve"> </w:t>
      </w:r>
      <w:r>
        <w:t xml:space="preserve">expression maximum in a silique cluster; ANAC038 peaks in a 9-day seedling cluster and</w:t>
      </w:r>
      <w:r>
        <w:t xml:space="preserve"> </w:t>
      </w:r>
      <w:r>
        <w:t xml:space="preserve">AT1G04880 in a flower cluster. The Bourbousse experiment irradiated</w:t>
      </w:r>
      <w:r>
        <w:t xml:space="preserve"> </w:t>
      </w:r>
      <w:r>
        <w:rPr>
          <w:i/>
          <w:iCs/>
        </w:rPr>
        <w:t xml:space="preserve">seedlings</w:t>
      </w:r>
      <w:r>
        <w:t xml:space="preserve">, so for</w:t>
      </w:r>
      <w:r>
        <w:t xml:space="preserve"> </w:t>
      </w:r>
      <w:r>
        <w:t xml:space="preserve">the four silique-restricted factors DAP-seq reports that they can bind their motifs while</w:t>
      </w:r>
      <w:r>
        <w:t xml:space="preserve"> </w:t>
      </w:r>
      <w:r>
        <w:t xml:space="preserve">the atlas says they are not present in the tissue being assayed. At the script’s own</w:t>
      </w:r>
      <w:r>
        <w:t xml:space="preserve"> </w:t>
      </w:r>
      <w:r>
        <w:t xml:space="preserve">threshold of a 0.1 change relative to the median TF, three regulators are demoted</w:t>
      </w:r>
      <w:r>
        <w:t xml:space="preserve"> </w:t>
      </w:r>
      <w:r>
        <w:t xml:space="preserve">(</w:t>
      </w:r>
      <w:r>
        <w:rPr>
          <w:i/>
          <w:iCs/>
        </w:rPr>
        <w:t xml:space="preserve">FUS3</w:t>
      </w:r>
      <w:r>
        <w:t xml:space="preserve">, ANAC079, ANAC058) and one is promoted (TCP1, peaking in a 30-day rosette</w:t>
      </w:r>
      <w:r>
        <w:t xml:space="preserve"> </w:t>
      </w:r>
      <w:r>
        <w:t xml:space="preserve">cluster); the next five (LEP, STZ, FAR1, WRKY59, ERF4) shrink only slightly less than the</w:t>
      </w:r>
      <w:r>
        <w:t xml:space="preserve"> </w:t>
      </w:r>
      <w:r>
        <w:t xml:space="preserve">median, and four of them peak in 15-day seedling clusters, WRKY59 in a silique cluster.</w:t>
      </w:r>
    </w:p>
    <w:p>
      <w:pPr>
        <w:pStyle w:val="BodyText"/>
      </w:pPr>
      <w:r>
        <w:t xml:space="preserve">This is worth stating precisely because SOG1 is itself a NAC (ANAC008). The lever is not</w:t>
      </w:r>
      <w:r>
        <w:t xml:space="preserve"> </w:t>
      </w:r>
      <w:r>
        <w:t xml:space="preserve">down-weighting a family; it is discriminating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one, demoting the seed-restricted</w:t>
      </w:r>
      <w:r>
        <w:t xml:space="preserve"> </w:t>
      </w:r>
      <w:r>
        <w:t xml:space="preserve">NACs while leaving the seedling-expressed ones untouched. That is also why the ablation</w:t>
      </w:r>
      <w:r>
        <w:t xml:space="preserve"> </w:t>
      </w:r>
      <w:r>
        <w:t xml:space="preserve">left the SOG1 and MYB3R1 attributions unmoved while reassigning the marginal calls: the</w:t>
      </w:r>
      <w:r>
        <w:t xml:space="preserve"> </w:t>
      </w:r>
      <w:r>
        <w:t xml:space="preserve">prior only had licence to act where the atlas disagreed with the binding data.</w:t>
      </w:r>
    </w:p>
    <w:bookmarkEnd w:id="41"/>
    <w:bookmarkStart w:id="46" w:name="tissue-association-of-the-response"/>
    <w:p>
      <w:pPr>
        <w:pStyle w:val="Heading2"/>
      </w:pPr>
      <w:r>
        <w:t xml:space="preserve">Tissue association of the response</w:t>
      </w:r>
    </w:p>
    <w:p>
      <w:pPr>
        <w:pStyle w:val="FirstParagraph"/>
      </w:pPr>
      <w:r>
        <w:t xml:space="preserve">Where the response is expressed was tested directly against the atlas rather than through</w:t>
      </w:r>
      <w:r>
        <w:t xml:space="preserve"> </w:t>
      </w:r>
      <w:r>
        <w:t xml:space="preserve">the deconvolution, for a reason worth recording. The per-timepoint NNLS fractions are not</w:t>
      </w:r>
      <w:r>
        <w:t xml:space="preserve"> </w:t>
      </w:r>
      <w:r>
        <w:t xml:space="preserve">stable: the median relative swing between adjacent timepoints is 0.6 at cluster</w:t>
      </w:r>
      <w:r>
        <w:t xml:space="preserve"> </w:t>
      </w:r>
      <w:r>
        <w:t xml:space="preserve">resolution, and aggregating to organ level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fix it (0.609), because</w:t>
      </w:r>
      <w:r>
        <w:t xml:space="preserve"> </w:t>
      </w:r>
      <w:r>
        <w:t xml:space="preserve">the fit flips between clusters of the same organ as readily as across organs. The</w:t>
      </w:r>
      <w:r>
        <w:t xml:space="preserve"> </w:t>
      </w:r>
      <w:r>
        <w:t xml:space="preserve">time-averaged composition that the weighting consumes is stable (bootstrap CV</w:t>
      </w:r>
      <w:r>
        <w:t xml:space="preserve"> </w:t>
      </w:r>
      <w:r>
        <w:t xml:space="preserve">0.218), but no per-timepoint fraction in this study should be read as</w:t>
      </w:r>
      <w:r>
        <w:t xml:space="preserve"> </w:t>
      </w:r>
      <w:r>
        <w:t xml:space="preserve">compositional dynamics, and none is.</w:t>
      </w:r>
    </w:p>
    <w:p>
      <w:pPr>
        <w:pStyle w:val="BodyText"/>
      </w:pPr>
      <w:r>
        <w:t xml:space="preserve">Testing the gene sets against the atlas expression matrix directly — no deconvolution —</w:t>
      </w:r>
      <w:r>
        <w:t xml:space="preserve"> </w:t>
      </w:r>
      <w:r>
        <w:t xml:space="preserve">gives a clear split. The MYB3R-repressed arm is strongly and coherently tissue-restricted,</w:t>
      </w:r>
      <w:r>
        <w:t xml:space="preserve"> </w:t>
      </w:r>
      <w:r>
        <w:t xml:space="preserve">reaching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26.2</m:t>
        </m:r>
        <m:r>
          <m:t>​</m:t>
        </m:r>
      </m:oMath>
      <w:r>
        <w:t xml:space="preserve"> </w:t>
      </w:r>
      <w:r>
        <w:t xml:space="preserve">in silique and comparable values in 6-day</w:t>
      </w:r>
      <w:r>
        <w:t xml:space="preserve"> </w:t>
      </w:r>
      <w:r>
        <w:t xml:space="preserve">seedling and 21-day rosette clusters, with 35 of 183</w:t>
      </w:r>
      <w:r>
        <w:t xml:space="preserve"> </w:t>
      </w:r>
      <w:r>
        <w:t xml:space="preserve">clusters significant. The SOG1-dependent arm is far more diffuse:</w:t>
      </w:r>
      <w:r>
        <w:t xml:space="preserve"> </w:t>
      </w:r>
      <w:r>
        <w:t xml:space="preserve">20 of 183 clusters, topping out 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8.7</m:t>
        </m:r>
        <m:r>
          <m:t>​</m:t>
        </m:r>
      </m:oMath>
      <w:r>
        <w:t xml:space="preserve">.</w:t>
      </w:r>
    </w:p>
    <w:p>
      <w:pPr>
        <w:pStyle w:val="BodyText"/>
      </w:pPr>
      <w:r>
        <w:t xml:space="preserve">The asymmetry is interpretable and, we think, expected. Only a dividing cell has a G2/M</w:t>
      </w:r>
      <w:r>
        <w:t xml:space="preserve"> </w:t>
      </w:r>
      <w:r>
        <w:t xml:space="preserve">programme to shut down, so the repressed arm can only be read where proliferation is</w:t>
      </w:r>
      <w:r>
        <w:t xml:space="preserve"> </w:t>
      </w:r>
      <w:r>
        <w:t xml:space="preserve">happening; any cell can mount a damage response, so the activated arm is broadly</w:t>
      </w:r>
      <w:r>
        <w:t xml:space="preserve"> </w:t>
      </w:r>
      <w:r>
        <w:t xml:space="preserve">expressed. The radiation response is therefore not uniformly tissue-restricted — its</w:t>
      </w:r>
      <w:r>
        <w:t xml:space="preserve"> </w:t>
      </w:r>
      <w:r>
        <w:rPr>
          <w:i/>
          <w:iCs/>
        </w:rPr>
        <w:t xml:space="preserve">repressive</w:t>
      </w:r>
      <w:r>
        <w:t xml:space="preserve"> </w:t>
      </w:r>
      <w:r>
        <w:t xml:space="preserve">half is, and its</w:t>
      </w:r>
      <w:r>
        <w:t xml:space="preserve"> </w:t>
      </w:r>
      <w:r>
        <w:rPr>
          <w:i/>
          <w:iCs/>
        </w:rPr>
        <w:t xml:space="preserve">activating</w:t>
      </w:r>
      <w:r>
        <w:t xml:space="preserve"> </w:t>
      </w:r>
      <w:r>
        <w:t xml:space="preserve">half is not.</w:t>
      </w:r>
    </w:p>
    <w:bookmarkStart w:id="45" w:name="fig:tissue"/>
    <w:p>
      <w:pPr>
        <w:pStyle w:val="CaptionedFigure"/>
      </w:pPr>
      <w:r>
        <w:drawing>
          <wp:inline>
            <wp:extent cx="5334000" cy="1966952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../figures/fig6_tissue_association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6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Tissue attribution.</w:t>
      </w:r>
      <w:r>
        <w:t xml:space="preserve"> </w:t>
      </w:r>
      <w:r>
        <w:rPr>
          <w:b/>
          <w:bCs/>
        </w:rPr>
        <w:t xml:space="preserve">Left:</w:t>
      </w:r>
      <w:r>
        <w:t xml:space="preserve"> </w:t>
      </w:r>
      <w:r>
        <w:t xml:space="preserve">deconvolved organ composition per timepoint —</w:t>
      </w:r>
      <w:r>
        <w:t xml:space="preserve"> </w:t>
      </w:r>
      <w:r>
        <w:t xml:space="preserve">shown to make the instability visible, not to be read as dynamics.</w:t>
      </w:r>
      <w:r>
        <w:t xml:space="preserve"> </w:t>
      </w:r>
      <w:r>
        <w:rPr>
          <w:b/>
          <w:bCs/>
        </w:rPr>
        <w:t xml:space="preserve">Centre:</w:t>
      </w:r>
      <w:r>
        <w:t xml:space="preserve"> </w:t>
      </w:r>
      <w:r>
        <w:t xml:space="preserve">enrichment of the SOG1-dependent set across atlas clusters, computed from the atlas</w:t>
      </w:r>
      <w:r>
        <w:t xml:space="preserve"> </w:t>
      </w:r>
      <w:r>
        <w:t xml:space="preserve">expression matrix directly.</w:t>
      </w:r>
      <w:r>
        <w:t xml:space="preserve"> </w:t>
      </w:r>
      <w:r>
        <w:rPr>
          <w:b/>
          <w:bCs/>
        </w:rPr>
        <w:t xml:space="preserve">Right:</w:t>
      </w:r>
      <w:r>
        <w:t xml:space="preserve"> </w:t>
      </w:r>
      <w:r>
        <w:t xml:space="preserve">regulators promoted or demoted by the</w:t>
      </w:r>
      <w:r>
        <w:t xml:space="preserve"> </w:t>
      </w:r>
      <w:r>
        <w:t xml:space="preserve">weighting relative to the median TF, labelled with the cluster where each peaks; the</w:t>
      </w:r>
      <w:r>
        <w:t xml:space="preserve"> </w:t>
      </w:r>
      <w:r>
        <w:t xml:space="preserve">demoted set is dominated by silique-restricted NACs absent from irradiated seedlings.</w:t>
      </w:r>
    </w:p>
    <w:bookmarkEnd w:id="45"/>
    <w:bookmarkEnd w:id="46"/>
    <w:bookmarkStart w:id="48" w:name="Xdf9d7a700648e0f22dd70f6ff8d53c3b802d79a"/>
    <w:p>
      <w:pPr>
        <w:pStyle w:val="Heading2"/>
      </w:pPr>
      <w:r>
        <w:t xml:space="preserve">The genotype contrast recovers the published regulatory logic</w:t>
      </w:r>
    </w:p>
    <w:p>
      <w:pPr>
        <w:pStyle w:val="FirstParagraph"/>
      </w:pPr>
      <w:r>
        <w:t xml:space="preserve">The cohort’s built-in positive control is decisive. Ranks are taken among the</w:t>
      </w:r>
      <w:r>
        <w:t xml:space="preserve"> </w:t>
      </w:r>
      <w:r>
        <w:t xml:space="preserve">479 TFs DREM scores, after collapsing each split to one score per TF (its best</w:t>
      </w:r>
      <w:r>
        <w:t xml:space="preserve"> </w:t>
      </w:r>
      <w:r>
        <w:t xml:space="preserve">branch;</w:t>
      </w:r>
      <w:r>
        <w:t xml:space="preserve"> </w:t>
      </w:r>
      <w:r>
        <w:rPr>
          <w:rStyle w:val="VerbatimChar"/>
        </w:rPr>
        <w:t xml:space="preserve">scripts/10b_genotype_rank_per_tf.py</w:t>
      </w:r>
      <w:r>
        <w:t xml:space="preserve">), because a one-versus-others split</w:t>
      </w:r>
      <w:r>
        <w:t xml:space="preserve"> </w:t>
      </w:r>
      <w:r>
        <w:t xml:space="preserve">lists every TF once per branch (1</w:t>
      </w:r>
      <w:r>
        <w:t xml:space="preserve">,</w:t>
      </w:r>
      <w:r>
        <w:t xml:space="preserve">437 rows). Under all three priors, SOG1 ranks</w:t>
      </w:r>
      <w:r>
        <w:t xml:space="preserve"> </w:t>
      </w:r>
      <w:r>
        <w:rPr>
          <w:b/>
          <w:bCs/>
        </w:rPr>
        <w:t xml:space="preserve">first</w:t>
      </w:r>
      <w:r>
        <w:t xml:space="preserve"> </w:t>
      </w:r>
      <w:r>
        <w:t xml:space="preserve">in the wild-type model. In</w:t>
      </w:r>
      <w:r>
        <w:t xml:space="preserve"> </w:t>
      </w:r>
      <w:r>
        <w:rPr>
          <w:i/>
          <w:iCs/>
        </w:rPr>
        <w:t xml:space="preserve">sog1-1</w:t>
      </w:r>
      <w:r>
        <w:t xml:space="preserve"> </w:t>
      </w:r>
      <w:r>
        <w:t xml:space="preserve">it collapses — to rank</w:t>
      </w:r>
      <w:r>
        <w:t xml:space="preserve"> </w:t>
      </w:r>
      <w:r>
        <w:t xml:space="preserve">233 under the flat prior and 294 under the</w:t>
      </w:r>
      <w:r>
        <w:t xml:space="preserve"> </w:t>
      </w:r>
      <w:r>
        <w:t xml:space="preserve">cell-type-weighted prior — and falls less far, to rank 6, under</w:t>
      </w:r>
      <w:r>
        <w:t xml:space="preserve"> </w:t>
      </w:r>
      <w:r>
        <w:t xml:space="preserve">the binding prior (Table </w:t>
      </w:r>
      <w:hyperlink w:anchor="tab:genotype">
        <w:r>
          <w:rPr>
            <w:rStyle w:val="Hyperlink"/>
          </w:rPr>
          <w:t xml:space="preserve">1</w:t>
        </w:r>
      </w:hyperlink>
      <w:r>
        <w:t xml:space="preserve">). MYB3R1 ranks 2,</w:t>
      </w:r>
      <w:r>
        <w:t xml:space="preserve"> </w:t>
      </w:r>
      <w:r>
        <w:t xml:space="preserve">1 and 5 in wild type and</w:t>
      </w:r>
      <w:r>
        <w:t xml:space="preserve"> </w:t>
      </w:r>
      <w:r>
        <w:t xml:space="preserve">1, 1 and 6 in</w:t>
      </w:r>
      <w:r>
        <w:t xml:space="preserve"> </w:t>
      </w:r>
      <w:r>
        <w:t xml:space="preserve">the mutant, as expected for a repressor whose activity does not depend on SOG1.</w:t>
      </w:r>
    </w:p>
    <w:p>
      <w:pPr>
        <w:pStyle w:val="BodyText"/>
      </w:pPr>
      <w:r>
        <w:t xml:space="preserve">This reproduces the regulatory logic</w:t>
      </w:r>
      <w:r>
        <w:t xml:space="preserve"> </w:t>
      </w:r>
      <w:r>
        <w:t xml:space="preserve">Bourbousse et al. (2018)</w:t>
      </w:r>
      <w:r>
        <w:t xml:space="preserve"> </w:t>
      </w:r>
      <w:r>
        <w:t xml:space="preserve">reported — SOG1 as the</w:t>
      </w:r>
      <w:r>
        <w:t xml:space="preserve"> </w:t>
      </w:r>
      <w:r>
        <w:t xml:space="preserve">major activator, MYB3R as the major repressors — from an independently reconstructed</w:t>
      </w:r>
      <w:r>
        <w:t xml:space="preserve"> </w:t>
      </w:r>
      <w:r>
        <w:t xml:space="preserve">pipeline, and it does so through the TF attribution rather than through expression alone.</w:t>
      </w:r>
      <w:r>
        <w:t xml:space="preserve"> </w:t>
      </w:r>
      <w:r>
        <w:t xml:space="preserve">Note that the attribution is only possible because SOG1 edges were added from ChIP-seq:</w:t>
      </w:r>
      <w:r>
        <w:t xml:space="preserve"> </w:t>
      </w:r>
      <w:r>
        <w:t xml:space="preserve">with the DAP-seq prior alone, SOG1 has no edges and could not have been ranked at all.</w:t>
      </w:r>
    </w:p>
    <w:bookmarkStart w:id="47" w:name="tab:genotype"/>
    <w:p>
      <w:pPr>
        <w:pStyle w:val="TableCaption"/>
      </w:pPr>
      <w:r>
        <w:t xml:space="preserve">SOG1 rank among the 479 transcription factors DREM scores, one</w:t>
      </w:r>
      <w:r>
        <w:t xml:space="preserve"> </w:t>
      </w:r>
      <w:r>
        <w:t xml:space="preserve">score per TF per split (its best branch), best split shown. Lower is more significant; the</w:t>
      </w:r>
      <w:r>
        <w:t xml:space="preserve"> </w:t>
      </w:r>
      <w:r>
        <w:t xml:space="preserve">mutant is the negative control.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OG1 rank among the 479 transcription factors DREM scores, one score per TF per split (its best branch), best split shown. Lower is more significant; the mutant is the negative control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Wild type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sog1-1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294</w:t>
            </w:r>
          </w:p>
        </w:tc>
      </w:tr>
    </w:tbl>
    <w:bookmarkEnd w:id="47"/>
    <w:bookmarkEnd w:id="48"/>
    <w:bookmarkStart w:id="50" w:name="comparison-with-the-published-model"/>
    <w:p>
      <w:pPr>
        <w:pStyle w:val="Heading2"/>
      </w:pPr>
      <w:r>
        <w:t xml:space="preserve">Comparison with the published model</w:t>
      </w:r>
    </w:p>
    <w:p>
      <w:pPr>
        <w:pStyle w:val="FirstParagraph"/>
      </w:pPr>
      <w:r>
        <w:t xml:space="preserve">Bourbousse et al. (2018)</w:t>
      </w:r>
      <w:r>
        <w:t xml:space="preserve"> </w:t>
      </w:r>
      <w:r>
        <w:t xml:space="preserve">reported 11 co-expressed gene groups from</w:t>
      </w:r>
      <w:r>
        <w:t xml:space="preserve"> </w:t>
      </w:r>
      <w:r>
        <w:t xml:space="preserve">six timepoints of OSD-510. Our flat-prior wild-type model over the pooled, denser series</w:t>
      </w:r>
      <w:r>
        <w:t xml:space="preserve"> </w:t>
      </w:r>
      <w:r>
        <w:t xml:space="preserve">yields 15 nodes across 7 splits from</w:t>
      </w:r>
      <w:r>
        <w:t xml:space="preserve"> </w:t>
      </w:r>
      <w:r>
        <w:t xml:space="preserve">1</w:t>
      </w:r>
      <w:r>
        <w:t xml:space="preserve">,</w:t>
      </w:r>
      <w:r>
        <w:t xml:space="preserve">410 assigned genes. These counts are not expected to be identical: the</w:t>
      </w:r>
      <w:r>
        <w:t xml:space="preserve"> </w:t>
      </w:r>
      <w:r>
        <w:t xml:space="preserve">pooled series adds the 10 and 45 min timepoints and draws on three accessions rather than</w:t>
      </w:r>
      <w:r>
        <w:t xml:space="preserve"> </w:t>
      </w:r>
      <w:r>
        <w:t xml:space="preserve">one, and DREM’s node count responds to both. The comparison is reported for calibration.</w:t>
      </w:r>
    </w:p>
    <w:bookmarkStart w:id="49" w:name="tab:cohorts"/>
    <w:p>
      <w:pPr>
        <w:pStyle w:val="TableCaption"/>
      </w:pPr>
      <w:r>
        <w:t xml:space="preserve">Cohort composition, measured from the OSDR metadata API.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hort composition, measured from the OSDR metadata API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Timepoints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(</w:t>
            </w:r>
            <m:oMath>
              <m:r>
                <m:t>γ</m:t>
              </m:r>
            </m:oMath>
            <w:r>
              <w:t xml:space="preserve">-irradiation)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min – 72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(spaceflight)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– 8 d</w:t>
            </w:r>
          </w:p>
        </w:tc>
      </w:tr>
    </w:tbl>
    <w:bookmarkEnd w:id="49"/>
    <w:bookmarkEnd w:id="50"/>
    <w:bookmarkStart w:id="51" w:name="Xb1d6fbcacee3bd1ac2a450c83306e978ab341eb"/>
    <w:p>
      <w:pPr>
        <w:pStyle w:val="Heading2"/>
      </w:pPr>
      <w:r>
        <w:t xml:space="preserve">Independent corroboration from a different method</w:t>
      </w:r>
    </w:p>
    <w:p>
      <w:pPr>
        <w:pStyle w:val="FirstParagraph"/>
      </w:pPr>
      <w:r>
        <w:t xml:space="preserve">The sibling analysis in</w:t>
      </w:r>
      <w:r>
        <w:t xml:space="preserve"> </w:t>
      </w:r>
      <w:r>
        <w:rPr>
          <w:rStyle w:val="VerbatimChar"/>
        </w:rPr>
        <w:t xml:space="preserve">Plant_response_to_radiation</w:t>
      </w:r>
      <w:r>
        <w:t xml:space="preserve"> </w:t>
      </w:r>
      <w:r>
        <w:t xml:space="preserve">models an overlapping set</w:t>
      </w:r>
      <w:r>
        <w:t xml:space="preserve"> </w:t>
      </w:r>
      <w:r>
        <w:t xml:space="preserve">of OSDR studies with a Gaussian-process autoencoder and WGCNA co-expression modules, with</w:t>
      </w:r>
      <w:r>
        <w:t xml:space="preserve"> </w:t>
      </w:r>
      <w:r>
        <w:t xml:space="preserve">no DREM and no TF attribution anywhere in it. Over the</w:t>
      </w:r>
      <w:r>
        <w:t xml:space="preserve"> </w:t>
      </w:r>
      <w:r>
        <w:t xml:space="preserve">314 genes both analyses modelled,</w:t>
      </w:r>
      <w:r>
        <w:t xml:space="preserve"> </w:t>
      </w:r>
      <w:r>
        <w:t xml:space="preserve">7 of 10 DREM nodes enrich one of the</w:t>
      </w:r>
      <w:r>
        <w:t xml:space="preserve"> </w:t>
      </w:r>
      <w:r>
        <w:t xml:space="preserve">3 WGCNA modules at Bonferroni-corrected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. The two methods</w:t>
      </w:r>
      <w:r>
        <w:t xml:space="preserve"> </w:t>
      </w:r>
      <w:r>
        <w:t xml:space="preserve">share raw data but almost no methodology, so the agreement is external corroboration</w:t>
      </w:r>
      <w:r>
        <w:t xml:space="preserve"> </w:t>
      </w:r>
      <w:r>
        <w:t xml:space="preserve">rather than a restatement.</w:t>
      </w:r>
    </w:p>
    <w:bookmarkEnd w:id="51"/>
    <w:bookmarkStart w:id="56" w:name="X379dc2d64b3de34d3c70bf255bc44c666bf7ebe"/>
    <w:p>
      <w:pPr>
        <w:pStyle w:val="Heading2"/>
      </w:pPr>
      <w:r>
        <w:t xml:space="preserve">A decoder built on the signature, applied across OSDR</w:t>
      </w:r>
    </w:p>
    <w:p>
      <w:pPr>
        <w:pStyle w:val="FirstParagraph"/>
      </w:pPr>
      <w:r>
        <w:t xml:space="preserve">The wild-type/</w:t>
      </w:r>
      <w:r>
        <w:rPr>
          <w:i/>
          <w:iCs/>
        </w:rPr>
        <w:t xml:space="preserve">sog1-1</w:t>
      </w:r>
      <w:r>
        <w:t xml:space="preserve"> </w:t>
      </w:r>
      <w:r>
        <w:t xml:space="preserve">contrast defines gene sets no single-genotype experiment</w:t>
      </w:r>
      <w:r>
        <w:t xml:space="preserve"> </w:t>
      </w:r>
      <w:r>
        <w:t xml:space="preserve">could: 160 genes induced in wild type, bound by SOG1, and losing that</w:t>
      </w:r>
      <w:r>
        <w:t xml:space="preserve"> </w:t>
      </w:r>
      <w:r>
        <w:t xml:space="preserve">induction in the mutant, against 132 induced SOG1 targets that respond</w:t>
      </w:r>
      <w:r>
        <w:t xml:space="preserve"> </w:t>
      </w:r>
      <w:r>
        <w:t xml:space="preserve">regardless of genotype, and 283 MYB3R-repressed genes. Scoring these</w:t>
      </w:r>
      <w:r>
        <w:t xml:space="preserve"> </w:t>
      </w:r>
      <w:r>
        <w:t xml:space="preserve">across every</w:t>
      </w:r>
      <w:r>
        <w:t xml:space="preserve"> </w:t>
      </w:r>
      <w:r>
        <w:rPr>
          <w:i/>
          <w:iCs/>
        </w:rPr>
        <w:t xml:space="preserve">Arabidopsis</w:t>
      </w:r>
      <w:r>
        <w:t xml:space="preserve"> </w:t>
      </w:r>
      <w:r>
        <w:t xml:space="preserve">study in OSDR with an expression matrix gave</w:t>
      </w:r>
      <w:r>
        <w:t xml:space="preserve"> </w:t>
      </w:r>
      <w:r>
        <w:t xml:space="preserve">85 contrasts from 39 studies.</w:t>
      </w:r>
    </w:p>
    <w:p>
      <w:pPr>
        <w:pStyle w:val="BodyText"/>
      </w:pPr>
      <w:r>
        <w:t xml:space="preserve">Scoring the activated arm alone is not sufficient: several DNA-damage-related mutants</w:t>
      </w:r>
      <w:r>
        <w:t xml:space="preserve"> </w:t>
      </w:r>
      <w:r>
        <w:t xml:space="preserve">raise it without any exposure. What identifies acute irradiation is the coordinated</w:t>
      </w:r>
      <w:r>
        <w:t xml:space="preserve"> </w:t>
      </w:r>
      <w:r>
        <w:t xml:space="preserve">pattern the source study described — SOG1 targets up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MYB3R targets down at the</w:t>
      </w:r>
      <w:r>
        <w:t xml:space="preserve"> </w:t>
      </w:r>
      <w:r>
        <w:t xml:space="preserve">same time — so the index is the conjunction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rPr>
                <m:nor/>
                <m:sty m:val="p"/>
              </m:rPr>
              <m:t>SOG1-dep</m:t>
            </m:r>
          </m:sub>
        </m:sSub>
        <m:r>
          <m:rPr>
            <m:sty m:val="p"/>
          </m:rPr>
          <m:t>,</m:t>
        </m:r>
        <m:r>
          <m:t> </m:t>
        </m:r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rPr>
                <m:nor/>
                <m:sty m:val="p"/>
              </m:rPr>
              <m:t>MYB3R-rep</m:t>
            </m:r>
          </m:sub>
        </m:sSub>
        <m:r>
          <m:rPr>
            <m:sty m:val="p"/>
          </m:rPr>
          <m:t>)</m:t>
        </m:r>
      </m:oMath>
      <w:r>
        <w:t xml:space="preserve">, requiring both. The difference of the</w:t>
      </w:r>
      <w:r>
        <w:t xml:space="preserve"> </w:t>
      </w:r>
      <w:r>
        <w:t xml:space="preserve">two arms was tried first and rejected: it promoted six spaceflight and altered-gravity</w:t>
      </w:r>
      <w:r>
        <w:t xml:space="preserve"> </w:t>
      </w:r>
      <w:r>
        <w:t xml:space="preserve">contrasts on the strength of the repressed arm alone, with SOG1-dependent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near zero.</w:t>
      </w:r>
    </w:p>
    <w:p>
      <w:pPr>
        <w:pStyle w:val="BodyText"/>
      </w:pPr>
      <w:r>
        <w:t xml:space="preserve">At a fixed threshold of</w:t>
      </w:r>
      <w:r>
        <w:t xml:space="preserve"> </w:t>
      </w:r>
      <m:oMath>
        <m:r>
          <m:t>1.96</m:t>
        </m:r>
      </m:oMath>
      <w:r>
        <w:t xml:space="preserve"> </w:t>
      </w:r>
      <w:r>
        <w:t xml:space="preserve">— each arm individually significant, not fitted to these</w:t>
      </w:r>
      <w:r>
        <w:t xml:space="preserve"> </w:t>
      </w:r>
      <w:r>
        <w:t xml:space="preserve">data — the decoder recovers 11 of 12 labelled</w:t>
      </w:r>
      <w:r>
        <w:t xml:space="preserve"> </w:t>
      </w:r>
      <w:r>
        <w:t xml:space="preserve">irradiation contrasts with 1 false positives among</w:t>
      </w:r>
      <w:r>
        <w:t xml:space="preserve"> </w:t>
      </w:r>
      <w:r>
        <w:t xml:space="preserve">49 other exposures (AUC 0.96), and its scores order by dose:</w:t>
      </w:r>
      <w:r>
        <w:t xml:space="preserve"> </w:t>
      </w:r>
      <w:r>
        <w:t xml:space="preserve">Co-60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highest, then mixed radiation, then 100 cGy, and 10 cGy not</w:t>
      </w:r>
      <w:r>
        <w:t xml:space="preserve"> </w:t>
      </w:r>
      <w:r>
        <w:t xml:space="preserve">detected. The single miss is that 10 cGy arm, two orders of magnitude below the dose the</w:t>
      </w:r>
      <w:r>
        <w:t xml:space="preserve"> </w:t>
      </w:r>
      <w:r>
        <w:t xml:space="preserve">signature was derived at. The</w:t>
      </w:r>
      <w:r>
        <w:t xml:space="preserve"> </w:t>
      </w:r>
      <w:r>
        <w:rPr>
          <w:i/>
          <w:iCs/>
        </w:rPr>
        <w:t xml:space="preserve">sog1-1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myb3r135</w:t>
      </w:r>
      <w:r>
        <w:t xml:space="preserve"> </w:t>
      </w:r>
      <w:r>
        <w:t xml:space="preserve">genotype contrasts</w:t>
      </w:r>
      <w:r>
        <w:t xml:space="preserve"> </w:t>
      </w:r>
      <w:r>
        <w:t xml:space="preserve">score at the opposite extreme, which is the decoder</w:t>
      </w:r>
      <w:r>
        <w:t xml:space="preserve"> </w:t>
      </w:r>
      <w:r>
        <w:t xml:space="preserve">recognising the knockouts as the inverse of the response it was built on.</w:t>
      </w:r>
    </w:p>
    <w:bookmarkStart w:id="55" w:name="fig:decoder"/>
    <w:p>
      <w:pPr>
        <w:pStyle w:val="CaptionedFigure"/>
      </w:pPr>
      <w:r>
        <w:drawing>
          <wp:inline>
            <wp:extent cx="5334000" cy="2042209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../figures/fig5_decoder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2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radiation decoder.</w:t>
      </w:r>
      <w:r>
        <w:t xml:space="preserve"> </w:t>
      </w:r>
      <w:r>
        <w:rPr>
          <w:b/>
          <w:bCs/>
        </w:rPr>
        <w:t xml:space="preserve">Left:</w:t>
      </w:r>
      <w:r>
        <w:t xml:space="preserve"> </w:t>
      </w:r>
      <w:r>
        <w:t xml:space="preserve">every contrast in the two-arm plane; the</w:t>
      </w:r>
      <w:r>
        <w:t xml:space="preserve"> </w:t>
      </w:r>
      <w:r>
        <w:t xml:space="preserve">shaded corner is the decision region, entered only when both arms clear threshold.</w:t>
      </w:r>
      <w:r>
        <w:t xml:space="preserve"> </w:t>
      </w:r>
      <w:r>
        <w:rPr>
          <w:b/>
          <w:bCs/>
        </w:rPr>
        <w:t xml:space="preserve">Right:</w:t>
      </w:r>
      <w:r>
        <w:t xml:space="preserve"> </w:t>
      </w:r>
      <w:r>
        <w:t xml:space="preserve">the fourteen highest-scoring contrasts. Labelled irradiation in red.</w:t>
      </w:r>
    </w:p>
    <w:bookmarkEnd w:id="55"/>
    <w:bookmarkEnd w:id="56"/>
    <w:bookmarkStart w:id="57" w:name="X4127f41e279970f4452cad5b334f7fb11ea7c16"/>
    <w:p>
      <w:pPr>
        <w:pStyle w:val="Heading2"/>
      </w:pPr>
      <w:r>
        <w:t xml:space="preserve">Two non-radiation contrasts cross the threshold</w:t>
      </w:r>
    </w:p>
    <w:p>
      <w:pPr>
        <w:pStyle w:val="FirstParagraph"/>
      </w:pPr>
      <w:r>
        <w:t xml:space="preserve">2 non-radiation contrasts are called radiation-like. One is an</w:t>
      </w:r>
      <w:r>
        <w:t xml:space="preserve"> </w:t>
      </w:r>
      <w:r>
        <w:t xml:space="preserve">exposure: the 0.38 g in-flight centrifuge level of OSD-346, scored against the onboard</w:t>
      </w:r>
      <w:r>
        <w:t xml:space="preserve"> </w:t>
      </w:r>
      <w:r>
        <w:t xml:space="preserve">1 g centrifuge (index 3.53); it is the single false positive among</w:t>
      </w:r>
      <w:r>
        <w:t xml:space="preserve"> </w:t>
      </w:r>
      <w:r>
        <w:t xml:space="preserve">49 other exposures counted above. The other is a genotype contrast, the</w:t>
      </w:r>
      <w:r>
        <w:t xml:space="preserve"> </w:t>
      </w:r>
      <w:r>
        <w:rPr>
          <w:i/>
          <w:iCs/>
        </w:rPr>
        <w:t xml:space="preserve">ARG1</w:t>
      </w:r>
      <w:r>
        <w:t xml:space="preserve"> </w:t>
      </w:r>
      <w:r>
        <w:t xml:space="preserve">knockout in OSD-147 (index 3.23). Every other spaceflight,</w:t>
      </w:r>
      <w:r>
        <w:t xml:space="preserve"> </w:t>
      </w:r>
      <w:r>
        <w:t xml:space="preserve">altered-gravity, mutant and treatment contrast fails the threshold, including the other</w:t>
      </w:r>
      <w:r>
        <w:t xml:space="preserve"> </w:t>
      </w:r>
      <w:r>
        <w:t xml:space="preserve">five partial-gravity levels and the microgravity level of OSD-346. On this evidence, and</w:t>
      </w:r>
      <w:r>
        <w:t xml:space="preserve"> </w:t>
      </w:r>
      <w:r>
        <w:t xml:space="preserve">within the limits set out below, spaceflight in these datasets does not elicit the acute</w:t>
      </w:r>
      <w:r>
        <w:t xml:space="preserve"> </w:t>
      </w:r>
      <w:r>
        <w:t xml:space="preserve">SOG1-dependent DNA-damage transcriptional programme. The isolated OSD-346 0.38 g call is</w:t>
      </w:r>
      <w:r>
        <w:t xml:space="preserve"> </w:t>
      </w:r>
      <w:r>
        <w:t xml:space="preserve">not reproduced by its neighbouring gravity levels and is reported rather than interpreted;</w:t>
      </w:r>
      <w:r>
        <w:t xml:space="preserve"> </w:t>
      </w:r>
      <w:r>
        <w:t xml:space="preserve">it is also provisional, because the control pattern that admits the onboard 1 g</w:t>
      </w:r>
      <w:r>
        <w:t xml:space="preserve"> </w:t>
      </w:r>
      <w:r>
        <w:t xml:space="preserve">centrifuge also matches</w:t>
      </w:r>
      <w:r>
        <w:t xml:space="preserve"> </w:t>
      </w:r>
      <w:r>
        <w:t xml:space="preserve">“0.1G by centrifugation”</w:t>
      </w:r>
      <w:r>
        <w:t xml:space="preserve">, so OSD-346’s control pool mixes 1 g</w:t>
      </w:r>
      <w:r>
        <w:t xml:space="preserve"> </w:t>
      </w:r>
      <w:r>
        <w:t xml:space="preserve">and 0.1 g samples (and</w:t>
      </w:r>
      <w:r>
        <w:t xml:space="preserve"> </w:t>
      </w:r>
      <w:r>
        <w:rPr>
          <w:i/>
          <w:iCs/>
        </w:rPr>
        <w:t xml:space="preserve">phyA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phyB</w:t>
      </w:r>
      <w:r>
        <w:t xml:space="preserve"> </w:t>
      </w:r>
      <w:r>
        <w:t xml:space="preserve">mutants, while the 0.38 g samples</w:t>
      </w:r>
      <w:r>
        <w:t xml:space="preserve"> </w:t>
      </w:r>
      <w:r>
        <w:t xml:space="preserve">are all</w:t>
      </w:r>
      <w:r>
        <w:t xml:space="preserve"> </w:t>
      </w:r>
      <w:r>
        <w:rPr>
          <w:i/>
          <w:iCs/>
        </w:rPr>
        <w:t xml:space="preserve">phyA</w:t>
      </w:r>
      <w:r>
        <w:t xml:space="preserve">).</w:t>
      </w:r>
      <w:r>
        <w:t xml:space="preserve"> </w:t>
      </w:r>
      <w:r>
        <w:rPr>
          <w:b/>
          <w:bCs/>
        </w:rPr>
        <w:t xml:space="preserve">TODO: re-score OSD-346 with the 1 g level alone.</w:t>
      </w:r>
    </w:p>
    <w:p>
      <w:pPr>
        <w:pStyle w:val="BodyText"/>
      </w:pPr>
      <w:r>
        <w:t xml:space="preserve">A weaker pattern is present in a minority of contrasts and should be stated as such.</w:t>
      </w:r>
      <w:r>
        <w:t xml:space="preserve"> </w:t>
      </w:r>
      <w:r>
        <w:t xml:space="preserve">16 of 41 flight and altered-gravity contrasts show</w:t>
      </w:r>
      <w:r>
        <w:t xml:space="preserve"> </w:t>
      </w:r>
      <w:r>
        <w:t xml:space="preserve">the MYB3R/G2-M arm repressed with the SOG1 arm flat. Across the flight population as a</w:t>
      </w:r>
      <w:r>
        <w:t xml:space="preserve"> </w:t>
      </w:r>
      <w:r>
        <w:t xml:space="preserve">whole, however, the mean MYB3R-arm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only 1 against a mean SOG1-arm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0.17: below significance, and not a population-level effect.</w:t>
      </w:r>
    </w:p>
    <w:p>
      <w:pPr>
        <w:pStyle w:val="BodyText"/>
      </w:pPr>
      <w:r>
        <w:t xml:space="preserve">An earlier version of this analysis, run before the corpus was widened to include the</w:t>
      </w:r>
      <w:r>
        <w:t xml:space="preserve"> </w:t>
      </w:r>
      <w:r>
        <w:t xml:space="preserve">Affymetrix studies and the onboard-centrifuge gravity series, reported a much larger flight</w:t>
      </w:r>
      <w:r>
        <w:t xml:space="preserve"> </w:t>
      </w:r>
      <w:r>
        <w:t xml:space="preserve">MYB3R-arm mean. That value did not survive the larger corpus and is corrected here. The</w:t>
      </w:r>
      <w:r>
        <w:t xml:space="preserve"> </w:t>
      </w:r>
      <w:r>
        <w:t xml:space="preserve">methodological point it was used to make does survive and is independent of it: a decoder</w:t>
      </w:r>
      <w:r>
        <w:t xml:space="preserve"> </w:t>
      </w:r>
      <w:r>
        <w:t xml:space="preserve">scoring the repressed arm alone would call these contrasts radiation, which is the whole</w:t>
      </w:r>
      <w:r>
        <w:t xml:space="preserve"> </w:t>
      </w:r>
      <w:r>
        <w:t xml:space="preserve">argument for requiring both arms.</w:t>
      </w:r>
    </w:p>
    <w:bookmarkEnd w:id="57"/>
    <w:bookmarkStart w:id="58" w:name="Xa7f987b71baac8f79da38fd7d59ef4b601f4087"/>
    <w:p>
      <w:pPr>
        <w:pStyle w:val="Heading2"/>
      </w:pPr>
      <w:r>
        <w:t xml:space="preserve">Transcription-factor activity across the spaceflight corpus</w:t>
      </w:r>
    </w:p>
    <w:p>
      <w:pPr>
        <w:pStyle w:val="FirstParagraph"/>
      </w:pPr>
      <w:r>
        <w:t xml:space="preserve">The decoder scored a fixed gene signature. A stronger test is to ask what the model’s</w:t>
      </w:r>
      <w:r>
        <w:t xml:space="preserve"> </w:t>
      </w:r>
      <w:r>
        <w:rPr>
          <w:i/>
          <w:iCs/>
        </w:rPr>
        <w:t xml:space="preserve">regulators</w:t>
      </w:r>
      <w:r>
        <w:t xml:space="preserve"> </w:t>
      </w:r>
      <w:r>
        <w:t xml:space="preserve">are doing, one at a time, across every flight dataset the repository</w:t>
      </w:r>
      <w:r>
        <w:t xml:space="preserve"> </w:t>
      </w:r>
      <w:r>
        <w:t xml:space="preserve">holds. Two changes to the acquisition widened the corpus first: admitting the onboard</w:t>
      </w:r>
      <w:r>
        <w:t xml:space="preserve"> </w:t>
      </w:r>
      <w:r>
        <w:t xml:space="preserve">1G-centrifuge control (which recovers OSD-251 and OSD-346, all-flight gravity-gradient</w:t>
      </w:r>
      <w:r>
        <w:t xml:space="preserve"> </w:t>
      </w:r>
      <w:r>
        <w:t xml:space="preserve">studies whose only control is that centrifuge) and reading GeneLab’s Affymetrix tables, which carry AGI</w:t>
      </w:r>
      <w:r>
        <w:t xml:space="preserve"> </w:t>
      </w:r>
      <w:r>
        <w:t xml:space="preserve">loci in a</w:t>
      </w:r>
      <w:r>
        <w:t xml:space="preserve"> </w:t>
      </w:r>
      <w:r>
        <w:rPr>
          <w:rStyle w:val="VerbatimChar"/>
        </w:rPr>
        <w:t xml:space="preserve">TAIR</w:t>
      </w:r>
      <w:r>
        <w:t xml:space="preserve"> </w:t>
      </w:r>
      <w:r>
        <w:t xml:space="preserve">column and so need no probeset mapping. That yields</w:t>
      </w:r>
      <w:r>
        <w:t xml:space="preserve"> </w:t>
      </w:r>
      <w:r>
        <w:t xml:space="preserve">85 contrasts from 39 studies —</w:t>
      </w:r>
      <w:r>
        <w:t xml:space="preserve"> </w:t>
      </w:r>
      <w:r>
        <w:t xml:space="preserve">62 RNA-seq and 23 microarray — of which</w:t>
      </w:r>
      <w:r>
        <w:t xml:space="preserve"> </w:t>
      </w:r>
      <w:r>
        <w:t xml:space="preserve">41 are flight or altered-gravity contrasts spanning</w:t>
      </w:r>
      <w:r>
        <w:t xml:space="preserve"> </w:t>
      </w:r>
      <w:r>
        <w:t xml:space="preserve">14 mission groups. One of those groups is an</w:t>
      </w:r>
      <w:r>
        <w:t xml:space="preserve"> </w:t>
      </w:r>
      <w:r>
        <w:t xml:space="preserve">“unknown”</w:t>
      </w:r>
      <w:r>
        <w:t xml:space="preserve"> </w:t>
      </w:r>
      <w:r>
        <w:t xml:space="preserve">bucket holding</w:t>
      </w:r>
      <w:r>
        <w:t xml:space="preserve"> </w:t>
      </w:r>
      <w:r>
        <w:t xml:space="preserve">OSD-428 and OSD-434, the two F-104 Starfighter parabolic flights, which OSDR records</w:t>
      </w:r>
      <w:r>
        <w:t xml:space="preserve"> </w:t>
      </w:r>
      <w:r>
        <w:t xml:space="preserve">without a mission name.</w:t>
      </w:r>
    </w:p>
    <w:p>
      <w:pPr>
        <w:pStyle w:val="BodyText"/>
      </w:pPr>
      <w:r>
        <w:t xml:space="preserve">Each of 474 DREM transcription factors becomes a feature: its target set</w:t>
      </w:r>
      <w:r>
        <w:t xml:space="preserve"> </w:t>
      </w:r>
      <w:r>
        <w:t xml:space="preserve">scored against the contrast’s fold-change ranking. Mixing platforms is admissible only</w:t>
      </w:r>
      <w:r>
        <w:t xml:space="preserve"> </w:t>
      </w:r>
      <w:r>
        <w:t xml:space="preserve">because the statistic is a within-contrast rank, which carries no platform-specific scale;</w:t>
      </w:r>
      <w:r>
        <w:t xml:space="preserve"> </w:t>
      </w:r>
      <w:r>
        <w:t xml:space="preserve">the classifier below tests that assumption rather than resting on it.</w:t>
      </w:r>
    </w:p>
    <w:p>
      <w:pPr>
        <w:pStyle w:val="BodyText"/>
      </w:pPr>
      <w:r>
        <w:t xml:space="preserve">The recovered microarray studies also supply an independent check on the decoder. OSD-320</w:t>
      </w:r>
      <w:r>
        <w:t xml:space="preserve"> </w:t>
      </w:r>
      <w:r>
        <w:t xml:space="preserve">— Affymetrix, never used to build the signature, and excluded from the DREM cohort as</w:t>
      </w:r>
      <w:r>
        <w:t xml:space="preserve"> </w:t>
      </w:r>
      <w:r>
        <w:t xml:space="preserve">cross-platform — scores 14.3 (Cs-137</w:t>
      </w:r>
      <w:r>
        <w:t xml:space="preserve"> </w:t>
      </w:r>
      <m:oMath>
        <m:r>
          <m:t>γ</m:t>
        </m:r>
      </m:oMath>
      <w:r>
        <w:t xml:space="preserve">) and 14.0 (Fe-56 ion) on the radiation</w:t>
      </w:r>
      <w:r>
        <w:t xml:space="preserve"> </w:t>
      </w:r>
      <w:r>
        <w:t xml:space="preserve">index, placing it firmly in the radiation-like class. A signature derived entirely from</w:t>
      </w:r>
      <w:r>
        <w:t xml:space="preserve"> </w:t>
      </w:r>
      <w:r>
        <w:t xml:space="preserve">RNA-seq transfers to an unseen platform.</w:t>
      </w:r>
    </w:p>
    <w:bookmarkEnd w:id="58"/>
    <w:bookmarkStart w:id="59" w:name="X68dc9b374a6b65ba178c9343134f9e294f87d38"/>
    <w:p>
      <w:pPr>
        <w:pStyle w:val="Heading2"/>
      </w:pPr>
      <w:r>
        <w:t xml:space="preserve">No DREM transcription factor is altered in spaceflight</w:t>
      </w:r>
    </w:p>
    <w:p>
      <w:pPr>
        <w:pStyle w:val="FirstParagraph"/>
      </w:pPr>
      <w:r>
        <w:t xml:space="preserve">Studies sharing a mission share hardware, launch and ground handling, so contrasts were</w:t>
      </w:r>
      <w:r>
        <w:t xml:space="preserve"> </w:t>
      </w:r>
      <w:r>
        <w:t xml:space="preserve">averaged within mission before testing: the effective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14</w:t>
      </w:r>
      <w:r>
        <w:t xml:space="preserve"> </w:t>
      </w:r>
      <w:r>
        <w:t xml:space="preserve">mission groups (including the</w:t>
      </w:r>
      <w:r>
        <w:t xml:space="preserve"> </w:t>
      </w:r>
      <w:r>
        <w:t xml:space="preserve">“unknown”</w:t>
      </w:r>
      <w:r>
        <w:t xml:space="preserve"> </w:t>
      </w:r>
      <w:r>
        <w:t xml:space="preserve">parabolic-flight bucket), not</w:t>
      </w:r>
      <w:r>
        <w:t xml:space="preserve"> </w:t>
      </w:r>
      <w:r>
        <w:t xml:space="preserve">41 contrasts.</w:t>
      </w:r>
    </w:p>
    <w:p>
      <w:pPr>
        <w:pStyle w:val="BodyText"/>
      </w:pPr>
      <w:r>
        <w:t xml:space="preserve">Of 474 transcription factors,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show a significant</w:t>
      </w:r>
      <w:r>
        <w:t xml:space="preserve"> </w:t>
      </w:r>
      <w:r>
        <w:t xml:space="preserve">shift in spaceflight at 5% FDR. The result is not an artefact of a powerless test: the</w:t>
      </w:r>
      <w:r>
        <w:t xml:space="preserve"> </w:t>
      </w:r>
      <w:r>
        <w:t xml:space="preserve">same data, same features, same correction find 54 TFs that differ</w:t>
      </w:r>
      <w:r>
        <w:t xml:space="preserve"> </w:t>
      </w:r>
      <w:r>
        <w:t xml:space="preserve">significantly between flight and irradiation. The assay can detect a difference; there is</w:t>
      </w:r>
      <w:r>
        <w:t xml:space="preserve"> </w:t>
      </w:r>
      <w:r>
        <w:t xml:space="preserve">simply no flight effect to detect (Figure </w:t>
      </w:r>
      <w:hyperlink w:anchor="fig:tfvolcano">
        <w:r>
          <w:rPr>
            <w:rStyle w:val="Hyperlink"/>
          </w:rPr>
          <w:t xml:space="preserve">8</w:t>
        </w:r>
      </w:hyperlink>
      <w:r>
        <w:t xml:space="preserve">).</w:t>
      </w:r>
    </w:p>
    <w:p>
      <w:pPr>
        <w:pStyle w:val="BodyText"/>
      </w:pPr>
      <w:r>
        <w:t xml:space="preserve">SOG1 makes the point most sharply. Its activity under irradiation is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8.34</m:t>
        </m:r>
      </m:oMath>
      <w:r>
        <w:t xml:space="preserve">; in</w:t>
      </w:r>
      <w:r>
        <w:t xml:space="preserve"> </w:t>
      </w:r>
      <w:r>
        <w:t xml:space="preserve">spaceflight it is -0.268 (</w:t>
      </w:r>
      <m:oMath>
        <m:r>
          <m:t>q</m:t>
        </m:r>
        <m:r>
          <m:rPr>
            <m:sty m:val="p"/>
          </m:rPr>
          <m:t>=</m:t>
        </m:r>
        <m:r>
          <m:t>0.9</m:t>
        </m:r>
        <m:r>
          <m:t>​</m:t>
        </m:r>
      </m:oMath>
      <w:r>
        <w:t xml:space="preserve">). MYB3R1 runs -3.7724 under</w:t>
      </w:r>
      <w:r>
        <w:t xml:space="preserve"> </w:t>
      </w:r>
      <w:r>
        <w:t xml:space="preserve">irradiation against -0.3231 in flight.</w:t>
      </w:r>
    </w:p>
    <w:p>
      <w:pPr>
        <w:pStyle w:val="BodyText"/>
      </w:pPr>
      <w:r>
        <w:t xml:space="preserve">One nuance deserves stating, because it looks like a contradiction and is not. The decoder</w:t>
      </w:r>
      <w:r>
        <w:t xml:space="preserve"> </w:t>
      </w:r>
      <w:r>
        <w:t xml:space="preserve">found the</w:t>
      </w:r>
      <w:r>
        <w:t xml:space="preserve"> </w:t>
      </w:r>
      <w:r>
        <w:rPr>
          <w:i/>
          <w:iCs/>
        </w:rPr>
        <w:t xml:space="preserve">MYB3R-repressed signature set</w:t>
      </w:r>
      <w:r>
        <w:t xml:space="preserve"> </w:t>
      </w:r>
      <w:r>
        <w:t xml:space="preserve">suppressed in flight, while MYB3R1’s</w:t>
      </w:r>
      <w:r>
        <w:t xml:space="preserve"> </w:t>
      </w:r>
      <w:r>
        <w:t xml:space="preserve">activity here is flat. These are different quantities: the signature set is the</w:t>
      </w:r>
      <w:r>
        <w:t xml:space="preserve"> </w:t>
      </w:r>
      <w:r>
        <w:t xml:space="preserve">283 genes that irradiation represses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MYB3R1 binds, whereas the</w:t>
      </w:r>
      <w:r>
        <w:t xml:space="preserve"> </w:t>
      </w:r>
      <w:r>
        <w:t xml:space="preserve">TF-activity feature spans MYB3R1’s entire binding repertoire. Spaceflight represses the</w:t>
      </w:r>
      <w:r>
        <w:t xml:space="preserve"> </w:t>
      </w:r>
      <w:r>
        <w:t xml:space="preserve">specific G2/M genes that radiation also represses, without engaging MYB3R1’s broader</w:t>
      </w:r>
      <w:r>
        <w:t xml:space="preserve"> </w:t>
      </w:r>
      <w:r>
        <w:t xml:space="preserve">target set.</w:t>
      </w:r>
    </w:p>
    <w:bookmarkEnd w:id="59"/>
    <w:bookmarkStart w:id="68" w:name="X7f08f6857f08e08e0311c6d1910bfda96987f2f"/>
    <w:p>
      <w:pPr>
        <w:pStyle w:val="Heading2"/>
      </w:pPr>
      <w:r>
        <w:t xml:space="preserve">Flight and irradiation are separable, and platform is not the reason</w:t>
      </w:r>
    </w:p>
    <w:p>
      <w:pPr>
        <w:pStyle w:val="FirstParagraph"/>
      </w:pPr>
      <w:r>
        <w:t xml:space="preserve">A classifier tests whether a multivariate pattern exists that single-TF tests would miss.</w:t>
      </w:r>
      <w:r>
        <w:t xml:space="preserve"> </w:t>
      </w:r>
      <w:r>
        <w:t xml:space="preserve">Under leave-one-mission-out cross-validation across 22 groups, L2-regularised</w:t>
      </w:r>
      <w:r>
        <w:t xml:space="preserve"> </w:t>
      </w:r>
      <w:r>
        <w:t xml:space="preserve">logistic regression separates flight from irradiation contrasts at</w:t>
      </w:r>
      <w:r>
        <w:t xml:space="preserve"> </w:t>
      </w:r>
      <w:r>
        <w:t xml:space="preserve">AUC 0.9927, against a null of 0.4482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0.1662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0.00498</m:t>
        </m:r>
        <m:r>
          <m:t>​</m:t>
        </m:r>
      </m:oMath>
      <w:r>
        <w:t xml:space="preserve">).</w:t>
      </w:r>
    </w:p>
    <w:p>
      <w:pPr>
        <w:pStyle w:val="BodyText"/>
      </w:pPr>
      <w:r>
        <w:t xml:space="preserve">That null had to be rebuilt. Permuting labels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each mission cannot produce a</w:t>
      </w:r>
      <w:r>
        <w:t xml:space="preserve"> </w:t>
      </w:r>
      <w:r>
        <w:t xml:space="preserve">null: a mission’s label is constant within it, so every within-mission shuffle leaves the</w:t>
      </w:r>
      <w:r>
        <w:t xml:space="preserve"> </w:t>
      </w:r>
      <w:r>
        <w:t xml:space="preserve">labels, and therefore the AUC, unchanged (an earlier run recorded</w:t>
      </w:r>
      <w:r>
        <w:t xml:space="preserve"> </w:t>
      </w:r>
      <m:oMath>
        <m:r>
          <m:t>0.993</m:t>
        </m:r>
        <m:r>
          <m:rPr>
            <m:sty m:val="p"/>
          </m:rPr>
          <m:t>±</m:t>
        </m:r>
        <m:r>
          <m:t>0.000</m:t>
        </m:r>
      </m:oMath>
      <w:r>
        <w:t xml:space="preserve">;</w:t>
      </w:r>
      <w:r>
        <w:t xml:space="preserve"> </w:t>
      </w:r>
      <w:r>
        <w:rPr>
          <w:b/>
          <w:bCs/>
        </w:rPr>
        <w:t xml:space="preserve">TODO: no current output file holds that value</w:t>
      </w:r>
      <w:r>
        <w:t xml:space="preserve">). The exchangeable unit in</w:t>
      </w:r>
      <w:r>
        <w:t xml:space="preserve"> </w:t>
      </w:r>
      <w:r>
        <w:t xml:space="preserve">a grouped design with group-constant labels is the group, and permuting the group-to-label</w:t>
      </w:r>
      <w:r>
        <w:t xml:space="preserve"> </w:t>
      </w:r>
      <w:r>
        <w:t xml:space="preserve">assignment gives the null quoted above.</w:t>
      </w:r>
    </w:p>
    <w:p>
      <w:pPr>
        <w:pStyle w:val="BodyText"/>
      </w:pPr>
      <w:r>
        <w:t xml:space="preserve">The platform control settles the confound: predicting microarray-versus-RNA-seq from the</w:t>
      </w:r>
      <w:r>
        <w:t xml:space="preserve"> </w:t>
      </w:r>
      <w:r>
        <w:t xml:space="preserve">same features under the same cross-validation gives AUC 0.4463, at or below</w:t>
      </w:r>
      <w:r>
        <w:t xml:space="preserve"> </w:t>
      </w:r>
      <w:r>
        <w:t xml:space="preserve">chance (Figure </w:t>
      </w:r>
      <w:hyperlink w:anchor="fig:classifier">
        <w:r>
          <w:rPr>
            <w:rStyle w:val="Hyperlink"/>
          </w:rPr>
          <w:t xml:space="preserve">7</w:t>
        </w:r>
      </w:hyperlink>
      <w:r>
        <w:t xml:space="preserve">). The separation is biological, not technical.</w:t>
      </w:r>
    </w:p>
    <w:bookmarkStart w:id="63" w:name="fig:classifier"/>
    <w:p>
      <w:pPr>
        <w:pStyle w:val="CaptionedFigure"/>
      </w:pPr>
      <w:r>
        <w:drawing>
          <wp:inline>
            <wp:extent cx="3307080" cy="2050232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../figures/fig9_classifier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2050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Leave-one-mission-out classification of flight versus irradiation on TF activity,</w:t>
      </w:r>
      <w:r>
        <w:t xml:space="preserve"> </w:t>
      </w:r>
      <w:r>
        <w:t xml:space="preserve">with the group-permutation null and the platform control.</w:t>
      </w:r>
    </w:p>
    <w:bookmarkEnd w:id="63"/>
    <w:bookmarkStart w:id="67" w:name="fig:tfvolcano"/>
    <w:p>
      <w:pPr>
        <w:pStyle w:val="CaptionedFigure"/>
      </w:pPr>
      <w:r>
        <w:drawing>
          <wp:inline>
            <wp:extent cx="3840480" cy="2582243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../figures/fig8_tf_flight_vs_radiation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582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Per-TF activity under irradiation against spaceflight. Points on the diagonal</w:t>
      </w:r>
      <w:r>
        <w:t xml:space="preserve"> </w:t>
      </w:r>
      <w:r>
        <w:t xml:space="preserve">would respond equally to both; the DREM regulators sit far off it, responding to radiation</w:t>
      </w:r>
      <w:r>
        <w:t xml:space="preserve"> </w:t>
      </w:r>
      <w:r>
        <w:t xml:space="preserve">and not to flight.</w:t>
      </w:r>
    </w:p>
    <w:bookmarkEnd w:id="67"/>
    <w:bookmarkEnd w:id="68"/>
    <w:bookmarkStart w:id="77" w:name="X43b1eccb96c59d2eb0201f17d36012018746b74"/>
    <w:p>
      <w:pPr>
        <w:pStyle w:val="Heading2"/>
      </w:pPr>
      <w:r>
        <w:t xml:space="preserve">Spaceflight is not a time-shifted radiation response</w:t>
      </w:r>
    </w:p>
    <w:p>
      <w:pPr>
        <w:pStyle w:val="FirstParagraph"/>
      </w:pPr>
      <w:r>
        <w:t xml:space="preserve">The last question is whether flight resembles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phase of the radiation</w:t>
      </w:r>
      <w:r>
        <w:t xml:space="preserve"> </w:t>
      </w:r>
      <w:r>
        <w:t xml:space="preserve">trajectory. Each of the eight DREM timepoints has a TF-activity profile built exactly as</w:t>
      </w:r>
      <w:r>
        <w:t xml:space="preserve"> </w:t>
      </w:r>
      <w:r>
        <w:t xml:space="preserve">the query contrasts are, and every contrast is correlated against all eight.</w:t>
      </w:r>
    </w:p>
    <w:p>
      <w:pPr>
        <w:pStyle w:val="BodyText"/>
      </w:pPr>
      <w:r>
        <w:t xml:space="preserve">The irradiation contrasts calibrate the method and pass: their mean correlation rises to a</w:t>
      </w:r>
      <w:r>
        <w:t xml:space="preserve"> </w:t>
      </w:r>
      <w:r>
        <w:t xml:space="preserve">clear peak of 0.4955 at 45 min and decays either side, with</w:t>
      </w:r>
      <w:r>
        <w:t xml:space="preserve"> </w:t>
      </w:r>
      <w:r>
        <w:t xml:space="preserve">88% of individual best-matching timepoints falling at or beside that peak</w:t>
      </w:r>
      <w:r>
        <w:t xml:space="preserve"> </w:t>
      </w:r>
      <w:r>
        <w:t xml:space="preserve">(Figure </w:t>
      </w:r>
      <w:hyperlink w:anchor="fig:projection">
        <w:r>
          <w:rPr>
            <w:rStyle w:val="Hyperlink"/>
          </w:rPr>
          <w:t xml:space="preserve">9</w:t>
        </w:r>
      </w:hyperlink>
      <w:r>
        <w:t xml:space="preserve">).</w:t>
      </w:r>
    </w:p>
    <w:p>
      <w:pPr>
        <w:pStyle w:val="BodyText"/>
      </w:pPr>
      <w:r>
        <w:t xml:space="preserve">Flight contrasts are flat. Their mean profile peaks at 0.0824 with a total</w:t>
      </w:r>
      <w:r>
        <w:t xml:space="preserve"> </w:t>
      </w:r>
      <w:r>
        <w:t xml:space="preserve">range of 0.1157 across the whole trajectory, and only</w:t>
      </w:r>
      <w:r>
        <w:t xml:space="preserve"> </w:t>
      </w:r>
      <w:r>
        <w:t xml:space="preserve">46% of their best-matching timepoints land near that nominal peak —</w:t>
      </w:r>
      <w:r>
        <w:t xml:space="preserve"> </w:t>
      </w:r>
      <w:r>
        <w:t xml:space="preserve">the signature of an argmax taken over noise.</w:t>
      </w:r>
    </w:p>
    <w:p>
      <w:pPr>
        <w:pStyle w:val="BodyText"/>
      </w:pPr>
      <w:r>
        <w:t xml:space="preserve">A per-contrast shuffle test would have reported this differently, passing 26 of 35 flight</w:t>
      </w:r>
      <w:r>
        <w:t xml:space="preserve"> </w:t>
      </w:r>
      <w:r>
        <w:t xml:space="preserve">contrasts, because a single noisy contrast can beat its own shuffled null by chance. It is</w:t>
      </w:r>
      <w:r>
        <w:t xml:space="preserve"> </w:t>
      </w:r>
      <w:r>
        <w:t xml:space="preserve">reported here as too permissive to be read alone; what separates signal from noise is the</w:t>
      </w:r>
      <w:r>
        <w:t xml:space="preserve"> </w:t>
      </w:r>
      <w:r>
        <w:t xml:space="preserve">height and shape of the mean profile, and whether the argmaxes concentrate at its peak.</w:t>
      </w:r>
    </w:p>
    <w:p>
      <w:pPr>
        <w:pStyle w:val="BodyText"/>
      </w:pPr>
      <w:r>
        <w:t xml:space="preserve">Spaceflight, in this corpus, is not an attenuated or delayed radiation response. It is a</w:t>
      </w:r>
      <w:r>
        <w:t xml:space="preserve"> </w:t>
      </w:r>
      <w:r>
        <w:t xml:space="preserve">different transcriptional state.</w:t>
      </w:r>
    </w:p>
    <w:bookmarkStart w:id="72" w:name="fig:projection"/>
    <w:p>
      <w:pPr>
        <w:pStyle w:val="CaptionedFigure"/>
      </w:pPr>
      <w:r>
        <w:drawing>
          <wp:inline>
            <wp:extent cx="3627120" cy="2222725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../figures/fig10_drem_projection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2222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Projection onto the DREM radiation trajectory. Irradiation contrasts trace a</w:t>
      </w:r>
      <w:r>
        <w:t xml:space="preserve"> </w:t>
      </w:r>
      <w:r>
        <w:t xml:space="preserve">peaked profile; spaceflight contrasts are flat across the whole time course. Bands are</w:t>
      </w:r>
      <w:r>
        <w:t xml:space="preserve"> </w:t>
      </w:r>
      <w:r>
        <w:t xml:space="preserve">standard errors.</w:t>
      </w:r>
    </w:p>
    <w:bookmarkEnd w:id="72"/>
    <w:bookmarkStart w:id="76" w:name="fig:tfheatmap"/>
    <w:p>
      <w:pPr>
        <w:pStyle w:val="CaptionedFigure"/>
      </w:pPr>
      <w:r>
        <w:drawing>
          <wp:inline>
            <wp:extent cx="5334000" cy="3133544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../figures/fig7_tf_activity_heatmap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35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TF activity across flight and irradiation contrasts for the 40 most variable</w:t>
      </w:r>
      <w:r>
        <w:t xml:space="preserve"> </w:t>
      </w:r>
      <w:r>
        <w:t xml:space="preserve">transcription factors, ordered with flight contrasts above the rule and irradiation</w:t>
      </w:r>
      <w:r>
        <w:t xml:space="preserve"> </w:t>
      </w:r>
      <w:r>
        <w:t xml:space="preserve">below.</w:t>
      </w:r>
    </w:p>
    <w:bookmarkEnd w:id="76"/>
    <w:bookmarkEnd w:id="77"/>
    <w:bookmarkStart w:id="78" w:name="Xb5bc37426999c6719bf7aacf1b4ec32401e72f5"/>
    <w:p>
      <w:pPr>
        <w:pStyle w:val="Heading2"/>
      </w:pPr>
      <w:r>
        <w:t xml:space="preserve">The two arms have different dose thresholds</w:t>
      </w:r>
    </w:p>
    <w:p>
      <w:pPr>
        <w:pStyle w:val="FirstParagraph"/>
      </w:pPr>
      <w:r>
        <w:t xml:space="preserve">The ground irradiation studies define what the assay can see. OSD-782 exposed 4-week-old</w:t>
      </w:r>
      <w:r>
        <w:t xml:space="preserve"> </w:t>
      </w:r>
      <w:r>
        <w:t xml:space="preserve">plants in a</w:t>
      </w:r>
      <w:r>
        <w:t xml:space="preserve"> </w:t>
      </w:r>
      <m:oMath>
        <m:sSup>
          <m:e>
            <m:r>
              <m:t>​</m:t>
            </m:r>
          </m:e>
          <m:sup>
            <m:r>
              <m:t>137</m:t>
            </m:r>
          </m:sup>
        </m:sSup>
      </m:oMath>
      <w:r>
        <w:t xml:space="preserve">Cs irradiator at 1.4 cGy s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(10 and 100 cGy); OSD-658 exposed flask-grown seedlings to sequential ion</w:t>
      </w:r>
      <w:r>
        <w:t xml:space="preserve"> </w:t>
      </w:r>
      <w:r>
        <w:t xml:space="preserve">beams simulating the galactic cosmic-ray spectrum at NSRL (40 and 80 cGy), harvesting</w:t>
      </w:r>
      <w:r>
        <w:t xml:space="preserve"> </w:t>
      </w:r>
      <w:r>
        <w:t xml:space="preserve">three hours later. OSD-658’s dose arms were</w:t>
      </w:r>
      <w:r>
        <w:t xml:space="preserve"> </w:t>
      </w:r>
      <w:r>
        <w:t xml:space="preserve">initially invisible to the pipeline because it records its unirradiated samples as</w:t>
      </w:r>
      <w:r>
        <w:t xml:space="preserve"> </w:t>
      </w:r>
      <w:r>
        <w:rPr>
          <w:rStyle w:val="VerbatimChar"/>
        </w:rPr>
        <w:t xml:space="preserve">{Not Applicable}</w:t>
      </w:r>
      <w:r>
        <w:t xml:space="preserve"> </w:t>
      </w:r>
      <w:r>
        <w:t xml:space="preserve">rather than 0 cGy, leaving its dose factor with no internal</w:t>
      </w:r>
      <w:r>
        <w:t xml:space="preserve"> </w:t>
      </w:r>
      <w:r>
        <w:t xml:space="preserve">reference; a cross-factor control fallback recovers them.</w:t>
      </w:r>
    </w:p>
    <w:p>
      <w:pPr>
        <w:pStyle w:val="BodyText"/>
      </w:pPr>
      <w:r>
        <w:t xml:space="preserve">Across the resulting series the two arms behave quite differently</w:t>
      </w:r>
      <w:r>
        <w:t xml:space="preserve"> </w:t>
      </w:r>
      <w:r>
        <w:t xml:space="preserve">(Figure </w:t>
      </w:r>
      <w:hyperlink w:anchor="fig:dose">
        <w:r>
          <w:rPr>
            <w:rStyle w:val="Hyperlink"/>
          </w:rPr>
          <w:t xml:space="preserve">11</w:t>
        </w:r>
      </w:hyperlink>
      <w:r>
        <w:t xml:space="preserve">). At the lowest dose tested, 10 cGy, the</w:t>
      </w:r>
      <w:r>
        <w:t xml:space="preserve"> </w:t>
      </w:r>
      <w:r>
        <w:t xml:space="preserve">MYB3R/G2-M arm is already strongly engaged (</w:t>
      </w:r>
      <m:oMath>
        <m:r>
          <m:t>z</m:t>
        </m:r>
        <m:r>
          <m:rPr>
            <m:sty m:val="p"/>
          </m:rPr>
          <m:t>=</m:t>
        </m:r>
        <m:r>
          <m:t>10.141</m:t>
        </m:r>
        <m:r>
          <m:t>​</m:t>
        </m:r>
      </m:oMath>
      <w:r>
        <w:t xml:space="preserve">) while the</w:t>
      </w:r>
      <w:r>
        <w:t xml:space="preserve"> </w:t>
      </w:r>
      <w:r>
        <w:t xml:space="preserve">SOG1/DNA-damage arm is absent (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0.72</m:t>
        </m:r>
        <m:r>
          <m:t>​</m:t>
        </m:r>
      </m:oMath>
      <w:r>
        <w:t xml:space="preserve">). The DNA-damage arm becomes</w:t>
      </w:r>
      <w:r>
        <w:t xml:space="preserve"> </w:t>
      </w:r>
      <w:r>
        <w:t xml:space="preserve">detectable only at 40 cGy and rises steeply thereafter.</w:t>
      </w:r>
    </w:p>
    <w:p>
      <w:pPr>
        <w:pStyle w:val="BodyText"/>
      </w:pPr>
      <w:r>
        <w:t xml:space="preserve">The asymmetry is interpretable. Arresting the cell cycle is a graded, low-threshold</w:t>
      </w:r>
      <w:r>
        <w:t xml:space="preserve"> </w:t>
      </w:r>
      <w:r>
        <w:t xml:space="preserve">response that saturates; mounting a SOG1-dependent damage programme is a</w:t>
      </w:r>
      <w:r>
        <w:t xml:space="preserve"> </w:t>
      </w:r>
      <w:r>
        <w:t xml:space="preserve">high-threshold, switch-like one. It also means "the detection floor" is not one number:</w:t>
      </w:r>
      <w:r>
        <w:t xml:space="preserve"> </w:t>
      </w:r>
      <w:r>
        <w:t xml:space="preserve">the diagnostic arm and the sensitive arm are different arms, and only the diagnostic arm</w:t>
      </w:r>
      <w:r>
        <w:t xml:space="preserve"> </w:t>
      </w:r>
      <w:r>
        <w:t xml:space="preserve">distinguishes irradiation from other stresses.</w:t>
      </w:r>
    </w:p>
    <w:bookmarkEnd w:id="78"/>
    <w:bookmarkStart w:id="83" w:name="iss-doses-fall-below-the-assays-floor"/>
    <w:p>
      <w:pPr>
        <w:pStyle w:val="Heading2"/>
      </w:pPr>
      <w:r>
        <w:t xml:space="preserve">ISS doses fall below the assay’s floor</w:t>
      </w:r>
    </w:p>
    <w:p>
      <w:pPr>
        <w:pStyle w:val="FirstParagraph"/>
      </w:pPr>
      <w:r>
        <w:t xml:space="preserve">Placing the spaceflight corpus against that floor requires a dose, not a duration. At</w:t>
      </w:r>
      <w:r>
        <w:t xml:space="preserve"> </w:t>
      </w:r>
      <w:r>
        <w:t xml:space="preserve">0.355 mGy day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measured inside the ISS by Bio-PADLES over 1</w:t>
      </w:r>
      <w:r>
        <w:t xml:space="preserve">,</w:t>
      </w:r>
      <w:r>
        <w:t xml:space="preserve">584 days</w:t>
      </w:r>
      <w:r>
        <w:t xml:space="preserve"> </w:t>
      </w:r>
      <w:r>
        <w:t xml:space="preserve">(Yoshida et al. 2022)</w:t>
      </w:r>
      <w:r>
        <w:t xml:space="preserve">, the 10 orbital missions in this corpus</w:t>
      </w:r>
      <w:r>
        <w:t xml:space="preserve"> </w:t>
      </w:r>
      <w:r>
        <w:t xml:space="preserve">(11–70 days) accumulate 0.39–2.485 cGy in total. Two suborbital flights</w:t>
      </w:r>
      <w:r>
        <w:t xml:space="preserve"> </w:t>
      </w:r>
      <w:r>
        <w:t xml:space="preserve">(VSS Unity, Unity 22) and three studies spanning two resupply flights with no resolvable</w:t>
      </w:r>
      <w:r>
        <w:t xml:space="preserve"> </w:t>
      </w:r>
      <w:r>
        <w:t xml:space="preserve">duration are excluded and reported separately rather than pooled.</w:t>
      </w:r>
    </w:p>
    <w:p>
      <w:pPr>
        <w:pStyle w:val="BodyText"/>
      </w:pPr>
      <w:r>
        <w:t xml:space="preserve">The DREM model itself was trained at 100 Gy, parsed from the OSD-508</w:t>
      </w:r>
      <w:r>
        <w:t xml:space="preserve"> </w:t>
      </w:r>
      <w:r>
        <w:t xml:space="preserve">protocol rather than assumed — 4024 times the largest ISS mission dose in</w:t>
      </w:r>
      <w:r>
        <w:t xml:space="preserve"> </w:t>
      </w:r>
      <w:r>
        <w:t xml:space="preserve">this corpus. The highest ISS mission dose is 4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below</w:t>
      </w:r>
      <w:r>
        <w:t xml:space="preserve"> </w:t>
      </w:r>
      <w:r>
        <w:t xml:space="preserve">10 cGy — the dose at which the DNA-damage arm already fails to register</w:t>
      </w:r>
      <w:r>
        <w:t xml:space="preserve"> </w:t>
      </w:r>
      <w:r>
        <w:t xml:space="preserve">— and is delivered at a dose rate roughly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times lower, chronically</w:t>
      </w:r>
      <w:r>
        <w:t xml:space="preserve"> </w:t>
      </w:r>
      <w:r>
        <w:t xml:space="preserve">rather than in seconds.</w:t>
      </w:r>
    </w:p>
    <w:bookmarkStart w:id="82" w:name="fig:dose"/>
    <w:p>
      <w:pPr>
        <w:pStyle w:val="CaptionedFigure"/>
      </w:pPr>
      <w:r>
        <w:drawing>
          <wp:inline>
            <wp:extent cx="4160520" cy="2499633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../figures/fig11_dose_response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2499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Detection floor against ISS exposure. The MYB3R/G2-M arm is engaged at the lowest</w:t>
      </w:r>
      <w:r>
        <w:t xml:space="preserve"> </w:t>
      </w:r>
      <w:r>
        <w:t xml:space="preserve">dose tested; the SOG1/DNA-damage arm requires 40 cGy. The shaded band at left</w:t>
      </w:r>
      <w:r>
        <w:t xml:space="preserve"> </w:t>
      </w:r>
      <w:r>
        <w:t xml:space="preserve">is the total mission dose accumulated by the ISS missions in this corpus.</w:t>
      </w:r>
    </w:p>
    <w:bookmarkEnd w:id="82"/>
    <w:bookmarkEnd w:id="83"/>
    <w:bookmarkStart w:id="88" w:name="X454c7ce4457fbdd28f32e34af975d5beacc80b6"/>
    <w:p>
      <w:pPr>
        <w:pStyle w:val="Heading2"/>
      </w:pPr>
      <w:r>
        <w:t xml:space="preserve">Radiation quality does not explain the flight null</w:t>
      </w:r>
    </w:p>
    <w:p>
      <w:pPr>
        <w:pStyle w:val="FirstParagraph"/>
      </w:pPr>
      <w:r>
        <w:t xml:space="preserve">If ground irradiation were simply the wrong kind of radiation, that would explain the</w:t>
      </w:r>
      <w:r>
        <w:t xml:space="preserve"> </w:t>
      </w:r>
      <w:r>
        <w:t xml:space="preserve">absence of a flight signature without invoking dose at all. The corpus permits a direct</w:t>
      </w:r>
      <w:r>
        <w:t xml:space="preserve"> </w:t>
      </w:r>
      <w:r>
        <w:t xml:space="preserve">test. OSD-320 irradiated 8-day-old Ws and</w:t>
      </w:r>
      <w:r>
        <w:t xml:space="preserve"> </w:t>
      </w:r>
      <w:r>
        <w:rPr>
          <w:i/>
          <w:iCs/>
        </w:rPr>
        <w:t xml:space="preserve">atm-1</w:t>
      </w:r>
      <w:r>
        <w:t xml:space="preserve"> </w:t>
      </w:r>
      <w:r>
        <w:t xml:space="preserve">seedlings at Brookhaven with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Cs-137 gamma (100 Gy) and 1 GeV/n Fe-56 HZE ions (30 Gy), at the same</w:t>
      </w:r>
      <w:r>
        <w:t xml:space="preserve"> </w:t>
      </w:r>
      <w:r>
        <w:t xml:space="preserve">7 Gy min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dose rate and the same harvest times: one study, one tissue, one platform,</w:t>
      </w:r>
      <w:r>
        <w:t xml:space="preserve"> </w:t>
      </w:r>
      <w:r>
        <w:t xml:space="preserve">differing only in the particle. Comparing its two arms isolates</w:t>
      </w:r>
      <w:r>
        <w:t xml:space="preserve"> </w:t>
      </w:r>
      <w:r>
        <w:t xml:space="preserve">low-LET photon against high-LET particle in a way no cross-study comparison can.</w:t>
      </w:r>
    </w:p>
    <w:p>
      <w:pPr>
        <w:pStyle w:val="BodyText"/>
      </w:pPr>
      <w:r>
        <w:t xml:space="preserve">Across the 330 responsive transcription factors the two arms correlate at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0.3056</m:t>
        </m:r>
        <m:r>
          <m:t>​</m:t>
        </m:r>
      </m:oMath>
      <w:r>
        <w:t xml:space="preserve">. The relevant question is whether that is low, and the honest</w:t>
      </w:r>
      <w:r>
        <w:t xml:space="preserve"> </w:t>
      </w:r>
      <w:r>
        <w:t xml:space="preserve">reference is how well two</w:t>
      </w:r>
      <w:r>
        <w:t xml:space="preserve"> </w:t>
      </w:r>
      <w:r>
        <w:rPr>
          <w:i/>
          <w:iCs/>
        </w:rPr>
        <w:t xml:space="preserve">gamma</w:t>
      </w:r>
      <w:r>
        <w:t xml:space="preserve"> </w:t>
      </w:r>
      <w:r>
        <w:t xml:space="preserve">irradiation contrasts from different accessions</w:t>
      </w:r>
      <w:r>
        <w:t xml:space="preserve"> </w:t>
      </w:r>
      <w:r>
        <w:t xml:space="preserve">agree: mean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0.4201</m:t>
        </m:r>
        <m:r>
          <m:t>​</m:t>
        </m:r>
      </m:oMath>
      <w:r>
        <w:t xml:space="preserve"> </w:t>
      </w:r>
      <w:r>
        <w:t xml:space="preserve">over 15 pairs of the six</w:t>
      </w:r>
      <w:r>
        <w:t xml:space="preserve"> </w:t>
      </w:r>
      <w:r>
        <w:t xml:space="preserve">low-LET photon contrasts, six of those pairs being within the single Bourbousse experiment</w:t>
      </w:r>
      <w:r>
        <w:t xml:space="preserve"> </w:t>
      </w:r>
      <w:r>
        <w:t xml:space="preserve">(OSD-498, 502, 508, 510) and nine crossing laboratories, ranging from</w:t>
      </w:r>
      <w:r>
        <w:t xml:space="preserve"> </w:t>
      </w:r>
      <w:r>
        <w:t xml:space="preserve">0.045 to 0.641. The matched HZE comparison sits at the</w:t>
      </w:r>
      <w:r>
        <w:t xml:space="preserve"> </w:t>
      </w:r>
      <w:r>
        <w:t xml:space="preserve">20th percentile of that distribution (one-sided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0.25</m:t>
        </m:r>
        <m:r>
          <m:t>​</m:t>
        </m:r>
      </m:oMath>
      <w:r>
        <w:t xml:space="preserve">)</w:t>
      </w:r>
      <w:r>
        <w:t xml:space="preserve"> </w:t>
      </w:r>
      <w:r>
        <w:t xml:space="preserve">— inside it, not below it (Figure </w:t>
      </w:r>
      <w:hyperlink w:anchor="fig:quality">
        <w:r>
          <w:rPr>
            <w:rStyle w:val="Hyperlink"/>
          </w:rPr>
          <w:t xml:space="preserve">12</w:t>
        </w:r>
      </w:hyperlink>
      <w:r>
        <w:t xml:space="preserve">).</w:t>
      </w:r>
    </w:p>
    <w:p>
      <w:pPr>
        <w:pStyle w:val="BodyText"/>
      </w:pPr>
      <w:r>
        <w:t xml:space="preserve">We had pre-specified that the quality claim required the matched pair to fall in the lower</w:t>
      </w:r>
      <w:r>
        <w:t xml:space="preserve"> </w:t>
      </w:r>
      <w:r>
        <w:t xml:space="preserve">tail, and it does not. Comparing it against the baseline</w:t>
      </w:r>
      <w:r>
        <w:t xml:space="preserve"> </w:t>
      </w:r>
      <w:r>
        <w:rPr>
          <w:i/>
          <w:iCs/>
        </w:rPr>
        <w:t xml:space="preserve">mean</w:t>
      </w:r>
      <w:r>
        <w:t xml:space="preserve"> </w:t>
      </w:r>
      <w:r>
        <w:t xml:space="preserve">would have passed,</w:t>
      </w:r>
      <w:r>
        <w:t xml:space="preserve"> </w:t>
      </w:r>
      <w:r>
        <w:t xml:space="preserve">which is precisely why that test was rejected in advance.</w:t>
      </w:r>
    </w:p>
    <w:p>
      <w:pPr>
        <w:pStyle w:val="BodyText"/>
      </w:pPr>
      <w:r>
        <w:t xml:space="preserve">The more important finding is what the baseline itself says about this design’s power.</w:t>
      </w:r>
      <w:r>
        <w:t xml:space="preserve"> </w:t>
      </w:r>
      <w:r>
        <w:t xml:space="preserve">OSD-498 and OSD-508 are two accessions of the</w:t>
      </w:r>
      <w:r>
        <w:t xml:space="preserve"> </w:t>
      </w:r>
      <w:r>
        <w:rPr>
          <w:i/>
          <w:iCs/>
        </w:rPr>
        <w:t xml:space="preserve">same published experiment</w:t>
      </w:r>
      <w:r>
        <w:t xml:space="preserve">, and their</w:t>
      </w:r>
      <w:r>
        <w:t xml:space="preserve"> </w:t>
      </w:r>
      <w:r>
        <w:t xml:space="preserve">TF profiles correlate at only 0.045. That is the reproducibility floor of</w:t>
      </w:r>
      <w:r>
        <w:t xml:space="preserve"> </w:t>
      </w:r>
      <w:r>
        <w:t xml:space="preserve">the measurement. Response magnitude does not explain the scatter either</w:t>
      </w:r>
      <w:r>
        <w:t xml:space="preserve"> </w:t>
      </w:r>
      <w:r>
        <w:t xml:space="preserve">(</w:t>
      </w:r>
      <m:oMath>
        <m:r>
          <m:t>ρ</m:t>
        </m:r>
        <m:r>
          <m:rPr>
            <m:sty m:val="p"/>
          </m:rPr>
          <m:t>=</m:t>
        </m:r>
        <m:r>
          <m:t>0.158</m:t>
        </m:r>
        <m:r>
          <m:t>​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0.422</m:t>
        </m:r>
        <m:r>
          <m:t>​</m:t>
        </m:r>
      </m:oMath>
      <w:r>
        <w:t xml:space="preserve">), so it is not a nuisance that could be</w:t>
      </w:r>
      <w:r>
        <w:t xml:space="preserve"> </w:t>
      </w:r>
      <w:r>
        <w:t xml:space="preserve">regressed away. With 8 radiation contrasts, study-to-study variance is as</w:t>
      </w:r>
      <w:r>
        <w:t xml:space="preserve"> </w:t>
      </w:r>
      <w:r>
        <w:t xml:space="preserve">large as any quality effect this comparison could resolve.</w:t>
      </w:r>
    </w:p>
    <w:p>
      <w:pPr>
        <w:pStyle w:val="BodyText"/>
      </w:pPr>
      <w:r>
        <w:t xml:space="preserve">The honest conclusion is therefore two-sided: these data give</w:t>
      </w:r>
      <w:r>
        <w:t xml:space="preserve"> </w:t>
      </w:r>
      <w:r>
        <w:rPr>
          <w:i/>
          <w:iCs/>
        </w:rPr>
        <w:t xml:space="preserve">no evidence</w:t>
      </w:r>
      <w:r>
        <w:t xml:space="preserve"> </w:t>
      </w:r>
      <w:r>
        <w:t xml:space="preserve">that</w:t>
      </w:r>
      <w:r>
        <w:t xml:space="preserve"> </w:t>
      </w:r>
      <w:r>
        <w:t xml:space="preserve">radiation quality explains the flight null, and</w:t>
      </w:r>
      <w:r>
        <w:t xml:space="preserve"> </w:t>
      </w:r>
      <w:r>
        <w:rPr>
          <w:i/>
          <w:iCs/>
        </w:rPr>
        <w:t xml:space="preserve">no power to exclude</w:t>
      </w:r>
      <w:r>
        <w:t xml:space="preserve"> </w:t>
      </w:r>
      <w:r>
        <w:t xml:space="preserve">it. What they</w:t>
      </w:r>
      <w:r>
        <w:t xml:space="preserve"> </w:t>
      </w:r>
      <w:r>
        <w:t xml:space="preserve">do show is that all three qualities present — photon, HZE particle and simulated GCR —</w:t>
      </w:r>
      <w:r>
        <w:t xml:space="preserve"> </w:t>
      </w:r>
      <w:r>
        <w:t xml:space="preserve">fire both arms of the decoder’s signature, which is what allowed a gamma-derived signature</w:t>
      </w:r>
      <w:r>
        <w:t xml:space="preserve"> </w:t>
      </w:r>
      <w:r>
        <w:t xml:space="preserve">to validate on an HZE study. The conserved DNA-damage core behaves the same way whatever</w:t>
      </w:r>
      <w:r>
        <w:t xml:space="preserve"> </w:t>
      </w:r>
      <w:r>
        <w:t xml:space="preserve">delivers the energy; whether the wider regulatory response does cannot be settled here.</w:t>
      </w:r>
    </w:p>
    <w:bookmarkStart w:id="87" w:name="fig:quality"/>
    <w:p>
      <w:pPr>
        <w:pStyle w:val="CaptionedFigure"/>
      </w:pPr>
      <w:r>
        <w:drawing>
          <wp:inline>
            <wp:extent cx="3840480" cy="2221163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../figures/fig12_radiation_quality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221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Radiation quality tested against the flight null. The matched gamma-versus-HZE</w:t>
      </w:r>
      <w:r>
        <w:t xml:space="preserve"> </w:t>
      </w:r>
      <w:r>
        <w:t xml:space="preserve">comparison within OSD-320 falls inside the distribution of gamma-versus-gamma correlations</w:t>
      </w:r>
      <w:r>
        <w:t xml:space="preserve"> </w:t>
      </w:r>
      <w:r>
        <w:t xml:space="preserve">between different studies, not below it.</w:t>
      </w:r>
    </w:p>
    <w:bookmarkEnd w:id="87"/>
    <w:bookmarkEnd w:id="88"/>
    <w:bookmarkStart w:id="93" w:name="Xf4f4edeb490046b84766a916065314cef2d5862"/>
    <w:p>
      <w:pPr>
        <w:pStyle w:val="Heading2"/>
      </w:pPr>
      <w:r>
        <w:t xml:space="preserve">An in-flight 1 g control separates the two halves of the flight effect</w:t>
      </w:r>
    </w:p>
    <w:p>
      <w:pPr>
        <w:pStyle w:val="FirstParagraph"/>
      </w:pPr>
      <w:r>
        <w:t xml:space="preserve">Most flight contrasts considered so far confound weightlessness with the rest of the</w:t>
      </w:r>
      <w:r>
        <w:t xml:space="preserve"> </w:t>
      </w:r>
      <w:r>
        <w:t xml:space="preserve">mission. A flight-versus-ground comparison cannot say whether an absent radiation signature</w:t>
      </w:r>
      <w:r>
        <w:t xml:space="preserve"> </w:t>
      </w:r>
      <w:r>
        <w:t xml:space="preserve">means radiation left no mark or means a microgravity response masked one. OSD-251 and</w:t>
      </w:r>
      <w:r>
        <w:t xml:space="preserve"> </w:t>
      </w:r>
      <w:r>
        <w:t xml:space="preserve">OSD-346 already isolate one half of that question: they are scored against an onboard</w:t>
      </w:r>
      <w:r>
        <w:t xml:space="preserve"> </w:t>
      </w:r>
      <w:r>
        <w:t xml:space="preserve">1 g centrifuge, so their microgravity and partial-gravity contrasts hold radiation and the</w:t>
      </w:r>
      <w:r>
        <w:t xml:space="preserve"> </w:t>
      </w:r>
      <w:r>
        <w:t xml:space="preserve">mission environment constant. Having no ground arm in OSDR, they cannot supply the other</w:t>
      </w:r>
      <w:r>
        <w:t xml:space="preserve"> </w:t>
      </w:r>
      <w:r>
        <w:t xml:space="preserve">half. The Shenzhou-8 SIMBOX experiment</w:t>
      </w:r>
      <w:r>
        <w:t xml:space="preserve"> </w:t>
      </w:r>
      <w:r>
        <w:t xml:space="preserve">(Fengler et al. 2015)</w:t>
      </w:r>
      <w:r>
        <w:t xml:space="preserve"> </w:t>
      </w:r>
      <w:r>
        <w:t xml:space="preserve">supplies both, because it flew a</w:t>
      </w:r>
      <w:r>
        <w:t xml:space="preserve"> </w:t>
      </w:r>
      <w:r>
        <w:t xml:space="preserve">1 g reference centrifuge alongside the microgravity samples and kept a ground control: 6 ATH1 arrays spanning</w:t>
      </w:r>
      <w:r>
        <w:t xml:space="preserve"> </w:t>
      </w:r>
      <w:r>
        <w:t xml:space="preserve">microgravity flight, in-flight 1 g, and ground 1 g. We re-processed the raw</w:t>
      </w:r>
      <w:r>
        <w:t xml:space="preserve"> </w:t>
      </w:r>
      <w:r>
        <w:t xml:space="preserve">intensity files from ArrayExpress and scored the three contrasts with the same conjunctive</w:t>
      </w:r>
      <w:r>
        <w:t xml:space="preserve"> </w:t>
      </w:r>
      <w:r>
        <w:t xml:space="preserve">index used throughout (Figure </w:t>
      </w:r>
      <w:hyperlink w:anchor="fig:shenzhou">
        <w:r>
          <w:rPr>
            <w:rStyle w:val="Hyperlink"/>
          </w:rPr>
          <w:t xml:space="preserve">13</w:t>
        </w:r>
      </w:hyperlink>
      <w:r>
        <w:t xml:space="preserve">).</w:t>
      </w:r>
    </w:p>
    <w:p>
      <w:pPr>
        <w:pStyle w:val="BodyText"/>
      </w:pPr>
      <w:r>
        <w:t xml:space="preserve">Neither half of the flight effect carries the radiation signature. The non-microgravity</w:t>
      </w:r>
      <w:r>
        <w:t xml:space="preserve"> </w:t>
      </w:r>
      <w:r>
        <w:t xml:space="preserve">term — in-flight 1 g against ground, which contains the radiation exposure, launch and</w:t>
      </w:r>
      <w:r>
        <w:t xml:space="preserve"> </w:t>
      </w:r>
      <w:r>
        <w:t xml:space="preserve">containment but not weightlessness — scores -2.021, and the microgravity term</w:t>
      </w:r>
      <w:r>
        <w:t xml:space="preserve"> </w:t>
      </w:r>
      <w:r>
        <w:t xml:space="preserve">scores -7.327, both far below the threshold of 1.96. This is the expected</w:t>
      </w:r>
      <w:r>
        <w:t xml:space="preserve"> </w:t>
      </w:r>
      <w:r>
        <w:t xml:space="preserve">result and we claim nothing from it: a 5-day mission accumulates about</w:t>
      </w:r>
      <w:r>
        <w:t xml:space="preserve"> </w:t>
      </w:r>
      <w:r>
        <w:t xml:space="preserve">0.177 cGy, some two orders of magnitude below the 40 cGy floor at which the</w:t>
      </w:r>
      <w:r>
        <w:t xml:space="preserve"> </w:t>
      </w:r>
      <w:r>
        <w:t xml:space="preserve">assay is demonstrably sensitive. A null here is predicted by dose alone.</w:t>
      </w:r>
    </w:p>
    <w:p>
      <w:pPr>
        <w:pStyle w:val="BodyText"/>
      </w:pPr>
      <w:r>
        <w:t xml:space="preserve">The decomposition is nonetheless informative, because the two halves move the</w:t>
      </w:r>
      <w:r>
        <w:t xml:space="preserve"> </w:t>
      </w:r>
      <w:r>
        <w:t xml:space="preserve">proliferation arm in opposite directions. The MYB3R/G2–M arm scores 5.437 in</w:t>
      </w:r>
      <w:r>
        <w:t xml:space="preserve"> </w:t>
      </w:r>
      <w:r>
        <w:t xml:space="preserve">the non-microgravity term — G2–M transcripts depressed relative to ground — and</w:t>
      </w:r>
      <w:r>
        <w:t xml:space="preserve"> </w:t>
      </w:r>
      <w:r>
        <w:t xml:space="preserve">-7.327 in the microgravity term, the same transcripts elevated under</w:t>
      </w:r>
      <w:r>
        <w:t xml:space="preserve"> </w:t>
      </w:r>
      <w:r>
        <w:t xml:space="preserve">weightlessness relative to the in-flight centrifuge. In the confounded flight-versus-ground</w:t>
      </w:r>
      <w:r>
        <w:t xml:space="preserve"> </w:t>
      </w:r>
      <w:r>
        <w:t xml:space="preserve">contrast the two nearly cancel, to -0.965. The one arm of our signature that</w:t>
      </w:r>
      <w:r>
        <w:t xml:space="preserve"> </w:t>
      </w:r>
      <w:r>
        <w:t xml:space="preserve">is unambiguously tissue-restricted and proliferation-linked is therefore not quiet during</w:t>
      </w:r>
      <w:r>
        <w:t xml:space="preserve"> </w:t>
      </w:r>
      <w:r>
        <w:t xml:space="preserve">spaceflight; it is being pushed both ways at once by components of the flight environment</w:t>
      </w:r>
      <w:r>
        <w:t xml:space="preserve"> </w:t>
      </w:r>
      <w:r>
        <w:t xml:space="preserve">that a conventional design sums together. That offers a concrete mechanism for the weak</w:t>
      </w:r>
      <w:r>
        <w:t xml:space="preserve"> </w:t>
      </w:r>
      <w:r>
        <w:t xml:space="preserve">G2–M signal we observe across the OSDR flight corpus, where mission-level contrasts are</w:t>
      </w:r>
      <w:r>
        <w:t xml:space="preserve"> </w:t>
      </w:r>
      <w:r>
        <w:t xml:space="preserve">all of the confounded kind.</w:t>
      </w:r>
    </w:p>
    <w:p>
      <w:pPr>
        <w:pStyle w:val="BodyText"/>
      </w:pPr>
      <w:r>
        <w:t xml:space="preserve">Three structural limits bound this. The two arrays per condition are front and rear</w:t>
      </w:r>
      <w:r>
        <w:t xml:space="preserve"> </w:t>
      </w:r>
      <w:r>
        <w:t xml:space="preserve">positions within a single hardware container, so they are positional rather than biological</w:t>
      </w:r>
      <w:r>
        <w:t xml:space="preserve"> </w:t>
      </w:r>
      <w:r>
        <w:t xml:space="preserve">replicates and a between-condition difference cannot be cleanly separated from a</w:t>
      </w:r>
      <w:r>
        <w:t xml:space="preserve"> </w:t>
      </w:r>
      <w:r>
        <w:t xml:space="preserve">between-container one; the material is semisolid callus culture rather than seedlings, unlike every</w:t>
      </w:r>
      <w:r>
        <w:t xml:space="preserve"> </w:t>
      </w:r>
      <w:r>
        <w:t xml:space="preserve">other contrast in this corpus; and the experiment is a single mission. The opposing-signs</w:t>
      </w:r>
      <w:r>
        <w:t xml:space="preserve"> </w:t>
      </w:r>
      <w:r>
        <w:t xml:space="preserve">observation is a hypothesis this design can raise but not test.</w:t>
      </w:r>
    </w:p>
    <w:bookmarkStart w:id="92" w:name="fig:shenzhou"/>
    <w:p>
      <w:pPr>
        <w:pStyle w:val="CaptionedFigure"/>
      </w:pPr>
      <w:r>
        <w:drawing>
          <wp:inline>
            <wp:extent cx="4000500" cy="2237479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../figures/fig13_shenzhou_decomposition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37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Shenzhou-8 in-flight 1 g control splits the flight effect into a</w:t>
      </w:r>
      <w:r>
        <w:t xml:space="preserve"> </w:t>
      </w:r>
      <w:r>
        <w:t xml:space="preserve">non-microgravity term and a microgravity term. Neither carries the radiation signature, at</w:t>
      </w:r>
      <w:r>
        <w:t xml:space="preserve"> </w:t>
      </w:r>
      <w:r>
        <w:t xml:space="preserve">a mission dose far below the assay’s floor. The MYB3R/G2–M arm moves in opposite</w:t>
      </w:r>
      <w:r>
        <w:t xml:space="preserve"> </w:t>
      </w:r>
      <w:r>
        <w:t xml:space="preserve">directions in the two terms and nearly cancels in the confounded flight-versus-ground</w:t>
      </w:r>
      <w:r>
        <w:t xml:space="preserve"> </w:t>
      </w:r>
      <w:r>
        <w:t xml:space="preserve">contrast.</w:t>
      </w:r>
    </w:p>
    <w:bookmarkEnd w:id="92"/>
    <w:bookmarkEnd w:id="93"/>
    <w:bookmarkStart w:id="98" w:name="X59a65f4b74e72e13a4b3e9542e8cf8f075021e4"/>
    <w:p>
      <w:pPr>
        <w:pStyle w:val="Heading2"/>
      </w:pPr>
      <w:r>
        <w:t xml:space="preserve">A second species, and the limits of cross-species screening</w:t>
      </w:r>
    </w:p>
    <w:p>
      <w:pPr>
        <w:pStyle w:val="FirstParagraph"/>
      </w:pPr>
      <w:r>
        <w:t xml:space="preserve">If terrestrial Arabidopsis is the wrong training material, the obvious remedy is a second</w:t>
      </w:r>
      <w:r>
        <w:t xml:space="preserve"> </w:t>
      </w:r>
      <w:r>
        <w:t xml:space="preserve">species irradiated with simulated GCR. A</w:t>
      </w:r>
      <w:r>
        <w:t xml:space="preserve"> </w:t>
      </w:r>
      <w:r>
        <w:rPr>
          <w:i/>
          <w:iCs/>
        </w:rPr>
        <w:t xml:space="preserve">Brassica rapa</w:t>
      </w:r>
      <w:r>
        <w:t xml:space="preserve"> </w:t>
      </w:r>
      <w:r>
        <w:t xml:space="preserve">experiment</w:t>
      </w:r>
      <w:r>
        <w:t xml:space="preserve"> </w:t>
      </w:r>
      <w:r>
        <w:t xml:space="preserve">(</w:t>
      </w:r>
      <w:r>
        <w:rPr>
          <w:b/>
          <w:bCs/>
        </w:rPr>
        <w:t xml:space="preserve">TODO: accession and citation</w:t>
      </w:r>
      <w:r>
        <w:t xml:space="preserve">) provides one:</w:t>
      </w:r>
      <w:r>
        <w:t xml:space="preserve"> </w:t>
      </w:r>
      <w:r>
        <w:t xml:space="preserve">39 leaf libraries at 0 or 40 cGy simulated GCR, wild-type or</w:t>
      </w:r>
      <w:r>
        <w:t xml:space="preserve"> </w:t>
      </w:r>
      <w:r>
        <w:t xml:space="preserve">anthocyanin-less, in two preservatives. Its 40 cGy arm is matched to OSD-658’s lower arm in</w:t>
      </w:r>
      <w:r>
        <w:t xml:space="preserve"> </w:t>
      </w:r>
      <w:r>
        <w:t xml:space="preserve">both dose and radiation quality, which makes it the only cross-species replicate of a</w:t>
      </w:r>
      <w:r>
        <w:t xml:space="preserve"> </w:t>
      </w:r>
      <w:r>
        <w:t xml:space="preserve">simulated-GCR plant exposure we could find.</w:t>
      </w:r>
    </w:p>
    <w:p>
      <w:pPr>
        <w:pStyle w:val="BodyText"/>
      </w:pPr>
      <w:r>
        <w:t xml:space="preserve">Comparing the two species first required orthology, and the route normally used for it does</w:t>
      </w:r>
      <w:r>
        <w:t xml:space="preserve"> </w:t>
      </w:r>
      <w:r>
        <w:t xml:space="preserve">not work. Ensembl Plants exposes no Arabidopsis-homolog attribute for</w:t>
      </w:r>
      <w:r>
        <w:t xml:space="preserve"> </w:t>
      </w:r>
      <w:r>
        <w:rPr>
          <w:i/>
          <w:iCs/>
        </w:rPr>
        <w:t xml:space="preserve">B. rapa</w:t>
      </w:r>
      <w:r>
        <w:t xml:space="preserve">, and</w:t>
      </w:r>
      <w:r>
        <w:t xml:space="preserve"> </w:t>
      </w:r>
      <w:r>
        <w:t xml:space="preserve">the query fails with an explicit</w:t>
      </w:r>
      <w:r>
        <w:t xml:space="preserve"> </w:t>
      </w:r>
      <w:r>
        <w:rPr>
          <w:rStyle w:val="VerbatimChar"/>
        </w:rPr>
        <w:t xml:space="preserve">NOT FOUND</w:t>
      </w:r>
      <w:r>
        <w:t xml:space="preserve">. Reciprocal best hit against the TAIR10</w:t>
      </w:r>
      <w:r>
        <w:t xml:space="preserve"> </w:t>
      </w:r>
      <w:r>
        <w:t xml:space="preserve">proteome gives 18</w:t>
      </w:r>
      <w:r>
        <w:t xml:space="preserve">,</w:t>
      </w:r>
      <w:r>
        <w:t xml:space="preserve">770 one-to-one pairs where the pre-existing mapping reached</w:t>
      </w:r>
      <w:r>
        <w:t xml:space="preserve"> </w:t>
      </w:r>
      <w:r>
        <w:t xml:space="preserve">3</w:t>
      </w:r>
      <w:r>
        <w:t xml:space="preserve">,</w:t>
      </w:r>
      <w:r>
        <w:t xml:space="preserve">511 genes, lifting coverage of the DREM transcription factors to</w:t>
      </w:r>
      <w:r>
        <w:t xml:space="preserve"> </w:t>
      </w:r>
      <w:r>
        <w:t xml:space="preserve">426 of 474 and making both SOG1 and MYB3R1 reachable for the first</w:t>
      </w:r>
      <w:r>
        <w:t xml:space="preserve"> </w:t>
      </w:r>
      <w:r>
        <w:t xml:space="preserve">time. The map agrees with Ensembl’s own one-way assignment on 96.6% of the</w:t>
      </w:r>
      <w:r>
        <w:t xml:space="preserve"> </w:t>
      </w:r>
      <w:r>
        <w:t xml:space="preserve">genes where both make a call.</w:t>
      </w:r>
    </w:p>
    <w:p>
      <w:pPr>
        <w:pStyle w:val="BodyText"/>
      </w:pPr>
      <w:r>
        <w:t xml:space="preserve">The Arabidopsis-trained decoder does not fire on</w:t>
      </w:r>
      <w:r>
        <w:t xml:space="preserve"> </w:t>
      </w:r>
      <w:r>
        <w:rPr>
          <w:i/>
          <w:iCs/>
        </w:rPr>
        <w:t xml:space="preserve">B. rapa</w:t>
      </w:r>
      <w:r>
        <w:t xml:space="preserve"> </w:t>
      </w:r>
      <w:r>
        <w:t xml:space="preserve">at 40 cGy: in wild type</w:t>
      </w:r>
      <w:r>
        <w:t xml:space="preserve"> </w:t>
      </w:r>
      <w:r>
        <w:t xml:space="preserve">the SOG1 arm reaches 0.176 and the MYB3R arm -1.007, for an index of</w:t>
      </w:r>
      <w:r>
        <w:t xml:space="preserve"> </w:t>
      </w:r>
      <w:r>
        <w:t xml:space="preserve">-1.007 against a threshold of 1.96 (Figure </w:t>
      </w:r>
      <w:hyperlink w:anchor="fig:brapa">
        <w:r>
          <w:rPr>
            <w:rStyle w:val="Hyperlink"/>
          </w:rPr>
          <w:t xml:space="preserve">14</w:t>
        </w:r>
      </w:hyperlink>
      <w:r>
        <w:t xml:space="preserve">A). Read alone that</w:t>
      </w:r>
      <w:r>
        <w:t xml:space="preserve"> </w:t>
      </w:r>
      <w:r>
        <w:t xml:space="preserve">looks like a clean cross-species negative. Two controls show it cannot be read alone.</w:t>
      </w:r>
    </w:p>
    <w:p>
      <w:pPr>
        <w:pStyle w:val="BodyText"/>
      </w:pPr>
      <w:r>
        <w:t xml:space="preserve">First, a signature derived from the</w:t>
      </w:r>
      <w:r>
        <w:t xml:space="preserve"> </w:t>
      </w:r>
      <w:r>
        <w:rPr>
          <w:i/>
          <w:iCs/>
        </w:rPr>
        <w:t xml:space="preserve">B. rapa</w:t>
      </w:r>
      <w:r>
        <w:t xml:space="preserve"> </w:t>
      </w:r>
      <w:r>
        <w:t xml:space="preserve">data itself fails its positive</w:t>
      </w:r>
      <w:r>
        <w:t xml:space="preserve"> </w:t>
      </w:r>
      <w:r>
        <w:t xml:space="preserve">control. Scoring 85 contrasts across 39 OSDR</w:t>
      </w:r>
      <w:r>
        <w:t xml:space="preserve"> </w:t>
      </w:r>
      <w:r>
        <w:t xml:space="preserve">studies, it detects 0 of 12 labelled irradiations,</w:t>
      </w:r>
      <w:r>
        <w:t xml:space="preserve"> </w:t>
      </w:r>
      <w:r>
        <w:t xml:space="preserve">and scores</w:t>
      </w:r>
      <w:r>
        <w:t xml:space="preserve"> </w:t>
      </w:r>
      <w:r>
        <w:rPr>
          <w:i/>
          <w:iCs/>
        </w:rPr>
        <w:t xml:space="preserve">worst of all</w:t>
      </w:r>
      <w:r>
        <w:t xml:space="preserve"> </w:t>
      </w:r>
      <w:r>
        <w:t xml:space="preserve">on a 100 Gy gamma exposure (-3.075;</w:t>
      </w:r>
      <w:r>
        <w:t xml:space="preserve"> </w:t>
      </w:r>
      <w:r>
        <w:t xml:space="preserve">Figure </w:t>
      </w:r>
      <w:hyperlink w:anchor="fig:brapa">
        <w:r>
          <w:rPr>
            <w:rStyle w:val="Hyperlink"/>
          </w:rPr>
          <w:t xml:space="preserve">14</w:t>
        </w:r>
      </w:hyperlink>
      <w:r>
        <w:t xml:space="preserve">B). A signature that cannot see 100 Gy tells us nothing by failing to</w:t>
      </w:r>
      <w:r>
        <w:t xml:space="preserve"> </w:t>
      </w:r>
      <w:r>
        <w:t xml:space="preserve">see spaceflight, so its null across the flight corpus is a failed instrument rather than a</w:t>
      </w:r>
      <w:r>
        <w:t xml:space="preserve"> </w:t>
      </w:r>
      <w:r>
        <w:t xml:space="preserve">result.</w:t>
      </w:r>
    </w:p>
    <w:p>
      <w:pPr>
        <w:pStyle w:val="BodyText"/>
      </w:pPr>
      <w:r>
        <w:t xml:space="preserve">Second, the gene-level cross-species comparison has no power, and the reason is</w:t>
      </w:r>
      <w:r>
        <w:t xml:space="preserve"> </w:t>
      </w:r>
      <w:r>
        <w:t xml:space="preserve">measurable. Splitting each contrast against itself gives a reliability of 0.0792</w:t>
      </w:r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B. rapa</w:t>
      </w:r>
      <w:r>
        <w:t xml:space="preserve"> </w:t>
      </w:r>
      <w:r>
        <w:t xml:space="preserve">and 0.0062 for OSD-658 — that is, the OSD-658 40 cGy</w:t>
      </w:r>
      <w:r>
        <w:t xml:space="preserve"> </w:t>
      </w:r>
      <w:r>
        <w:t xml:space="preserve">contrast does not reproduce itself. Classical attenuation caps any correlation between two</w:t>
      </w:r>
      <w:r>
        <w:t xml:space="preserve"> </w:t>
      </w:r>
      <w:r>
        <w:t xml:space="preserve">such contrasts at 0.0222. The observed cross-species value over</w:t>
      </w:r>
      <w:r>
        <w:t xml:space="preserve"> </w:t>
      </w:r>
      <w:r>
        <w:t xml:space="preserve">13</w:t>
      </w:r>
      <w:r>
        <w:t xml:space="preserve">,</w:t>
      </w:r>
      <w:r>
        <w:t xml:space="preserve">565 shared orthologs is -0.0485, which is what that cap predicts</w:t>
      </w:r>
      <w:r>
        <w:t xml:space="preserve"> </w:t>
      </w:r>
      <w:r>
        <w:t xml:space="preserve">whatever the underlying biology does (Figure </w:t>
      </w:r>
      <w:hyperlink w:anchor="fig:brapa">
        <w:r>
          <w:rPr>
            <w:rStyle w:val="Hyperlink"/>
          </w:rPr>
          <w:t xml:space="preserve">14</w:t>
        </w:r>
      </w:hyperlink>
      <w:r>
        <w:t xml:space="preserve">C). This says nothing about</w:t>
      </w:r>
      <w:r>
        <w:t xml:space="preserve"> </w:t>
      </w:r>
      <w:r>
        <w:t xml:space="preserve">whether the DNA-damage response is conserved; it says these two datasets cannot be compared</w:t>
      </w:r>
      <w:r>
        <w:t xml:space="preserve"> </w:t>
      </w:r>
      <w:r>
        <w:t xml:space="preserve">gene by gene.</w:t>
      </w:r>
    </w:p>
    <w:p>
      <w:pPr>
        <w:pStyle w:val="BodyText"/>
      </w:pPr>
      <w:r>
        <w:t xml:space="preserve">The contrast between the three results is itself the useful finding. Rank-based scoring</w:t>
      </w:r>
      <w:r>
        <w:t xml:space="preserve"> </w:t>
      </w:r>
      <w:r>
        <w:t xml:space="preserve">over hundreds of genes survives noise that destroys per-gene correlation, which is why the</w:t>
      </w:r>
      <w:r>
        <w:t xml:space="preserve"> </w:t>
      </w:r>
      <w:r>
        <w:t xml:space="preserve">decoder result is readable while the concordance test is not. A cross-species radiation</w:t>
      </w:r>
      <w:r>
        <w:t xml:space="preserve"> </w:t>
      </w:r>
      <w:r>
        <w:t xml:space="preserve">screen is a reasonable idea, but it needs contrasts that reproduce themselves: more</w:t>
      </w:r>
      <w:r>
        <w:t xml:space="preserve"> </w:t>
      </w:r>
      <w:r>
        <w:t xml:space="preserve">biological replication per dose arm, and matched harvest timing, before the comparison is</w:t>
      </w:r>
      <w:r>
        <w:t xml:space="preserve"> </w:t>
      </w:r>
      <w:r>
        <w:t xml:space="preserve">worth repeating.</w:t>
      </w:r>
    </w:p>
    <w:bookmarkStart w:id="97" w:name="fig:brapa"/>
    <w:p>
      <w:pPr>
        <w:pStyle w:val="CaptionedFigure"/>
      </w:pPr>
      <w:r>
        <w:drawing>
          <wp:inline>
            <wp:extent cx="5334000" cy="1688532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../figures/fig14_brapa_aims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Cross-species testing against a</w:t>
      </w:r>
      <w:r>
        <w:t xml:space="preserve"> </w:t>
      </w:r>
      <w:r>
        <w:rPr>
          <w:i/>
          <w:iCs/>
        </w:rPr>
        <w:t xml:space="preserve">B. rapa</w:t>
      </w:r>
      <w:r>
        <w:t xml:space="preserve"> </w:t>
      </w:r>
      <w:r>
        <w:t xml:space="preserve">simulated-GCR experiment.</w:t>
      </w:r>
      <w:r>
        <w:t xml:space="preserve"> </w:t>
      </w:r>
      <w:r>
        <w:rPr>
          <w:b/>
          <w:bCs/>
        </w:rPr>
        <w:t xml:space="preserve">A</w:t>
      </w:r>
      <w:r>
        <w:t xml:space="preserve">. The Arabidopsis-trained decoder does not fire at 40 cGy in either genotype.</w:t>
      </w:r>
      <w:r>
        <w:t xml:space="preserve"> </w:t>
      </w:r>
      <w:r>
        <w:rPr>
          <w:b/>
          <w:bCs/>
        </w:rPr>
        <w:t xml:space="preserve">B</w:t>
      </w:r>
      <w:r>
        <w:t xml:space="preserve">. A</w:t>
      </w:r>
      <w:r>
        <w:t xml:space="preserve"> </w:t>
      </w:r>
      <w:r>
        <w:rPr>
          <w:i/>
          <w:iCs/>
        </w:rPr>
        <w:t xml:space="preserve">B. rapa</w:t>
      </w:r>
      <w:r>
        <w:t xml:space="preserve">-native signature fails its positive control: the labelled</w:t>
      </w:r>
      <w:r>
        <w:t xml:space="preserve"> </w:t>
      </w:r>
      <w:r>
        <w:t xml:space="preserve">irradiations (diamonds) are scattered through the ranking rather than at its top.</w:t>
      </w:r>
      <w:r>
        <w:t xml:space="preserve"> </w:t>
      </w:r>
      <w:r>
        <w:rPr>
          <w:b/>
          <w:bCs/>
        </w:rPr>
        <w:t xml:space="preserve">C</w:t>
      </w:r>
      <w:r>
        <w:t xml:space="preserve">. Neither contrast reproduces itself, so the attenuation cap on any cross-species</w:t>
      </w:r>
      <w:r>
        <w:t xml:space="preserve"> </w:t>
      </w:r>
      <w:r>
        <w:t xml:space="preserve">correlation is near zero and the observed value carries no information.</w:t>
      </w:r>
    </w:p>
    <w:bookmarkEnd w:id="97"/>
    <w:bookmarkEnd w:id="98"/>
    <w:bookmarkEnd w:id="99"/>
    <w:bookmarkStart w:id="103" w:name="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We set out to make a single-cell atlas act on a DREM model rather than on its</w:t>
      </w:r>
      <w:r>
        <w:t xml:space="preserve"> </w:t>
      </w:r>
      <w:r>
        <w:t xml:space="preserve">annotation. The mechanism turns out to require no change to the engine: DREM’s TF–gene</w:t>
      </w:r>
      <w:r>
        <w:t xml:space="preserve"> </w:t>
      </w:r>
      <w:r>
        <w:t xml:space="preserve">input already accepts a score, and cell-type context is a legitimate thing to put there.</w:t>
      </w:r>
      <w:r>
        <w:t xml:space="preserve"> </w:t>
      </w:r>
      <w:r>
        <w:t xml:space="preserve">That keeps the result citable as DREM rather than as a reimplementation, and it means the</w:t>
      </w:r>
      <w:r>
        <w:t xml:space="preserve"> </w:t>
      </w:r>
      <w:r>
        <w:t xml:space="preserve">same lever is available to any DREM or iDREM user with a matching atlas.</w:t>
      </w:r>
    </w:p>
    <w:p>
      <w:pPr>
        <w:pStyle w:val="BodyText"/>
      </w:pPr>
      <w:r>
        <w:t xml:space="preserve">Three findings are worth separating from the method.</w:t>
      </w:r>
    </w:p>
    <w:p>
      <w:pPr>
        <w:pStyle w:val="BodyText"/>
      </w:pPr>
      <w:r>
        <w:t xml:space="preserve">First, provenance discipline changes what a</w:t>
      </w:r>
      <w:r>
        <w:t xml:space="preserve"> </w:t>
      </w:r>
      <w:r>
        <w:t xml:space="preserve">“cross-study”</w:t>
      </w:r>
      <w:r>
        <w:t xml:space="preserve"> </w:t>
      </w:r>
      <w:r>
        <w:t xml:space="preserve">claim means. The densest part</w:t>
      </w:r>
      <w:r>
        <w:t xml:space="preserve"> </w:t>
      </w:r>
      <w:r>
        <w:t xml:space="preserve">of our irradiation series is one experiment deposited under three accessions. Assembling</w:t>
      </w:r>
      <w:r>
        <w:t xml:space="preserve"> </w:t>
      </w:r>
      <w:r>
        <w:t xml:space="preserve">it is useful — it is how the 10 and 45 min timepoints join the 24-h course — but it is</w:t>
      </w:r>
      <w:r>
        <w:t xml:space="preserve"> </w:t>
      </w:r>
      <w:r>
        <w:t xml:space="preserve">re-assembly, not integration, and describing it otherwise would overstate the result.</w:t>
      </w:r>
      <w:r>
        <w:t xml:space="preserve"> </w:t>
      </w:r>
      <w:r>
        <w:t xml:space="preserve">Genuine cross-study integration here is OSD-782, and OSD-782 is where the design is</w:t>
      </w:r>
      <w:r>
        <w:t xml:space="preserve"> </w:t>
      </w:r>
      <w:r>
        <w:t xml:space="preserve">weakest, because it crosses a dose regime.</w:t>
      </w:r>
    </w:p>
    <w:p>
      <w:pPr>
        <w:pStyle w:val="BodyText"/>
      </w:pPr>
      <w:r>
        <w:t xml:space="preserve">Second, a regulatory prior’s gaps are invisible in its output. DAP-seq is the standard</w:t>
      </w:r>
      <w:r>
        <w:t xml:space="preserve"> </w:t>
      </w:r>
      <w:r>
        <w:rPr>
          <w:i/>
          <w:iCs/>
        </w:rPr>
        <w:t xml:space="preserve">Arabidopsis</w:t>
      </w:r>
      <w:r>
        <w:t xml:space="preserve"> </w:t>
      </w:r>
      <w:r>
        <w:t xml:space="preserve">binding resource and does not contain SOG1. A DREM model of the</w:t>
      </w:r>
      <w:r>
        <w:t xml:space="preserve"> </w:t>
      </w:r>
      <w:r>
        <w:t xml:space="preserve">DNA-damage response built on it would have produced a complete, plausible, entirely</w:t>
      </w:r>
      <w:r>
        <w:t xml:space="preserve"> </w:t>
      </w:r>
      <w:r>
        <w:t xml:space="preserve">SOG1-free attribution. Nothing in the model would have signalled the omission. We now</w:t>
      </w:r>
      <w:r>
        <w:t xml:space="preserve"> </w:t>
      </w:r>
      <w:r>
        <w:t xml:space="preserve">check the presence of the regulators a conclusion depends on as a routine step, and we</w:t>
      </w:r>
      <w:r>
        <w:t xml:space="preserve"> </w:t>
      </w:r>
      <w:r>
        <w:t xml:space="preserve">suggest others do the same.</w:t>
      </w:r>
    </w:p>
    <w:p>
      <w:pPr>
        <w:pStyle w:val="BodyText"/>
      </w:pPr>
      <w:r>
        <w:t xml:space="preserve">Third, the atlas informs a minority of edges, and that is the correct behaviour rather</w:t>
      </w:r>
      <w:r>
        <w:t xml:space="preserve"> </w:t>
      </w:r>
      <w:r>
        <w:t xml:space="preserve">than a shortfall. The signature matrix covers highly variable genes — the genes whose</w:t>
      </w:r>
      <w:r>
        <w:t xml:space="preserve"> </w:t>
      </w:r>
      <w:r>
        <w:t xml:space="preserve">expression distinguishes cell types. A TF outside that set has a near-uniform profile</w:t>
      </w:r>
      <w:r>
        <w:t xml:space="preserve"> </w:t>
      </w:r>
      <w:r>
        <w:t xml:space="preserve">across the 183 clusters, so cell-type context has nothing to say about it</w:t>
      </w:r>
      <w:r>
        <w:t xml:space="preserve"> </w:t>
      </w:r>
      <w:r>
        <w:t xml:space="preserve">and its edge should be left alone. The lever moves exactly the edges where cell-type</w:t>
      </w:r>
      <w:r>
        <w:t xml:space="preserve"> </w:t>
      </w:r>
      <w:r>
        <w:t xml:space="preserve">information exists.</w:t>
      </w:r>
    </w:p>
    <w:p>
      <w:pPr>
        <w:pStyle w:val="BodyText"/>
      </w:pPr>
      <w:r>
        <w:t xml:space="preserve">The spaceflight analysis sharpens what the decoder could only suggest. No DREM</w:t>
      </w:r>
      <w:r>
        <w:t xml:space="preserve"> </w:t>
      </w:r>
      <w:r>
        <w:t xml:space="preserve">transcription factor is significantly altered in flight, while 54</w:t>
      </w:r>
      <w:r>
        <w:t xml:space="preserve"> </w:t>
      </w:r>
      <w:r>
        <w:t xml:space="preserve">differ significantly between flight and irradiation and a classifier separates the two at</w:t>
      </w:r>
      <w:r>
        <w:t xml:space="preserve"> </w:t>
      </w:r>
      <w:r>
        <w:t xml:space="preserve">AUC 0.9927 — so the absence is a measurement, not a limit of power. Nor is flight a</w:t>
      </w:r>
      <w:r>
        <w:t xml:space="preserve"> </w:t>
      </w:r>
      <w:r>
        <w:t xml:space="preserve">time-shifted radiation response: irradiation traces the DREM trajectory to a peak at</w:t>
      </w:r>
      <w:r>
        <w:t xml:space="preserve"> </w:t>
      </w:r>
      <w:r>
        <w:t xml:space="preserve">45 min while flight is flat across it.</w:t>
      </w:r>
    </w:p>
    <w:p>
      <w:pPr>
        <w:pStyle w:val="BodyText"/>
      </w:pPr>
      <w:r>
        <w:t xml:space="preserve">That matters for how spaceflight radiation risk is inferred from transcriptomics. The</w:t>
      </w:r>
      <w:r>
        <w:t xml:space="preserve"> </w:t>
      </w:r>
      <w:r>
        <w:t xml:space="preserve">ionising dose accumulated in low Earth orbit over these missions does not produce the</w:t>
      </w:r>
      <w:r>
        <w:t xml:space="preserve"> </w:t>
      </w:r>
      <w:r>
        <w:t xml:space="preserve">transcriptional signature that acute</w:t>
      </w:r>
      <w:r>
        <w:t xml:space="preserve"> </w:t>
      </w:r>
      <m:oMath>
        <m:r>
          <m:t>γ</m:t>
        </m:r>
      </m:oMath>
      <w:r>
        <w:t xml:space="preserve">-irradiation produces in the same species and</w:t>
      </w:r>
      <w:r>
        <w:t xml:space="preserve"> </w:t>
      </w:r>
      <w:r>
        <w:t xml:space="preserve">the same tissue, at any point on a trajectory spanning 10 minutes to 24 hours. Absence of</w:t>
      </w:r>
      <w:r>
        <w:t xml:space="preserve"> </w:t>
      </w:r>
      <w:r>
        <w:t xml:space="preserve">the signature is not absence of damage — transcription is a poor dosimeter at low dose</w:t>
      </w:r>
      <w:r>
        <w:t xml:space="preserve"> </w:t>
      </w:r>
      <w:r>
        <w:t xml:space="preserve">rates, and our own decoder fails to detect 10 cGy delivered acutely — but it does bound</w:t>
      </w:r>
      <w:r>
        <w:t xml:space="preserve"> </w:t>
      </w:r>
      <w:r>
        <w:t xml:space="preserve">what a transcriptomic radiation biomarker can be expected to report from a LEO mission.</w:t>
      </w:r>
    </w:p>
    <w:bookmarkStart w:id="100" w:name="Xb1cdfca0827e0386d6ec80b7947b2ff8fbbbb2d"/>
    <w:p>
      <w:pPr>
        <w:pStyle w:val="Heading2"/>
      </w:pPr>
      <w:r>
        <w:t xml:space="preserve">Do ISS plants carry radiation-damage biomarkers?</w:t>
      </w:r>
    </w:p>
    <w:p>
      <w:pPr>
        <w:pStyle w:val="FirstParagraph"/>
      </w:pPr>
      <w:r>
        <w:t xml:space="preserve">On the evidence assembled here, no. Across 41 flight and</w:t>
      </w:r>
      <w:r>
        <w:t xml:space="preserve"> </w:t>
      </w:r>
      <w:r>
        <w:t xml:space="preserve">altered-gravity contrasts spanning 14 mission groups, one contrast crosses the</w:t>
      </w:r>
      <w:r>
        <w:t xml:space="preserve"> </w:t>
      </w:r>
      <w:r>
        <w:t xml:space="preserve">threshold of the coordinated SOG1/MYB3R index — the 0.38 g centrifuge level of OSD-346,</w:t>
      </w:r>
      <w:r>
        <w:t xml:space="preserve"> </w:t>
      </w:r>
      <w:r>
        <w:t xml:space="preserve">not reproduced by its neighbouring gravity levels and provisional pending a re-score of</w:t>
      </w:r>
      <w:r>
        <w:t xml:space="preserve"> </w:t>
      </w:r>
      <w:r>
        <w:t xml:space="preserve">that study’s controls — no DREM transcription factor is altered at 5% FDR, and the</w:t>
      </w:r>
      <w:r>
        <w:t xml:space="preserve"> </w:t>
      </w:r>
      <w:r>
        <w:t xml:space="preserve">TF-activity profile of flight matches no phase of the radiation trajectory. Current</w:t>
      </w:r>
      <w:r>
        <w:t xml:space="preserve"> </w:t>
      </w:r>
      <w:r>
        <w:t xml:space="preserve">ISS plant transcriptomes carry no detectable radiation-damage biomarker as this analysis</w:t>
      </w:r>
      <w:r>
        <w:t xml:space="preserve"> </w:t>
      </w:r>
      <w:r>
        <w:t xml:space="preserve">defines one.</w:t>
      </w:r>
    </w:p>
    <w:p>
      <w:pPr>
        <w:pStyle w:val="BodyText"/>
      </w:pPr>
      <w:r>
        <w:t xml:space="preserve">The reach of that statement is set by the dose it was measured at, and stating it makes</w:t>
      </w:r>
      <w:r>
        <w:t xml:space="preserve"> </w:t>
      </w:r>
      <w:r>
        <w:t xml:space="preserve">the claim stronger rather than weaker. The assay’s diagnostic arm requires</w:t>
      </w:r>
      <w:r>
        <w:t xml:space="preserve"> </w:t>
      </w:r>
      <w:r>
        <w:t xml:space="preserve">40 cGy and fails at 10 cGy; ISS missions in this corpus</w:t>
      </w:r>
      <w:r>
        <w:t xml:space="preserve"> </w:t>
      </w:r>
      <w:r>
        <w:t xml:space="preserve">deliver 0.39–2.485 cGy, 4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below the dose that</w:t>
      </w:r>
      <w:r>
        <w:t xml:space="preserve"> </w:t>
      </w:r>
      <w:r>
        <w:t xml:space="preserve">already produces nothing, at a dose rate some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times lower. A</w:t>
      </w:r>
      <w:r>
        <w:t xml:space="preserve"> </w:t>
      </w:r>
      <w:r>
        <w:t xml:space="preserve">transcriptional null at that exposure is what the assay predicts, and it therefore bounds</w:t>
      </w:r>
      <w:r>
        <w:t xml:space="preserve"> </w:t>
      </w:r>
      <w:r>
        <w:t xml:space="preserve">the ISS radiation effect below our floor rather than demonstrating that no damage occurs.</w:t>
      </w:r>
      <w:r>
        <w:t xml:space="preserve"> </w:t>
      </w:r>
      <w:r>
        <w:t xml:space="preserve">Transcription is a poor dosimeter at ISS dose rates, where repair keeps pace with damage</w:t>
      </w:r>
      <w:r>
        <w:t xml:space="preserve"> </w:t>
      </w:r>
      <w:r>
        <w:t xml:space="preserve">and no acute programme is triggered.</w:t>
      </w:r>
    </w:p>
    <w:p>
      <w:pPr>
        <w:pStyle w:val="BodyText"/>
      </w:pPr>
      <w:r>
        <w:t xml:space="preserve">One design objection deserves a direct answer: most OSDR flight contrasts confound</w:t>
      </w:r>
      <w:r>
        <w:t xml:space="preserve"> </w:t>
      </w:r>
      <w:r>
        <w:t xml:space="preserve">weightlessness with the rest of the mission, so an absent radiation signature could in</w:t>
      </w:r>
      <w:r>
        <w:t xml:space="preserve"> </w:t>
      </w:r>
      <w:r>
        <w:t xml:space="preserve">principle mean a microgravity response was masking one. OSD-251 and OSD-346 already supply</w:t>
      </w:r>
      <w:r>
        <w:t xml:space="preserve"> </w:t>
      </w:r>
      <w:r>
        <w:t xml:space="preserve">in-flight 1 g centrifuge contrasts, which isolate weightlessness and partial gravity with</w:t>
      </w:r>
      <w:r>
        <w:t xml:space="preserve"> </w:t>
      </w:r>
      <w:r>
        <w:t xml:space="preserve">radiation held constant, but they have no ground arm. The Shenzhou-8 experiment, which</w:t>
      </w:r>
      <w:r>
        <w:t xml:space="preserve"> </w:t>
      </w:r>
      <w:r>
        <w:t xml:space="preserve">carried an in-flight 1 g centrifuge and a ground control, lets the full split be checked. Separating the mission into a</w:t>
      </w:r>
      <w:r>
        <w:t xml:space="preserve"> </w:t>
      </w:r>
      <w:r>
        <w:t xml:space="preserve">non-microgravity term and a microgravity term leaves the radiation index below threshold in</w:t>
      </w:r>
      <w:r>
        <w:t xml:space="preserve"> </w:t>
      </w:r>
      <w:r>
        <w:t xml:space="preserve">both (-2.021 and -7.327), so the flight null is not an artefact of</w:t>
      </w:r>
      <w:r>
        <w:t xml:space="preserve"> </w:t>
      </w:r>
      <w:r>
        <w:t xml:space="preserve">the confound. It is also no more than a consistency check, since that mission’s</w:t>
      </w:r>
      <w:r>
        <w:t xml:space="preserve"> </w:t>
      </w:r>
      <w:r>
        <w:t xml:space="preserve">0.177 cGy sits far below the assay’s floor and predicts a null on dose alone.</w:t>
      </w:r>
      <w:r>
        <w:t xml:space="preserve"> </w:t>
      </w:r>
      <w:r>
        <w:t xml:space="preserve">What the decomposition does show is that the confound is real for other quantities: the</w:t>
      </w:r>
      <w:r>
        <w:t xml:space="preserve"> </w:t>
      </w:r>
      <w:r>
        <w:t xml:space="preserve">MYB3R/G2–M arm moves in opposite directions in the two terms and nearly cancels when they</w:t>
      </w:r>
      <w:r>
        <w:t xml:space="preserve"> </w:t>
      </w:r>
      <w:r>
        <w:t xml:space="preserve">are summed. An absent signal in a flight-versus-ground contrast can therefore be a</w:t>
      </w:r>
      <w:r>
        <w:t xml:space="preserve"> </w:t>
      </w:r>
      <w:r>
        <w:t xml:space="preserve">cancellation rather than a quiet pathway, and only an in-flight 1 g control can tell the</w:t>
      </w:r>
      <w:r>
        <w:t xml:space="preserve"> </w:t>
      </w:r>
      <w:r>
        <w:t xml:space="preserve">two apart. In the ISS corpus that control exists only in OSD-251 and OSD-346, which lack a</w:t>
      </w:r>
      <w:r>
        <w:t xml:space="preserve"> </w:t>
      </w:r>
      <w:r>
        <w:t xml:space="preserve">ground arm, so the non-microgravity half of the decomposition rests on Shenzhou-8 alone.</w:t>
      </w:r>
    </w:p>
    <w:p>
      <w:pPr>
        <w:pStyle w:val="BodyText"/>
      </w:pPr>
      <w:r>
        <w:t xml:space="preserve">Two consequences follow for practice. A transcriptomic radiation biomarker developed on</w:t>
      </w:r>
      <w:r>
        <w:t xml:space="preserve"> </w:t>
      </w:r>
      <w:r>
        <w:t xml:space="preserve">acute ground irradiation should not be expected to report LEO exposure, and its absence in</w:t>
      </w:r>
      <w:r>
        <w:t xml:space="preserve"> </w:t>
      </w:r>
      <w:r>
        <w:t xml:space="preserve">flight data should not be read as evidence of radiation safety. And if a radiation</w:t>
      </w:r>
      <w:r>
        <w:t xml:space="preserve"> </w:t>
      </w:r>
      <w:r>
        <w:t xml:space="preserve">signature is ever wanted from flight material, it will have to come from an assay with a</w:t>
      </w:r>
      <w:r>
        <w:t xml:space="preserve"> </w:t>
      </w:r>
      <w:r>
        <w:t xml:space="preserve">floor two orders of magnitude below this one — direct damage markers such as</w:t>
      </w:r>
      <w:r>
        <w:t xml:space="preserve"> </w:t>
      </w:r>
      <m:oMath>
        <m:r>
          <m:t>γ</m:t>
        </m:r>
      </m:oMath>
      <w:r>
        <w:t xml:space="preserve">-H2AX foci or mutation accumulation, rather than steady-state transcript</w:t>
      </w:r>
      <w:r>
        <w:t xml:space="preserve"> </w:t>
      </w:r>
      <w:r>
        <w:t xml:space="preserve">abundance.</w:t>
      </w:r>
    </w:p>
    <w:bookmarkEnd w:id="100"/>
    <w:bookmarkStart w:id="101" w:name="X5acbd6afb8cc65a09bd565fef06ddb63788fc7f"/>
    <w:p>
      <w:pPr>
        <w:pStyle w:val="Heading2"/>
      </w:pPr>
      <w:r>
        <w:t xml:space="preserve">Why terrestrial irradiation did not predict the flight response</w:t>
      </w:r>
    </w:p>
    <w:p>
      <w:pPr>
        <w:pStyle w:val="FirstParagraph"/>
      </w:pPr>
      <w:r>
        <w:t xml:space="preserve">Three explanations were available for the flight null, and the data separate them.</w:t>
      </w:r>
    </w:p>
    <w:p>
      <w:pPr>
        <w:pStyle w:val="BodyText"/>
      </w:pPr>
      <w:r>
        <w:rPr>
          <w:b/>
          <w:bCs/>
        </w:rPr>
        <w:t xml:space="preserve">Radiation quality is not demonstrably the reason, but neither is it excluded.</w:t>
      </w:r>
      <w:r>
        <w:t xml:space="preserve"> </w:t>
      </w:r>
      <w:r>
        <w:t xml:space="preserve">The</w:t>
      </w:r>
      <w:r>
        <w:t xml:space="preserve"> </w:t>
      </w:r>
      <w:r>
        <w:t xml:space="preserve">matched within-study comparison of gamma against Fe-56 HZE ions places the difference</w:t>
      </w:r>
      <w:r>
        <w:t xml:space="preserve"> </w:t>
      </w:r>
      <w:r>
        <w:t xml:space="preserve">inside the range of variation between pairs of gamma-irradiation contrasts from different</w:t>
      </w:r>
      <w:r>
        <w:t xml:space="preserve"> </w:t>
      </w:r>
      <w:r>
        <w:t xml:space="preserve">accessions (15 pairs, six of which come from the single Bourbousse</w:t>
      </w:r>
      <w:r>
        <w:t xml:space="preserve"> </w:t>
      </w:r>
      <w:r>
        <w:t xml:space="preserve">experiment).</w:t>
      </w:r>
      <w:r>
        <w:t xml:space="preserve"> </w:t>
      </w:r>
      <w:r>
        <w:t xml:space="preserve">That comparison, however, has little power: two accessions of the same published</w:t>
      </w:r>
      <w:r>
        <w:t xml:space="preserve"> </w:t>
      </w:r>
      <w:r>
        <w:t xml:space="preserve">experiment correlate at 0.045, so the reproducibility floor of the</w:t>
      </w:r>
      <w:r>
        <w:t xml:space="preserve"> </w:t>
      </w:r>
      <w:r>
        <w:t xml:space="preserve">measurement is close to the effect being sought. We expected quality to matter and</w:t>
      </w:r>
      <w:r>
        <w:t xml:space="preserve"> </w:t>
      </w:r>
      <w:r>
        <w:t xml:space="preserve">pre-registered a test that did not support it; we report it as an unresolved question</w:t>
      </w:r>
      <w:r>
        <w:t xml:space="preserve"> </w:t>
      </w:r>
      <w:r>
        <w:t xml:space="preserve">rather than as a refutation. Every quality tested does fire the same conserved DNA-damage</w:t>
      </w:r>
      <w:r>
        <w:t xml:space="preserve"> </w:t>
      </w:r>
      <w:r>
        <w:t xml:space="preserve">core.</w:t>
      </w:r>
    </w:p>
    <w:p>
      <w:pPr>
        <w:pStyle w:val="BodyText"/>
      </w:pPr>
      <w:r>
        <w:rPr>
          <w:b/>
          <w:bCs/>
        </w:rPr>
        <w:t xml:space="preserve">Dose is the reason.</w:t>
      </w:r>
      <w:r>
        <w:t xml:space="preserve"> </w:t>
      </w:r>
      <w:r>
        <w:t xml:space="preserve">The model was trained on 6-day seedlings given</w:t>
      </w:r>
      <w:r>
        <w:t xml:space="preserve"> </w:t>
      </w:r>
      <w:r>
        <w:t xml:space="preserve">100 Gy of Co-60 in ten minutes. An ISS plant experiment receives</w:t>
      </w:r>
      <w:r>
        <w:t xml:space="preserve"> </w:t>
      </w:r>
      <w:r>
        <w:t xml:space="preserve">0.39–2.485 cGy over one to ten weeks: roughly 4024 times</w:t>
      </w:r>
      <w:r>
        <w:t xml:space="preserve"> </w:t>
      </w:r>
      <w:r>
        <w:t xml:space="preserve">less dose, delivered some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 </w:t>
      </w:r>
      <w:r>
        <w:t xml:space="preserve">times more slowly. The gap is not marginal, and</w:t>
      </w:r>
      <w:r>
        <w:t xml:space="preserve"> </w:t>
      </w:r>
      <w:r>
        <w:t xml:space="preserve">no signature calibrated at that exposure could be expected to report this one.</w:t>
      </w:r>
    </w:p>
    <w:p>
      <w:pPr>
        <w:pStyle w:val="BodyText"/>
      </w:pPr>
      <w:r>
        <w:rPr>
          <w:b/>
          <w:bCs/>
        </w:rPr>
        <w:t xml:space="preserve">And the ISS is the wrong place to look for it.</w:t>
      </w:r>
      <w:r>
        <w:t xml:space="preserve"> </w:t>
      </w:r>
      <w:r>
        <w:t xml:space="preserve">That the flight dose is small is</w:t>
      </w:r>
      <w:r>
        <w:t xml:space="preserve"> </w:t>
      </w:r>
      <w:r>
        <w:t xml:space="preserve">not an accident of mission length; it is what the Earth’s magnetic field does. The station</w:t>
      </w:r>
      <w:r>
        <w:t xml:space="preserve"> </w:t>
      </w:r>
      <w:r>
        <w:t xml:space="preserve">orbits deep inside the magnetosphere, where the geomagnetic cutoff deflects lower-rigidity</w:t>
      </w:r>
      <w:r>
        <w:t xml:space="preserve"> </w:t>
      </w:r>
      <w:r>
        <w:t xml:space="preserve">particles and the residual exposure is dominated by trapped protons encountered in the</w:t>
      </w:r>
      <w:r>
        <w:t xml:space="preserve"> </w:t>
      </w:r>
      <w:r>
        <w:t xml:space="preserve">South Atlantic Anomaly together with a strongly modulated galactic cosmic-ray component</w:t>
      </w:r>
      <w:r>
        <w:t xml:space="preserve"> </w:t>
      </w:r>
      <w:r>
        <w:t xml:space="preserve">(Reitz 2008)</w:t>
      </w:r>
      <w:r>
        <w:t xml:space="preserve">. Beyond the magnetosphere that protection is absent, and measurements</w:t>
      </w:r>
      <w:r>
        <w:t xml:space="preserve"> </w:t>
      </w:r>
      <w:r>
        <w:t xml:space="preserve">from Earth to lunar distance during Artemis-I show how different the field becomes</w:t>
      </w:r>
      <w:r>
        <w:t xml:space="preserve"> </w:t>
      </w:r>
      <w:r>
        <w:t xml:space="preserve">(Slaba et al. 2025)</w:t>
      </w:r>
      <w:r>
        <w:t xml:space="preserve">.</w:t>
      </w:r>
    </w:p>
    <w:p>
      <w:pPr>
        <w:pStyle w:val="BodyText"/>
      </w:pPr>
      <w:r>
        <w:t xml:space="preserve">The inversion is worth stating plainly, because it runs against the intuition that</w:t>
      </w:r>
      <w:r>
        <w:t xml:space="preserve"> </w:t>
      </w:r>
      <w:r>
        <w:t xml:space="preserve">spaceflight data are the gold standard for space radiation biology. For</w:t>
      </w:r>
      <w:r>
        <w:t xml:space="preserve"> </w:t>
      </w:r>
      <w:r>
        <w:rPr>
          <w:i/>
          <w:iCs/>
        </w:rPr>
        <w:t xml:space="preserve">radiation</w:t>
      </w:r>
      <w:r>
        <w:t xml:space="preserve"> </w:t>
      </w:r>
      <w:r>
        <w:t xml:space="preserve">specifically, low Earth orbit is a poor analogue of deep space — it is a shielded</w:t>
      </w:r>
      <w:r>
        <w:t xml:space="preserve"> </w:t>
      </w:r>
      <w:r>
        <w:t xml:space="preserve">environment — and a ground-based mixed-field simulator such as NSRL may model the</w:t>
      </w:r>
      <w:r>
        <w:t xml:space="preserve"> </w:t>
      </w:r>
      <w:r>
        <w:t xml:space="preserve">deep-space particle spectrum considerably better than the ISS does. A negative radiation</w:t>
      </w:r>
      <w:r>
        <w:t xml:space="preserve"> </w:t>
      </w:r>
      <w:r>
        <w:t xml:space="preserve">result from ISS plants is therefore evidence about low Earth orbit, and carries little</w:t>
      </w:r>
      <w:r>
        <w:t xml:space="preserve"> </w:t>
      </w:r>
      <w:r>
        <w:t xml:space="preserve">information about the exposures a Mars transit would impose.</w:t>
      </w:r>
    </w:p>
    <w:bookmarkEnd w:id="101"/>
    <w:bookmarkStart w:id="102" w:name="limitations"/>
    <w:p>
      <w:pPr>
        <w:pStyle w:val="Heading2"/>
      </w:pPr>
      <w:r>
        <w:t xml:space="preserve">Limitations</w:t>
      </w:r>
    </w:p>
    <w:p>
      <w:pPr>
        <w:pStyle w:val="FirstParagraph"/>
      </w:pPr>
      <w:r>
        <w:t xml:space="preserve">We attempted one independent test of the flight null and report it as inconclusive rather</w:t>
      </w:r>
      <w:r>
        <w:t xml:space="preserve"> </w:t>
      </w:r>
      <w:r>
        <w:t xml:space="preserve">than supporting. If the problem is that Arabidopsis gamma irradiation is the wrong training</w:t>
      </w:r>
      <w:r>
        <w:t xml:space="preserve"> </w:t>
      </w:r>
      <w:r>
        <w:t xml:space="preserve">material, a second species exposed to simulated GCR should do better, and a</w:t>
      </w:r>
      <w:r>
        <w:t xml:space="preserve"> </w:t>
      </w:r>
      <w:r>
        <w:rPr>
          <w:i/>
          <w:iCs/>
        </w:rPr>
        <w:t xml:space="preserve">B. rapa</w:t>
      </w:r>
      <w:r>
        <w:t xml:space="preserve"> </w:t>
      </w:r>
      <w:r>
        <w:t xml:space="preserve">experiment at 40 cGy provides exactly that comparison. It did not settle</w:t>
      </w:r>
      <w:r>
        <w:t xml:space="preserve"> </w:t>
      </w:r>
      <w:r>
        <w:t xml:space="preserve">the question: a signature derived from those data fails to detect 100 Gy gamma, and the</w:t>
      </w:r>
      <w:r>
        <w:t xml:space="preserve"> </w:t>
      </w:r>
      <w:r>
        <w:t xml:space="preserve">gene-level cross-species comparison is capped near zero by the reproducibility of the two</w:t>
      </w:r>
      <w:r>
        <w:t xml:space="preserve"> </w:t>
      </w:r>
      <w:r>
        <w:t xml:space="preserve">contrasts themselves. Neither outcome argues for or against the flight null. They bound</w:t>
      </w:r>
      <w:r>
        <w:t xml:space="preserve"> </w:t>
      </w:r>
      <w:r>
        <w:t xml:space="preserve">what a second species can currently contribute, and they identify replication per dose arm,</w:t>
      </w:r>
      <w:r>
        <w:t xml:space="preserve"> </w:t>
      </w:r>
      <w:r>
        <w:t xml:space="preserve">not species choice, as the binding constraint.</w:t>
      </w:r>
    </w:p>
    <w:p>
      <w:pPr>
        <w:pStyle w:val="BodyText"/>
      </w:pPr>
      <w:r>
        <w:t xml:space="preserve">The single-nucleus atlas is developmental and unirradiated, so deconvolution assumes</w:t>
      </w:r>
      <w:r>
        <w:t xml:space="preserve"> </w:t>
      </w:r>
      <w:r>
        <w:t xml:space="preserve">cell-type signatures are stable under</w:t>
      </w:r>
      <w:r>
        <w:t xml:space="preserve"> </w:t>
      </w:r>
      <m:oMath>
        <m:r>
          <m:t>γ</m:t>
        </m:r>
      </m:oMath>
      <w:r>
        <w:t xml:space="preserve">-irradiation. The design cannot test that</w:t>
      </w:r>
      <w:r>
        <w:t xml:space="preserve"> </w:t>
      </w:r>
      <w:r>
        <w:t xml:space="preserve">assumption, and it is an assumption, not a finding.</w:t>
      </w:r>
    </w:p>
    <w:p>
      <w:pPr>
        <w:pStyle w:val="BodyText"/>
      </w:pPr>
      <w:r>
        <w:t xml:space="preserve">Replication is modest: two biological replicates per genotype–timepoint cell in OSD-508</w:t>
      </w:r>
      <w:r>
        <w:t xml:space="preserve"> </w:t>
      </w:r>
      <w:r>
        <w:t xml:space="preserve">and OSD-510.</w:t>
      </w:r>
    </w:p>
    <w:p>
      <w:pPr>
        <w:pStyle w:val="BodyText"/>
      </w:pPr>
      <w:r>
        <w:t xml:space="preserve">Cohort B pools two ecotypes (Col-0, WS) and two root-skewing mutants (</w:t>
      </w:r>
      <w:r>
        <w:rPr>
          <w:i/>
          <w:iCs/>
        </w:rPr>
        <w:t xml:space="preserve">sku5</w:t>
      </w:r>
      <w:r>
        <w:t xml:space="preserve"> </w:t>
      </w:r>
      <w:r>
        <w:t xml:space="preserve">in</w:t>
      </w:r>
      <w:r>
        <w:t xml:space="preserve"> </w:t>
      </w:r>
      <w:r>
        <w:t xml:space="preserve">WS,</w:t>
      </w:r>
      <w:r>
        <w:t xml:space="preserve"> </w:t>
      </w:r>
      <w:r>
        <w:rPr>
          <w:i/>
          <w:iCs/>
        </w:rPr>
        <w:t xml:space="preserve">sku6</w:t>
      </w:r>
      <w:r>
        <w:t xml:space="preserve"> </w:t>
      </w:r>
      <w:r>
        <w:t xml:space="preserve">in Col-0) across three timepoints, because splitting on genotype would</w:t>
      </w:r>
      <w:r>
        <w:t xml:space="preserve"> </w:t>
      </w:r>
      <w:r>
        <w:t xml:space="preserve">leave single-study arms of two timepoints each — too few for a bifurcation to be placed.</w:t>
      </w:r>
      <w:r>
        <w:t xml:space="preserve"> </w:t>
      </w:r>
      <w:r>
        <w:t xml:space="preserve">Ecotype and genotype are therefore uncontrolled within that cohort.</w:t>
      </w:r>
    </w:p>
    <w:p>
      <w:pPr>
        <w:pStyle w:val="BodyText"/>
      </w:pPr>
      <w:r>
        <w:t xml:space="preserve">SOG1 binding was called from bedGraph coverage with a binned enrichment test rather than</w:t>
      </w:r>
      <w:r>
        <w:t xml:space="preserve"> </w:t>
      </w:r>
      <w:r>
        <w:t xml:space="preserve">from a dedicated peak caller, because GEO distributes coverage rather than called peaks</w:t>
      </w:r>
      <w:r>
        <w:t xml:space="preserve"> </w:t>
      </w:r>
      <w:r>
        <w:t xml:space="preserve">for GSE112529. The dual-control requirement makes the calls conservative, but they are</w:t>
      </w:r>
      <w:r>
        <w:t xml:space="preserve"> </w:t>
      </w:r>
      <w:r>
        <w:t xml:space="preserve">not equivalent to a MACS analysis of the raw reads.</w:t>
      </w:r>
    </w:p>
    <w:p>
      <w:pPr>
        <w:pStyle w:val="BodyText"/>
      </w:pPr>
      <w:r>
        <w:t xml:space="preserve">The spaceflight corpus is Arabidopsis-only, and not by choice: Ensembl returns no</w:t>
      </w:r>
      <w:r>
        <w:t xml:space="preserve"> </w:t>
      </w:r>
      <w:r>
        <w:t xml:space="preserve">Arabidopsis-to-mouse orthologues for SOG1, MYB3R1 or E2F3, plant and vertebrate Compara</w:t>
      </w:r>
      <w:r>
        <w:t xml:space="preserve"> </w:t>
      </w:r>
      <w:r>
        <w:t xml:space="preserve">being separate databases, and SOG1 is a plant-specific NAC with no animal homolog. The</w:t>
      </w:r>
      <w:r>
        <w:t xml:space="preserve"> </w:t>
      </w:r>
      <w:r>
        <w:t xml:space="preserve">132 mouse and 29 human spaceflight studies in OSDR cannot be scored on these regulators.</w:t>
      </w:r>
    </w:p>
    <w:p>
      <w:pPr>
        <w:pStyle w:val="BodyText"/>
      </w:pPr>
      <w:r>
        <w:t xml:space="preserve">The quality test rests on a single matched pair, whose arms also differ in absorbed dose</w:t>
      </w:r>
      <w:r>
        <w:t xml:space="preserve"> </w:t>
      </w:r>
      <w:r>
        <w:t xml:space="preserve">(100 Gy gamma against 30 Gy Fe-56, chosen for comparable biological effect), so dose and</w:t>
      </w:r>
      <w:r>
        <w:t xml:space="preserve"> </w:t>
      </w:r>
      <w:r>
        <w:t xml:space="preserve">quality are not fully separable even there. With 8 radiation contrasts</w:t>
      </w:r>
      <w:r>
        <w:t xml:space="preserve"> </w:t>
      </w:r>
      <w:r>
        <w:t xml:space="preserve">and a reproducibility floor of 0.045 between two accessions of one</w:t>
      </w:r>
      <w:r>
        <w:t xml:space="preserve"> </w:t>
      </w:r>
      <w:r>
        <w:t xml:space="preserve">experiment, this design cannot resolve a quality effect of plausible size in either</w:t>
      </w:r>
      <w:r>
        <w:t xml:space="preserve"> </w:t>
      </w:r>
      <w:r>
        <w:t xml:space="preserve">direction. NSRL’s sequential beams also approximate a chronic mixed field rather than</w:t>
      </w:r>
      <w:r>
        <w:t xml:space="preserve"> </w:t>
      </w:r>
      <w:r>
        <w:t xml:space="preserve">reproducing it. Settling the question would need matched high-LET and low-LET arms at</w:t>
      </w:r>
      <w:r>
        <w:t xml:space="preserve"> </w:t>
      </w:r>
      <w:r>
        <w:t xml:space="preserve">matched dose, in one laboratory, with replication across experiments.</w:t>
      </w:r>
    </w:p>
    <w:p>
      <w:pPr>
        <w:pStyle w:val="BodyText"/>
      </w:pPr>
      <w:r>
        <w:t xml:space="preserve">The detection floor is measured for acute exposure delivered in seconds. ISS exposure is</w:t>
      </w:r>
      <w:r>
        <w:t xml:space="preserve"> </w:t>
      </w:r>
      <w:r>
        <w:t xml:space="preserve">chronic and roughly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times slower, where repair keeps pace, so the true</w:t>
      </w:r>
      <w:r>
        <w:t xml:space="preserve"> </w:t>
      </w:r>
      <w:r>
        <w:t xml:space="preserve">chronic floor is plausibly higher still — which widens the gap rather than narrowing it.</w:t>
      </w:r>
      <w:r>
        <w:t xml:space="preserve"> </w:t>
      </w:r>
      <w:r>
        <w:t xml:space="preserve">The ISS dose rate is crew-module dosimetry, not a dosimeter inside the plant hardware, and</w:t>
      </w:r>
      <w:r>
        <w:t xml:space="preserve"> </w:t>
      </w:r>
      <w:r>
        <w:t xml:space="preserve">local shielding will differ. The dose points also come from two studies using different</w:t>
      </w:r>
      <w:r>
        <w:t xml:space="preserve"> </w:t>
      </w:r>
      <w:r>
        <w:t xml:space="preserve">material (flask-grown seedlings for the GCR arm, 4-week-old plants for the</w:t>
      </w:r>
      <w:r>
        <w:t xml:space="preserve"> </w:t>
      </w:r>
      <m:oMath>
        <m:sSup>
          <m:e>
            <m:r>
              <m:t>​</m:t>
            </m:r>
          </m:e>
          <m:sup>
            <m:r>
              <m:t>137</m:t>
            </m:r>
          </m:sup>
        </m:sSup>
      </m:oMath>
      <w:r>
        <w:t xml:space="preserve">Cs</w:t>
      </w:r>
      <w:r>
        <w:t xml:space="preserve"> </w:t>
      </w:r>
      <w:r>
        <w:t xml:space="preserve">arm), so the</w:t>
      </w:r>
      <w:r>
        <w:t xml:space="preserve"> </w:t>
      </w:r>
      <w:r>
        <w:t xml:space="preserve">fitted floor is a cross-study estimate rather than a single titration; the observed</w:t>
      </w:r>
      <w:r>
        <w:t xml:space="preserve"> </w:t>
      </w:r>
      <w:r>
        <w:t xml:space="preserve">bracket of 10–40 cGy, read directly off the data, is the more</w:t>
      </w:r>
      <w:r>
        <w:t xml:space="preserve"> </w:t>
      </w:r>
      <w:r>
        <w:t xml:space="preserve">reliable quantity.</w:t>
      </w:r>
    </w:p>
    <w:p>
      <w:pPr>
        <w:pStyle w:val="BodyText"/>
      </w:pPr>
      <w:r>
        <w:t xml:space="preserve">The effective sample size for the flight analysis is 14 mission</w:t>
      </w:r>
      <w:r>
        <w:t xml:space="preserve"> </w:t>
      </w:r>
      <w:r>
        <w:t xml:space="preserve">groups, several contributing a single study; one of them is an</w:t>
      </w:r>
      <w:r>
        <w:t xml:space="preserve"> </w:t>
      </w:r>
      <w:r>
        <w:t xml:space="preserve">“unknown”</w:t>
      </w:r>
      <w:r>
        <w:t xml:space="preserve"> </w:t>
      </w:r>
      <w:r>
        <w:t xml:space="preserve">bucket holding</w:t>
      </w:r>
      <w:r>
        <w:t xml:space="preserve"> </w:t>
      </w:r>
      <w:r>
        <w:t xml:space="preserve">the two F-104 parabolic-flight studies (OSD-428, OSD-434), which OSDR records without a</w:t>
      </w:r>
      <w:r>
        <w:t xml:space="preserve"> </w:t>
      </w:r>
      <w:r>
        <w:t xml:space="preserve">mission name. TF target sets also overlap heavily, so a coefficient</w:t>
      </w:r>
      <w:r>
        <w:t xml:space="preserve"> </w:t>
      </w:r>
      <w:r>
        <w:t xml:space="preserve">or an activity score identifies a target set rather than a transcription factor acting</w:t>
      </w:r>
      <w:r>
        <w:t xml:space="preserve"> </w:t>
      </w:r>
      <w:r>
        <w:t xml:space="preserve">alone.</w:t>
      </w:r>
    </w:p>
    <w:p>
      <w:pPr>
        <w:pStyle w:val="BodyText"/>
      </w:pPr>
      <w:r>
        <w:t xml:space="preserve">Finally, the atlas signature matrix covers 4</w:t>
      </w:r>
      <w:r>
        <w:t xml:space="preserve">,</w:t>
      </w:r>
      <w:r>
        <w:t xml:space="preserve">000 highly variable</w:t>
      </w:r>
      <w:r>
        <w:t xml:space="preserve"> </w:t>
      </w:r>
      <w:r>
        <w:t xml:space="preserve">genes. Regenerating per-cluster means across all genes would widen the lever’s reach;</w:t>
      </w:r>
      <w:r>
        <w:t xml:space="preserve"> </w:t>
      </w:r>
      <w:r>
        <w:rPr>
          <w:rStyle w:val="VerbatimChar"/>
        </w:rPr>
        <w:t xml:space="preserve">scripts/build_full_signatures.R</w:t>
      </w:r>
      <w:r>
        <w:t xml:space="preserve"> </w:t>
      </w:r>
      <w:r>
        <w:t xml:space="preserve">does this for users with the atlas object and</w:t>
      </w:r>
      <w:r>
        <w:t xml:space="preserve"> </w:t>
      </w:r>
      <w:r>
        <w:t xml:space="preserve">an R installation.</w:t>
      </w:r>
    </w:p>
    <w:bookmarkEnd w:id="102"/>
    <w:bookmarkEnd w:id="103"/>
    <w:bookmarkStart w:id="104" w:name="conclusions"/>
    <w:p>
      <w:pPr>
        <w:pStyle w:val="Heading1"/>
      </w:pPr>
      <w:r>
        <w:t xml:space="preserve">Conclusions</w:t>
      </w:r>
    </w:p>
    <w:p>
      <w:pPr>
        <w:pStyle w:val="FirstParagraph"/>
      </w:pPr>
      <w:r>
        <w:t xml:space="preserve">A single-cell atlas can act on a DREM model rather than on its annotation, through the</w:t>
      </w:r>
      <w:r>
        <w:t xml:space="preserve"> </w:t>
      </w:r>
      <w:r>
        <w:t xml:space="preserve">score column the engine already reads. Doing so on an</w:t>
      </w:r>
      <w:r>
        <w:t xml:space="preserve"> </w:t>
      </w:r>
      <w:r>
        <w:rPr>
          <w:i/>
          <w:iCs/>
        </w:rPr>
        <w:t xml:space="preserve">Arabidopsis</w:t>
      </w:r>
      <w:r>
        <w:t xml:space="preserve"> </w:t>
      </w:r>
      <m:oMath>
        <m:r>
          <m:t>γ</m:t>
        </m:r>
      </m:oMath>
      <w:r>
        <w:t xml:space="preserve">-irradiation pseudo-time-series reproduces the published SOG1/MYB3R regulatory</w:t>
      </w:r>
      <w:r>
        <w:t xml:space="preserve"> </w:t>
      </w:r>
      <w:r>
        <w:t xml:space="preserve">logic, and the atlas acts specifically: it demotes seed-restricted NAC regulators absent</w:t>
      </w:r>
      <w:r>
        <w:t xml:space="preserve"> </w:t>
      </w:r>
      <w:r>
        <w:t xml:space="preserve">from irradiated seedlings while leaving SOG1, itself a NAC, untouched.</w:t>
      </w:r>
    </w:p>
    <w:p>
      <w:pPr>
        <w:pStyle w:val="BodyText"/>
      </w:pPr>
      <w:r>
        <w:t xml:space="preserve">Turning that model into a decoder and applying it across NASA’s Open Science Data</w:t>
      </w:r>
      <w:r>
        <w:t xml:space="preserve"> </w:t>
      </w:r>
      <w:r>
        <w:t xml:space="preserve">Repository gives a negative result, and the value of the negative result depends entirely</w:t>
      </w:r>
      <w:r>
        <w:t xml:space="preserve"> </w:t>
      </w:r>
      <w:r>
        <w:t xml:space="preserve">on knowing what would have counted as a positive one. Outside the labelled irradiations</w:t>
      </w:r>
      <w:r>
        <w:t xml:space="preserve"> </w:t>
      </w:r>
      <w:r>
        <w:t xml:space="preserve">the coordinated signature is called in only 2 contrasts — one</w:t>
      </w:r>
      <w:r>
        <w:t xml:space="preserve"> </w:t>
      </w:r>
      <w:r>
        <w:t xml:space="preserve">in-flight partial-gravity centrifuge level (OSD-346, 0.38 g) and one mutant (OSD-147,</w:t>
      </w:r>
      <w:r>
        <w:t xml:space="preserve"> </w:t>
      </w:r>
      <w:r>
        <w:rPr>
          <w:i/>
          <w:iCs/>
        </w:rPr>
        <w:t xml:space="preserve">ARG1</w:t>
      </w:r>
      <w:r>
        <w:t xml:space="preserve"> </w:t>
      </w:r>
      <w:r>
        <w:t xml:space="preserve">knockout), at radiation indices of 3.53 and</w:t>
      </w:r>
      <w:r>
        <w:t xml:space="preserve"> </w:t>
      </w:r>
      <w:r>
        <w:t xml:space="preserve">3.23 against a threshold of 1.96; no DREM transcription factor is</w:t>
      </w:r>
      <w:r>
        <w:t xml:space="preserve"> </w:t>
      </w:r>
      <w:r>
        <w:t xml:space="preserve">altered in spaceflight at 5% FDR; and no flight contrast resembles any phase of the</w:t>
      </w:r>
      <w:r>
        <w:t xml:space="preserve"> </w:t>
      </w:r>
      <w:r>
        <w:t xml:space="preserve">radiation trajectory, while irradiation contrasts trace it to a clear peak.</w:t>
      </w:r>
    </w:p>
    <w:p>
      <w:pPr>
        <w:pStyle w:val="BodyText"/>
      </w:pPr>
      <w:r>
        <w:t xml:space="preserve">Current ISS plant transcriptomes therefore carry no detectable radiation-damage biomarker</w:t>
      </w:r>
      <w:r>
        <w:t xml:space="preserve"> </w:t>
      </w:r>
      <w:r>
        <w:t xml:space="preserve">as this analysis defines one. The reason is dose, not radiation quality: a matched</w:t>
      </w:r>
      <w:r>
        <w:t xml:space="preserve"> </w:t>
      </w:r>
      <w:r>
        <w:t xml:space="preserve">comparison of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against Fe-56 HZE ions places the difference inside the range of</w:t>
      </w:r>
      <w:r>
        <w:t xml:space="preserve"> </w:t>
      </w:r>
      <w:r>
        <w:t xml:space="preserve">variation between pairs of</w:t>
      </w:r>
      <w:r>
        <w:t xml:space="preserve"> </w:t>
      </w:r>
      <m:oMath>
        <m:r>
          <m:t>γ</m:t>
        </m:r>
      </m:oMath>
      <w:r>
        <w:t xml:space="preserve">-irradiation contrasts from different accessions, whereas the model’s</w:t>
      </w:r>
      <w:r>
        <w:t xml:space="preserve"> </w:t>
      </w:r>
      <w:r>
        <w:t xml:space="preserve">training exposure exceeds the largest ISS mission dose by a factor of</w:t>
      </w:r>
      <w:r>
        <w:t xml:space="preserve"> </w:t>
      </w:r>
      <w:r>
        <w:t xml:space="preserve">4024. Low Earth orbit is a magnetically shielded environment, and for</w:t>
      </w:r>
      <w:r>
        <w:t xml:space="preserve"> </w:t>
      </w:r>
      <w:r>
        <w:t xml:space="preserve">radiation biology specifically it is a poor analogue of deep space.</w:t>
      </w:r>
    </w:p>
    <w:p>
      <w:pPr>
        <w:pStyle w:val="BodyText"/>
      </w:pPr>
      <w:r>
        <w:t xml:space="preserve">The practical consequence is that a transcriptomic radiation biomarker developed on acute</w:t>
      </w:r>
      <w:r>
        <w:t xml:space="preserve"> </w:t>
      </w:r>
      <w:r>
        <w:t xml:space="preserve">ground irradiation should not be expected to report LEO exposure, and its absence in</w:t>
      </w:r>
      <w:r>
        <w:t xml:space="preserve"> </w:t>
      </w:r>
      <w:r>
        <w:t xml:space="preserve">flight data is not evidence of radiation safety. Detecting radiation effects in ISS plant</w:t>
      </w:r>
      <w:r>
        <w:t xml:space="preserve"> </w:t>
      </w:r>
      <w:r>
        <w:t xml:space="preserve">material will require assays with floors orders of magnitude lower than steady-state</w:t>
      </w:r>
      <w:r>
        <w:t xml:space="preserve"> </w:t>
      </w:r>
      <w:r>
        <w:t xml:space="preserve">transcript abundance.</w:t>
      </w:r>
    </w:p>
    <w:bookmarkEnd w:id="104"/>
    <w:bookmarkStart w:id="105" w:name="author-contributions"/>
    <w:p>
      <w:pPr>
        <w:pStyle w:val="Heading1"/>
      </w:pPr>
      <w:r>
        <w:t xml:space="preserve">Author contributions</w:t>
      </w:r>
    </w:p>
    <w:p>
      <w:pPr>
        <w:pStyle w:val="FirstParagraph"/>
      </w:pPr>
      <w:r>
        <w:rPr>
          <w:b/>
          <w:bCs/>
        </w:rPr>
        <w:t xml:space="preserve">TODO: author contributions.</w:t>
      </w:r>
      <w:r>
        <w:t xml:space="preserve"> </w:t>
      </w:r>
      <w:r>
        <w:t xml:space="preserve">R.J.B. conceived and performed the analysis and wrote</w:t>
      </w:r>
      <w:r>
        <w:t xml:space="preserve"> </w:t>
      </w:r>
      <w:r>
        <w:t xml:space="preserve">the manuscript.</w:t>
      </w:r>
    </w:p>
    <w:bookmarkEnd w:id="105"/>
    <w:bookmarkStart w:id="106" w:name="competing-interests"/>
    <w:p>
      <w:pPr>
        <w:pStyle w:val="Heading1"/>
      </w:pPr>
      <w:r>
        <w:t xml:space="preserve">Competing interests</w:t>
      </w:r>
    </w:p>
    <w:p>
      <w:pPr>
        <w:pStyle w:val="FirstParagraph"/>
      </w:pPr>
      <w:r>
        <w:t xml:space="preserve">The authors declare no competing interests.</w:t>
      </w:r>
    </w:p>
    <w:bookmarkEnd w:id="106"/>
    <w:bookmarkStart w:id="107" w:name="funding"/>
    <w:p>
      <w:pPr>
        <w:pStyle w:val="Heading1"/>
      </w:pPr>
      <w:r>
        <w:t xml:space="preserve">Funding</w:t>
      </w:r>
    </w:p>
    <w:p>
      <w:pPr>
        <w:pStyle w:val="FirstParagraph"/>
      </w:pPr>
      <w:r>
        <w:rPr>
          <w:b/>
          <w:bCs/>
        </w:rPr>
        <w:t xml:space="preserve">TODO: funding sources and grant numbers.</w:t>
      </w:r>
    </w:p>
    <w:bookmarkEnd w:id="107"/>
    <w:bookmarkStart w:id="108" w:name="acknowledgements"/>
    <w:p>
      <w:pPr>
        <w:pStyle w:val="Heading1"/>
      </w:pPr>
      <w:r>
        <w:t xml:space="preserve">Acknowledgements</w:t>
      </w:r>
    </w:p>
    <w:p>
      <w:pPr>
        <w:pStyle w:val="FirstParagraph"/>
      </w:pPr>
      <w:r>
        <w:t xml:space="preserve">We thank the investigators who deposited the studies analysed here, and NASA’s Open</w:t>
      </w:r>
      <w:r>
        <w:t xml:space="preserve"> </w:t>
      </w:r>
      <w:r>
        <w:t xml:space="preserve">Science Data Repository and GeneLab for curating and publishing them. This work reuses</w:t>
      </w:r>
      <w:r>
        <w:t xml:space="preserve"> </w:t>
      </w:r>
      <w:r>
        <w:t xml:space="preserve">DREM 2.0.7, distributed by the Ernst laboratory under GPL-3.0.</w:t>
      </w:r>
      <w:r>
        <w:t xml:space="preserve"> </w:t>
      </w:r>
      <w:r>
        <w:rPr>
          <w:b/>
          <w:bCs/>
        </w:rPr>
        <w:t xml:space="preserve">TODO: further acknowledgements.</w:t>
      </w:r>
    </w:p>
    <w:bookmarkEnd w:id="108"/>
    <w:bookmarkStart w:id="147" w:name="data-and-code-availability"/>
    <w:p>
      <w:pPr>
        <w:pStyle w:val="Heading1"/>
      </w:pPr>
      <w:r>
        <w:t xml:space="preserve">Data and code availability</w:t>
      </w:r>
    </w:p>
    <w:p>
      <w:pPr>
        <w:pStyle w:val="FirstParagraph"/>
      </w:pPr>
      <w:r>
        <w:t xml:space="preserve">All analysis code, harmonised metadata and derived tables are at</w:t>
      </w:r>
      <w:r>
        <w:t xml:space="preserve"> </w:t>
      </w:r>
      <w:hyperlink r:id="rId109">
        <w:r>
          <w:rPr>
            <w:rStyle w:val="Hyperlink"/>
          </w:rPr>
          <w:t xml:space="preserve">https://github.com/dr-richard-barker/arabidopsis-drem-osdr</w:t>
        </w:r>
      </w:hyperlink>
      <w:r>
        <w:t xml:space="preserve"> </w:t>
      </w:r>
      <w:r>
        <w:t xml:space="preserve">and archived at Zenodo</w:t>
      </w:r>
      <w:r>
        <w:t xml:space="preserve"> </w:t>
      </w:r>
      <w:r>
        <w:t xml:space="preserve">(</w:t>
      </w:r>
      <w:r>
        <w:rPr>
          <w:b/>
          <w:bCs/>
        </w:rPr>
        <w:t xml:space="preserve">TODO: DOI</w:t>
      </w:r>
      <w:r>
        <w:t xml:space="preserve">). Primary data are NASA OSDR studies OSD-193, 218, 281, 437, 498,</w:t>
      </w:r>
      <w:r>
        <w:t xml:space="preserve"> </w:t>
      </w:r>
      <w:r>
        <w:t xml:space="preserve">502, 508, 510 and 782</w:t>
      </w:r>
      <w:r>
        <w:t xml:space="preserve"> </w:t>
      </w:r>
      <w:r>
        <w:t xml:space="preserve">(</w:t>
      </w:r>
      <w:r>
        <w:rPr>
          <w:i/>
          <w:iCs/>
        </w:rPr>
        <w:t xml:space="preserve">NASA Open Science Data Repository</w:t>
      </w:r>
      <w:r>
        <w:t xml:space="preserve"> </w:t>
      </w:r>
      <w:r>
        <w:t xml:space="preserve">2026)</w:t>
      </w:r>
      <w:r>
        <w:t xml:space="preserve">; the</w:t>
      </w:r>
      <w:r>
        <w:t xml:space="preserve"> </w:t>
      </w:r>
      <w:r>
        <w:rPr>
          <w:i/>
          <w:iCs/>
        </w:rPr>
        <w:t xml:space="preserve">Brassica rapa</w:t>
      </w:r>
      <w:r>
        <w:t xml:space="preserve"> </w:t>
      </w:r>
      <w:r>
        <w:t xml:space="preserve">simulated-GCR libraries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TODO: accession and citation for the B. rapa dataset</w:t>
      </w:r>
      <w:r>
        <w:t xml:space="preserve">; DAP-seq binding from GEO GSE60143</w:t>
      </w:r>
      <w:r>
        <w:t xml:space="preserve"> </w:t>
      </w:r>
      <w:r>
        <w:t xml:space="preserve">(</w:t>
      </w:r>
      <w:r>
        <w:rPr>
          <w:i/>
          <w:iCs/>
        </w:rPr>
        <w:t xml:space="preserve">Gene Expression Omnibus GSE60143</w:t>
      </w:r>
      <w:r>
        <w:t xml:space="preserve"> </w:t>
      </w:r>
      <w:r>
        <w:t xml:space="preserve">2026; O’Malley et al. 2016)</w:t>
      </w:r>
      <w:r>
        <w:t xml:space="preserve">; SOG1 ChIP-seq from GSE112529</w:t>
      </w:r>
      <w:r>
        <w:t xml:space="preserve"> </w:t>
      </w:r>
      <w:r>
        <w:t xml:space="preserve">(</w:t>
      </w:r>
      <w:r>
        <w:rPr>
          <w:i/>
          <w:iCs/>
        </w:rPr>
        <w:t xml:space="preserve">Gene Expression Omnibus GSE112529</w:t>
      </w:r>
      <w:r>
        <w:t xml:space="preserve"> </w:t>
      </w:r>
      <w:r>
        <w:t xml:space="preserve">2026; Bourbousse et al. 2018)</w:t>
      </w:r>
      <w:r>
        <w:t xml:space="preserve">; the single-nucleus atlas from GSE226097</w:t>
      </w:r>
      <w:r>
        <w:t xml:space="preserve"> </w:t>
      </w:r>
      <w:r>
        <w:t xml:space="preserve">(</w:t>
      </w:r>
      <w:r>
        <w:rPr>
          <w:i/>
          <w:iCs/>
        </w:rPr>
        <w:t xml:space="preserve">Gene Expression Omnibus GSE226097</w:t>
      </w:r>
      <w:r>
        <w:t xml:space="preserve"> </w:t>
      </w:r>
      <w:r>
        <w:t xml:space="preserve">2026; Lee et al. 2025)</w:t>
      </w:r>
      <w:r>
        <w:t xml:space="preserve">. DREM 2.0.7 is distributed by the Ernst laboratory</w:t>
      </w:r>
      <w:r>
        <w:t xml:space="preserve"> </w:t>
      </w:r>
      <w:r>
        <w:t xml:space="preserve">under GPL-3.0</w:t>
      </w:r>
      <w:r>
        <w:t xml:space="preserve"> </w:t>
      </w:r>
      <w:r>
        <w:t xml:space="preserve">(</w:t>
      </w:r>
      <w:r>
        <w:rPr>
          <w:i/>
          <w:iCs/>
        </w:rPr>
        <w:t xml:space="preserve">DREM 2.0.7 Software Release</w:t>
      </w:r>
      <w:r>
        <w:t xml:space="preserve"> </w:t>
      </w:r>
      <w:r>
        <w:t xml:space="preserve">2026)</w:t>
      </w:r>
      <w:r>
        <w:t xml:space="preserve"> </w:t>
      </w:r>
      <w:r>
        <w:t xml:space="preserve">and is downloaded, not redistributed, by this</w:t>
      </w:r>
      <w:r>
        <w:t xml:space="preserve"> </w:t>
      </w:r>
      <w:r>
        <w:t xml:space="preserve">pipeline.</w:t>
      </w:r>
    </w:p>
    <w:bookmarkStart w:id="146" w:name="refs"/>
    <w:bookmarkStart w:id="111" w:name="ref-berardini2015tair"/>
    <w:p>
      <w:pPr>
        <w:pStyle w:val="Bibliography"/>
      </w:pPr>
      <w:r>
        <w:t xml:space="preserve">Berardini, Tanya Z., Leonore Reiser, Donghui Li, et al. 2015.</w:t>
      </w:r>
      <w:r>
        <w:t xml:space="preserve"> </w:t>
      </w:r>
      <w:r>
        <w:t xml:space="preserve">“The Arabidopsis Information Resource: Making and Mining the</w:t>
      </w:r>
      <w:r>
        <w:t xml:space="preserve"> </w:t>
      </w:r>
      <w:r>
        <w:t xml:space="preserve">‘Gold Standard’</w:t>
      </w:r>
      <w:r>
        <w:t xml:space="preserve"> </w:t>
      </w:r>
      <w:r>
        <w:t xml:space="preserve">Annotated Reference Plant Genome.”</w:t>
      </w:r>
      <w:r>
        <w:t xml:space="preserve"> </w:t>
      </w:r>
      <w:r>
        <w:rPr>
          <w:i/>
          <w:iCs/>
        </w:rPr>
        <w:t xml:space="preserve">Genesis</w:t>
      </w:r>
      <w:r>
        <w:t xml:space="preserve"> </w:t>
      </w:r>
      <w:r>
        <w:t xml:space="preserve">53 (8): 474–85.</w:t>
      </w:r>
      <w:r>
        <w:t xml:space="preserve"> </w:t>
      </w:r>
      <w:hyperlink r:id="rId110">
        <w:r>
          <w:rPr>
            <w:rStyle w:val="Hyperlink"/>
          </w:rPr>
          <w:t xml:space="preserve">https://doi.org/10.1002/dvg.22877</w:t>
        </w:r>
      </w:hyperlink>
      <w:r>
        <w:t xml:space="preserve">.</w:t>
      </w:r>
    </w:p>
    <w:bookmarkEnd w:id="111"/>
    <w:bookmarkStart w:id="113" w:name="ref-bourbousse2018sog1"/>
    <w:p>
      <w:pPr>
        <w:pStyle w:val="Bibliography"/>
      </w:pPr>
      <w:r>
        <w:t xml:space="preserve">Bourbousse, Clara, Neeraja Vegesna, and Julie A. Law. 2018.</w:t>
      </w:r>
      <w:r>
        <w:t xml:space="preserve"> </w:t>
      </w:r>
      <w:r>
        <w:t xml:space="preserve">“SOG1 Activator and MYB3R Repressors Regulate a Complex DNA Damage Network in Arabidopsis.”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115 (52).</w:t>
      </w:r>
      <w:r>
        <w:t xml:space="preserve"> </w:t>
      </w:r>
      <w:hyperlink r:id="rId112">
        <w:r>
          <w:rPr>
            <w:rStyle w:val="Hyperlink"/>
          </w:rPr>
          <w:t xml:space="preserve">https://doi.org/10.1073/pnas.1810582115</w:t>
        </w:r>
      </w:hyperlink>
      <w:r>
        <w:t xml:space="preserve">.</w:t>
      </w:r>
    </w:p>
    <w:bookmarkEnd w:id="113"/>
    <w:bookmarkStart w:id="115" w:name="ref-brooks2021connectf"/>
    <w:p>
      <w:pPr>
        <w:pStyle w:val="Bibliography"/>
      </w:pPr>
      <w:r>
        <w:t xml:space="preserve">Brooks, Matthew D, Che-Lun Juang, Manpreet Singh Katari, et al. 2020.</w:t>
      </w:r>
      <w:r>
        <w:t xml:space="preserve"> </w:t>
      </w:r>
      <w:r>
        <w:t xml:space="preserve">“ConnecTF: A Platform to Integrate Transcription Factor–Gene Interactions and Validate Regulatory Networks.”</w:t>
      </w:r>
      <w:r>
        <w:t xml:space="preserve"> </w:t>
      </w:r>
      <w:r>
        <w:rPr>
          <w:i/>
          <w:iCs/>
        </w:rPr>
        <w:t xml:space="preserve">Plant Physiology</w:t>
      </w:r>
      <w:r>
        <w:t xml:space="preserve"> </w:t>
      </w:r>
      <w:r>
        <w:t xml:space="preserve">185 (1): 49–66.</w:t>
      </w:r>
      <w:r>
        <w:t xml:space="preserve"> </w:t>
      </w:r>
      <w:hyperlink r:id="rId114">
        <w:r>
          <w:rPr>
            <w:rStyle w:val="Hyperlink"/>
          </w:rPr>
          <w:t xml:space="preserve">https://doi.org/10.1093/plphys/kiaa012</w:t>
        </w:r>
      </w:hyperlink>
      <w:r>
        <w:t xml:space="preserve">.</w:t>
      </w:r>
    </w:p>
    <w:bookmarkEnd w:id="115"/>
    <w:bookmarkStart w:id="117" w:name="ref-ding2018idrem"/>
    <w:p>
      <w:pPr>
        <w:pStyle w:val="Bibliography"/>
      </w:pPr>
      <w:r>
        <w:t xml:space="preserve">Ding, Jun, James S. Hagood, Namasivayam Ambalavanan, Naftali Kaminski, and Ziv Bar-Joseph. 2018.</w:t>
      </w:r>
      <w:r>
        <w:t xml:space="preserve"> </w:t>
      </w:r>
      <w:r>
        <w:t xml:space="preserve">“iDREM: Interactive Visualization of Dynamic Regulatory Networks.”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14 (3): e1006019.</w:t>
      </w:r>
      <w:r>
        <w:t xml:space="preserve"> </w:t>
      </w:r>
      <w:hyperlink r:id="rId116">
        <w:r>
          <w:rPr>
            <w:rStyle w:val="Hyperlink"/>
          </w:rPr>
          <w:t xml:space="preserve">https://doi.org/10.1371/journal.pcbi.1006019</w:t>
        </w:r>
      </w:hyperlink>
      <w:r>
        <w:t xml:space="preserve">.</w:t>
      </w:r>
    </w:p>
    <w:bookmarkEnd w:id="117"/>
    <w:bookmarkStart w:id="119" w:name="ref-dremsoftware"/>
    <w:p>
      <w:pPr>
        <w:pStyle w:val="Bibliography"/>
      </w:pPr>
      <w:r>
        <w:rPr>
          <w:i/>
          <w:iCs/>
        </w:rPr>
        <w:t xml:space="preserve">DREM 2.0.7 Software Release</w:t>
      </w:r>
      <w:r>
        <w:t xml:space="preserve">. 2026.</w:t>
      </w:r>
      <w:r>
        <w:t xml:space="preserve"> </w:t>
      </w:r>
      <w:hyperlink r:id="rId118">
        <w:r>
          <w:rPr>
            <w:rStyle w:val="Hyperlink"/>
          </w:rPr>
          <w:t xml:space="preserve">Https://github.com/jernst98/STEM_DREM</w:t>
        </w:r>
      </w:hyperlink>
      <w:r>
        <w:t xml:space="preserve">; Ernst Lab.</w:t>
      </w:r>
    </w:p>
    <w:bookmarkEnd w:id="119"/>
    <w:bookmarkStart w:id="121" w:name="ref-ernst2007drem"/>
    <w:p>
      <w:pPr>
        <w:pStyle w:val="Bibliography"/>
      </w:pPr>
      <w:r>
        <w:t xml:space="preserve">Ernst, Jason, Oded Vainas, Christopher T Harbison, Itamar Simon, and Ziv Bar‐Joseph. 2007.</w:t>
      </w:r>
      <w:r>
        <w:t xml:space="preserve"> </w:t>
      </w:r>
      <w:r>
        <w:t xml:space="preserve">“Reconstructing Dynamic Regulatory Maps.”</w:t>
      </w:r>
      <w:r>
        <w:t xml:space="preserve"> </w:t>
      </w:r>
      <w:r>
        <w:rPr>
          <w:i/>
          <w:iCs/>
        </w:rPr>
        <w:t xml:space="preserve">Molecular Systems Biology</w:t>
      </w:r>
      <w:r>
        <w:t xml:space="preserve"> </w:t>
      </w:r>
      <w:r>
        <w:t xml:space="preserve">3 (1).</w:t>
      </w:r>
      <w:r>
        <w:t xml:space="preserve"> </w:t>
      </w:r>
      <w:hyperlink r:id="rId120">
        <w:r>
          <w:rPr>
            <w:rStyle w:val="Hyperlink"/>
          </w:rPr>
          <w:t xml:space="preserve">https://doi.org/10.1038/msb4100115</w:t>
        </w:r>
      </w:hyperlink>
      <w:r>
        <w:t xml:space="preserve">.</w:t>
      </w:r>
    </w:p>
    <w:bookmarkEnd w:id="121"/>
    <w:bookmarkStart w:id="123" w:name="ref-fengler2015"/>
    <w:p>
      <w:pPr>
        <w:pStyle w:val="Bibliography"/>
      </w:pPr>
      <w:r>
        <w:t xml:space="preserve">Fengler, Svenja, Ina Spirer, Maren Neef, Margret Ecke, Kay Nieselt, and Rüdiger Hampp. 2015.</w:t>
      </w:r>
      <w:r>
        <w:t xml:space="preserve"> </w:t>
      </w:r>
      <w:r>
        <w:t xml:space="preserve">“A Whole-Genome Microarray Study of Arabidopsis Thaliana Semisolid Callus Cultures Exposed to Microgravity and Nonmicrogravity Related Spaceflight Conditions for 5 Days on Board of Shenzhou 8.”</w:t>
      </w:r>
      <w:r>
        <w:t xml:space="preserve"> </w:t>
      </w:r>
      <w:r>
        <w:rPr>
          <w:i/>
          <w:iCs/>
        </w:rPr>
        <w:t xml:space="preserve">BioMed Research International</w:t>
      </w:r>
      <w:r>
        <w:t xml:space="preserve"> </w:t>
      </w:r>
      <w:r>
        <w:t xml:space="preserve">2015: 1–15.</w:t>
      </w:r>
      <w:r>
        <w:t xml:space="preserve"> </w:t>
      </w:r>
      <w:hyperlink r:id="rId122">
        <w:r>
          <w:rPr>
            <w:rStyle w:val="Hyperlink"/>
          </w:rPr>
          <w:t xml:space="preserve">https://doi.org/10.1155/2015/547495</w:t>
        </w:r>
      </w:hyperlink>
      <w:r>
        <w:t xml:space="preserve">.</w:t>
      </w:r>
    </w:p>
    <w:bookmarkEnd w:id="123"/>
    <w:bookmarkStart w:id="125" w:name="ref-geo_gse112529"/>
    <w:p>
      <w:pPr>
        <w:pStyle w:val="Bibliography"/>
      </w:pPr>
      <w:r>
        <w:rPr>
          <w:i/>
          <w:iCs/>
        </w:rPr>
        <w:t xml:space="preserve">Gene Expression Omnibus GSE112529: SOG1-3xFLAG ChIP-Seq</w:t>
      </w:r>
      <w:r>
        <w:t xml:space="preserve">. 2026.</w:t>
      </w:r>
      <w:r>
        <w:t xml:space="preserve"> </w:t>
      </w:r>
      <w:hyperlink r:id="rId124">
        <w:r>
          <w:rPr>
            <w:rStyle w:val="Hyperlink"/>
          </w:rPr>
          <w:t xml:space="preserve">Https://www.ncbi.nlm.nih.gov/geo/query/acc.cgi?acc=GSE112529</w:t>
        </w:r>
      </w:hyperlink>
      <w:r>
        <w:t xml:space="preserve">; NCBI.</w:t>
      </w:r>
    </w:p>
    <w:bookmarkEnd w:id="125"/>
    <w:bookmarkStart w:id="127" w:name="ref-geo_gse226097"/>
    <w:p>
      <w:pPr>
        <w:pStyle w:val="Bibliography"/>
      </w:pPr>
      <w:r>
        <w:rPr>
          <w:i/>
          <w:iCs/>
        </w:rPr>
        <w:t xml:space="preserve">Gene Expression Omnibus GSE226097: Arabidopsis Single-Nucleus Atlas</w:t>
      </w:r>
      <w:r>
        <w:t xml:space="preserve">. 2026.</w:t>
      </w:r>
      <w:r>
        <w:t xml:space="preserve"> </w:t>
      </w:r>
      <w:hyperlink r:id="rId126">
        <w:r>
          <w:rPr>
            <w:rStyle w:val="Hyperlink"/>
          </w:rPr>
          <w:t xml:space="preserve">Https://www.ncbi.nlm.nih.gov/geo/query/acc.cgi?acc=GSE226097</w:t>
        </w:r>
      </w:hyperlink>
      <w:r>
        <w:t xml:space="preserve">; NCBI.</w:t>
      </w:r>
    </w:p>
    <w:bookmarkEnd w:id="127"/>
    <w:bookmarkStart w:id="129" w:name="ref-geo_gse60143"/>
    <w:p>
      <w:pPr>
        <w:pStyle w:val="Bibliography"/>
      </w:pPr>
      <w:r>
        <w:rPr>
          <w:i/>
          <w:iCs/>
        </w:rPr>
        <w:t xml:space="preserve">Gene Expression Omnibus GSE60143: Arabidopsis DAP-Seq</w:t>
      </w:r>
      <w:r>
        <w:t xml:space="preserve">. 2026.</w:t>
      </w:r>
      <w:r>
        <w:t xml:space="preserve"> </w:t>
      </w:r>
      <w:hyperlink r:id="rId128">
        <w:r>
          <w:rPr>
            <w:rStyle w:val="Hyperlink"/>
          </w:rPr>
          <w:t xml:space="preserve">Https://www.ncbi.nlm.nih.gov/geo/query/acc.cgi?acc=GSE60143</w:t>
        </w:r>
      </w:hyperlink>
      <w:r>
        <w:t xml:space="preserve">; NCBI.</w:t>
      </w:r>
    </w:p>
    <w:bookmarkEnd w:id="129"/>
    <w:bookmarkStart w:id="131" w:name="ref-lee2025atlas"/>
    <w:p>
      <w:pPr>
        <w:pStyle w:val="Bibliography"/>
      </w:pPr>
      <w:r>
        <w:t xml:space="preserve">Lee, Travis A., Natanella Illouz-Eliaz, Tatsuya Nobori, et al. 2025.</w:t>
      </w:r>
      <w:r>
        <w:t xml:space="preserve"> </w:t>
      </w:r>
      <w:r>
        <w:t xml:space="preserve">“A Single-Cell, Spatial Transcriptomic Atlas of the Arabidopsis Life Cycle.”</w:t>
      </w:r>
      <w:r>
        <w:t xml:space="preserve"> </w:t>
      </w:r>
      <w:r>
        <w:rPr>
          <w:i/>
          <w:iCs/>
        </w:rPr>
        <w:t xml:space="preserve">Nature Plants</w:t>
      </w:r>
      <w:r>
        <w:t xml:space="preserve"> </w:t>
      </w:r>
      <w:r>
        <w:t xml:space="preserve">11 (9): 1960–75.</w:t>
      </w:r>
      <w:r>
        <w:t xml:space="preserve"> </w:t>
      </w:r>
      <w:hyperlink r:id="rId130">
        <w:r>
          <w:rPr>
            <w:rStyle w:val="Hyperlink"/>
          </w:rPr>
          <w:t xml:space="preserve">https://doi.org/10.1038/s41477-025-02072-z</w:t>
        </w:r>
      </w:hyperlink>
      <w:r>
        <w:t xml:space="preserve">.</w:t>
      </w:r>
    </w:p>
    <w:bookmarkEnd w:id="131"/>
    <w:bookmarkStart w:id="133" w:name="ref-osdr"/>
    <w:p>
      <w:pPr>
        <w:pStyle w:val="Bibliography"/>
      </w:pPr>
      <w:r>
        <w:rPr>
          <w:i/>
          <w:iCs/>
        </w:rPr>
        <w:t xml:space="preserve">NASA Open Science Data Repository</w:t>
      </w:r>
      <w:r>
        <w:t xml:space="preserve">. 2026.</w:t>
      </w:r>
      <w:r>
        <w:t xml:space="preserve"> </w:t>
      </w:r>
      <w:hyperlink r:id="rId132">
        <w:r>
          <w:rPr>
            <w:rStyle w:val="Hyperlink"/>
          </w:rPr>
          <w:t xml:space="preserve">Https://osdr.nasa.gov/bio/repo/</w:t>
        </w:r>
      </w:hyperlink>
      <w:r>
        <w:t xml:space="preserve">; NASA.</w:t>
      </w:r>
    </w:p>
    <w:bookmarkEnd w:id="133"/>
    <w:bookmarkStart w:id="135" w:name="ref-omalley2016cistrome"/>
    <w:p>
      <w:pPr>
        <w:pStyle w:val="Bibliography"/>
      </w:pPr>
      <w:r>
        <w:t xml:space="preserve">O’Malley, Ronan C., Shao-shan Carol Huang, Liang Song, et al. 2016.</w:t>
      </w:r>
      <w:r>
        <w:t xml:space="preserve"> </w:t>
      </w:r>
      <w:r>
        <w:t xml:space="preserve">“Cistrome and Epicistrome Features Shape the Regulatory DNA Landscape.”</w:t>
      </w:r>
      <w:r>
        <w:t xml:space="preserve"> </w:t>
      </w:r>
      <w:r>
        <w:rPr>
          <w:i/>
          <w:iCs/>
        </w:rPr>
        <w:t xml:space="preserve">Cell</w:t>
      </w:r>
      <w:r>
        <w:t xml:space="preserve"> </w:t>
      </w:r>
      <w:r>
        <w:t xml:space="preserve">165 (5): 1280–92.</w:t>
      </w:r>
      <w:r>
        <w:t xml:space="preserve"> </w:t>
      </w:r>
      <w:hyperlink r:id="rId134">
        <w:r>
          <w:rPr>
            <w:rStyle w:val="Hyperlink"/>
          </w:rPr>
          <w:t xml:space="preserve">https://doi.org/10.1016/j.cell.2016.04.038</w:t>
        </w:r>
      </w:hyperlink>
      <w:r>
        <w:t xml:space="preserve">.</w:t>
      </w:r>
    </w:p>
    <w:bookmarkEnd w:id="135"/>
    <w:bookmarkStart w:id="137" w:name="ref-reitz2008leo"/>
    <w:p>
      <w:pPr>
        <w:pStyle w:val="Bibliography"/>
      </w:pPr>
      <w:r>
        <w:t xml:space="preserve">Reitz, Guenther. 2008.</w:t>
      </w:r>
      <w:r>
        <w:t xml:space="preserve"> </w:t>
      </w:r>
      <w:r>
        <w:t xml:space="preserve">“Characteristic of the Radiation Field in Low Earth Orbit and in Deep Space.”</w:t>
      </w:r>
      <w:r>
        <w:t xml:space="preserve"> </w:t>
      </w:r>
      <w:r>
        <w:rPr>
          <w:i/>
          <w:iCs/>
        </w:rPr>
        <w:t xml:space="preserve">Zeitschrift Für Medizinische Physik</w:t>
      </w:r>
      <w:r>
        <w:t xml:space="preserve"> </w:t>
      </w:r>
      <w:r>
        <w:t xml:space="preserve">18 (4): 233–43.</w:t>
      </w:r>
      <w:r>
        <w:t xml:space="preserve"> </w:t>
      </w:r>
      <w:hyperlink r:id="rId136">
        <w:r>
          <w:rPr>
            <w:rStyle w:val="Hyperlink"/>
          </w:rPr>
          <w:t xml:space="preserve">https://doi.org/10.1016/j.zemedi.2008.06.015</w:t>
        </w:r>
      </w:hyperlink>
      <w:r>
        <w:t xml:space="preserve">.</w:t>
      </w:r>
    </w:p>
    <w:bookmarkEnd w:id="137"/>
    <w:bookmarkStart w:id="139" w:name="ref-schulz2012drem2"/>
    <w:p>
      <w:pPr>
        <w:pStyle w:val="Bibliography"/>
      </w:pPr>
      <w:r>
        <w:t xml:space="preserve">Schulz, Marcel H, William E Devanny, Anthony Gitter, Shan Zhong, Jason Ernst, and Ziv Bar-Joseph. 2012.</w:t>
      </w:r>
      <w:r>
        <w:t xml:space="preserve"> </w:t>
      </w:r>
      <w:r>
        <w:t xml:space="preserve">“DREM 2.0: Improved Reconstruction of Dynamic Regulatory Networks from Time-Series Expression Data.”</w:t>
      </w:r>
      <w:r>
        <w:t xml:space="preserve"> </w:t>
      </w:r>
      <w:r>
        <w:rPr>
          <w:i/>
          <w:iCs/>
        </w:rPr>
        <w:t xml:space="preserve">BMC Systems Biology</w:t>
      </w:r>
      <w:r>
        <w:t xml:space="preserve"> </w:t>
      </w:r>
      <w:r>
        <w:t xml:space="preserve">6 (1): 104.</w:t>
      </w:r>
      <w:r>
        <w:t xml:space="preserve"> </w:t>
      </w:r>
      <w:hyperlink r:id="rId138">
        <w:r>
          <w:rPr>
            <w:rStyle w:val="Hyperlink"/>
          </w:rPr>
          <w:t xml:space="preserve">https://doi.org/10.1186/1752-0509-6-104</w:t>
        </w:r>
      </w:hyperlink>
      <w:r>
        <w:t xml:space="preserve">.</w:t>
      </w:r>
    </w:p>
    <w:bookmarkEnd w:id="139"/>
    <w:bookmarkStart w:id="141" w:name="ref-slaba2025artemis"/>
    <w:p>
      <w:pPr>
        <w:pStyle w:val="Bibliography"/>
      </w:pPr>
      <w:r>
        <w:t xml:space="preserve">Slaba, Tony C., Shirin Rahmanian, Stuart George, et al. 2025.</w:t>
      </w:r>
      <w:r>
        <w:t xml:space="preserve"> </w:t>
      </w:r>
      <w:r>
        <w:t xml:space="preserve">“Validated Space Radiation Exposure Predictions from Earth to Mars During Artemis-i.”</w:t>
      </w:r>
      <w:r>
        <w:t xml:space="preserve"> </w:t>
      </w:r>
      <w:r>
        <w:rPr>
          <w:i/>
          <w:iCs/>
        </w:rPr>
        <w:t xml:space="preserve">Npj Microgravity</w:t>
      </w:r>
      <w:r>
        <w:t xml:space="preserve"> </w:t>
      </w:r>
      <w:r>
        <w:t xml:space="preserve">11 (1).</w:t>
      </w:r>
      <w:r>
        <w:t xml:space="preserve"> </w:t>
      </w:r>
      <w:hyperlink r:id="rId140">
        <w:r>
          <w:rPr>
            <w:rStyle w:val="Hyperlink"/>
          </w:rPr>
          <w:t xml:space="preserve">https://doi.org/10.1038/s41526-025-00459-y</w:t>
        </w:r>
      </w:hyperlink>
      <w:r>
        <w:t xml:space="preserve">.</w:t>
      </w:r>
    </w:p>
    <w:bookmarkEnd w:id="141"/>
    <w:bookmarkStart w:id="143" w:name="ref-yoshida2022iss"/>
    <w:p>
      <w:pPr>
        <w:pStyle w:val="Bibliography"/>
      </w:pPr>
      <w:r>
        <w:t xml:space="preserve">Yoshida, Kayo, Megumi Hada, Akane Kizu, et al. 2022.</w:t>
      </w:r>
      <w:r>
        <w:t xml:space="preserve"> </w:t>
      </w:r>
      <w:r>
        <w:t xml:space="preserve">“Comparison of Biological Measurement and Physical Estimates of Space Radiation in the International Space Station.”</w:t>
      </w:r>
      <w:r>
        <w:t xml:space="preserve"> </w:t>
      </w:r>
      <w:r>
        <w:rPr>
          <w:i/>
          <w:iCs/>
        </w:rPr>
        <w:t xml:space="preserve">Heliyon</w:t>
      </w:r>
      <w:r>
        <w:t xml:space="preserve"> </w:t>
      </w:r>
      <w:r>
        <w:t xml:space="preserve">8 (8): e10266.</w:t>
      </w:r>
      <w:r>
        <w:t xml:space="preserve"> </w:t>
      </w:r>
      <w:hyperlink r:id="rId142">
        <w:r>
          <w:rPr>
            <w:rStyle w:val="Hyperlink"/>
          </w:rPr>
          <w:t xml:space="preserve">https://doi.org/10.1016/j.heliyon.2022.e10266</w:t>
        </w:r>
      </w:hyperlink>
      <w:r>
        <w:t xml:space="preserve">.</w:t>
      </w:r>
    </w:p>
    <w:bookmarkEnd w:id="143"/>
    <w:bookmarkStart w:id="145" w:name="ref-yoshiyama2009sog1"/>
    <w:p>
      <w:pPr>
        <w:pStyle w:val="Bibliography"/>
      </w:pPr>
      <w:r>
        <w:t xml:space="preserve">Yoshiyama, Kaoru, Phillip A. Conklin, Neil D. Huefner, and Anne B. Britt. 2009.</w:t>
      </w:r>
      <w:r>
        <w:t xml:space="preserve"> </w:t>
      </w:r>
      <w:r>
        <w:t xml:space="preserve">“Suppressor of Gamma Response 1 ( SOG1 ) Encodes a Putative Transcription Factor Governing Multiple Responses to DNA Damage.”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106 (31): 12843–48.</w:t>
      </w:r>
      <w:r>
        <w:t xml:space="preserve"> </w:t>
      </w:r>
      <w:hyperlink r:id="rId144">
        <w:r>
          <w:rPr>
            <w:rStyle w:val="Hyperlink"/>
          </w:rPr>
          <w:t xml:space="preserve">https://doi.org/10.1073/pnas.0810304106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Collaborative Science Environment Inc. (CoSE).</w:t>
      </w:r>
      <w:r>
        <w:t xml:space="preserve"> </w:t>
      </w:r>
      <w:r>
        <w:t xml:space="preserve">Correspondence:</w:t>
      </w:r>
      <w:r>
        <w:t xml:space="preserve"> </w:t>
      </w:r>
      <w:r>
        <w:rPr>
          <w:rStyle w:val="VerbatimChar"/>
        </w:rPr>
        <w:t xml:space="preserve">dr.richard.barker@gmail.com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9" Target="media/rId69.png" /><Relationship Type="http://schemas.openxmlformats.org/officeDocument/2006/relationships/image" Id="rId79" Target="media/rId79.png" /><Relationship Type="http://schemas.openxmlformats.org/officeDocument/2006/relationships/image" Id="rId84" Target="media/rId84.png" /><Relationship Type="http://schemas.openxmlformats.org/officeDocument/2006/relationships/image" Id="rId89" Target="media/rId89.png" /><Relationship Type="http://schemas.openxmlformats.org/officeDocument/2006/relationships/image" Id="rId94" Target="media/rId94.png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52" Target="media/rId52.png" /><Relationship Type="http://schemas.openxmlformats.org/officeDocument/2006/relationships/image" Id="rId42" Target="media/rId42.png" /><Relationship Type="http://schemas.openxmlformats.org/officeDocument/2006/relationships/image" Id="rId73" Target="media/rId73.png" /><Relationship Type="http://schemas.openxmlformats.org/officeDocument/2006/relationships/image" Id="rId64" Target="media/rId64.png" /><Relationship Type="http://schemas.openxmlformats.org/officeDocument/2006/relationships/image" Id="rId60" Target="media/rId60.png" /><Relationship Type="http://schemas.openxmlformats.org/officeDocument/2006/relationships/hyperlink" Id="rId110" Target="https://doi.org/10.1002/dvg.22877" TargetMode="External" /><Relationship Type="http://schemas.openxmlformats.org/officeDocument/2006/relationships/hyperlink" Id="rId134" Target="https://doi.org/10.1016/j.cell.2016.04.038" TargetMode="External" /><Relationship Type="http://schemas.openxmlformats.org/officeDocument/2006/relationships/hyperlink" Id="rId142" Target="https://doi.org/10.1016/j.heliyon.2022.e10266" TargetMode="External" /><Relationship Type="http://schemas.openxmlformats.org/officeDocument/2006/relationships/hyperlink" Id="rId136" Target="https://doi.org/10.1016/j.zemedi.2008.06.015" TargetMode="External" /><Relationship Type="http://schemas.openxmlformats.org/officeDocument/2006/relationships/hyperlink" Id="rId120" Target="https://doi.org/10.1038/msb4100115" TargetMode="External" /><Relationship Type="http://schemas.openxmlformats.org/officeDocument/2006/relationships/hyperlink" Id="rId130" Target="https://doi.org/10.1038/s41477-025-02072-z" TargetMode="External" /><Relationship Type="http://schemas.openxmlformats.org/officeDocument/2006/relationships/hyperlink" Id="rId140" Target="https://doi.org/10.1038/s41526-025-00459-y" TargetMode="External" /><Relationship Type="http://schemas.openxmlformats.org/officeDocument/2006/relationships/hyperlink" Id="rId144" Target="https://doi.org/10.1073/pnas.0810304106" TargetMode="External" /><Relationship Type="http://schemas.openxmlformats.org/officeDocument/2006/relationships/hyperlink" Id="rId112" Target="https://doi.org/10.1073/pnas.1810582115" TargetMode="External" /><Relationship Type="http://schemas.openxmlformats.org/officeDocument/2006/relationships/hyperlink" Id="rId114" Target="https://doi.org/10.1093/plphys/kiaa012" TargetMode="External" /><Relationship Type="http://schemas.openxmlformats.org/officeDocument/2006/relationships/hyperlink" Id="rId122" Target="https://doi.org/10.1155/2015/547495" TargetMode="External" /><Relationship Type="http://schemas.openxmlformats.org/officeDocument/2006/relationships/hyperlink" Id="rId138" Target="https://doi.org/10.1186/1752-0509-6-104" TargetMode="External" /><Relationship Type="http://schemas.openxmlformats.org/officeDocument/2006/relationships/hyperlink" Id="rId116" Target="https://doi.org/10.1371/journal.pcbi.1006019" TargetMode="External" /><Relationship Type="http://schemas.openxmlformats.org/officeDocument/2006/relationships/hyperlink" Id="rId109" Target="https://github.com/dr-richard-barker/arabidopsis-drem-osdr" TargetMode="External" /><Relationship Type="http://schemas.openxmlformats.org/officeDocument/2006/relationships/hyperlink" Id="rId118" Target="https://github.com/jernst98/STEM_DREM" TargetMode="External" /><Relationship Type="http://schemas.openxmlformats.org/officeDocument/2006/relationships/hyperlink" Id="rId132" Target="https://osdr.nasa.gov/bio/repo/" TargetMode="External" /><Relationship Type="http://schemas.openxmlformats.org/officeDocument/2006/relationships/hyperlink" Id="rId124" Target="https://www.ncbi.nlm.nih.gov/geo/query/acc.cgi?acc=GSE112529" TargetMode="External" /><Relationship Type="http://schemas.openxmlformats.org/officeDocument/2006/relationships/hyperlink" Id="rId126" Target="https://www.ncbi.nlm.nih.gov/geo/query/acc.cgi?acc=GSE226097" TargetMode="External" /><Relationship Type="http://schemas.openxmlformats.org/officeDocument/2006/relationships/hyperlink" Id="rId128" Target="https://www.ncbi.nlm.nih.gov/geo/query/acc.cgi?acc=GSE6014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0" Target="https://doi.org/10.1002/dvg.22877" TargetMode="External" /><Relationship Type="http://schemas.openxmlformats.org/officeDocument/2006/relationships/hyperlink" Id="rId134" Target="https://doi.org/10.1016/j.cell.2016.04.038" TargetMode="External" /><Relationship Type="http://schemas.openxmlformats.org/officeDocument/2006/relationships/hyperlink" Id="rId142" Target="https://doi.org/10.1016/j.heliyon.2022.e10266" TargetMode="External" /><Relationship Type="http://schemas.openxmlformats.org/officeDocument/2006/relationships/hyperlink" Id="rId136" Target="https://doi.org/10.1016/j.zemedi.2008.06.015" TargetMode="External" /><Relationship Type="http://schemas.openxmlformats.org/officeDocument/2006/relationships/hyperlink" Id="rId120" Target="https://doi.org/10.1038/msb4100115" TargetMode="External" /><Relationship Type="http://schemas.openxmlformats.org/officeDocument/2006/relationships/hyperlink" Id="rId130" Target="https://doi.org/10.1038/s41477-025-02072-z" TargetMode="External" /><Relationship Type="http://schemas.openxmlformats.org/officeDocument/2006/relationships/hyperlink" Id="rId140" Target="https://doi.org/10.1038/s41526-025-00459-y" TargetMode="External" /><Relationship Type="http://schemas.openxmlformats.org/officeDocument/2006/relationships/hyperlink" Id="rId144" Target="https://doi.org/10.1073/pnas.0810304106" TargetMode="External" /><Relationship Type="http://schemas.openxmlformats.org/officeDocument/2006/relationships/hyperlink" Id="rId112" Target="https://doi.org/10.1073/pnas.1810582115" TargetMode="External" /><Relationship Type="http://schemas.openxmlformats.org/officeDocument/2006/relationships/hyperlink" Id="rId114" Target="https://doi.org/10.1093/plphys/kiaa012" TargetMode="External" /><Relationship Type="http://schemas.openxmlformats.org/officeDocument/2006/relationships/hyperlink" Id="rId122" Target="https://doi.org/10.1155/2015/547495" TargetMode="External" /><Relationship Type="http://schemas.openxmlformats.org/officeDocument/2006/relationships/hyperlink" Id="rId138" Target="https://doi.org/10.1186/1752-0509-6-104" TargetMode="External" /><Relationship Type="http://schemas.openxmlformats.org/officeDocument/2006/relationships/hyperlink" Id="rId116" Target="https://doi.org/10.1371/journal.pcbi.1006019" TargetMode="External" /><Relationship Type="http://schemas.openxmlformats.org/officeDocument/2006/relationships/hyperlink" Id="rId109" Target="https://github.com/dr-richard-barker/arabidopsis-drem-osdr" TargetMode="External" /><Relationship Type="http://schemas.openxmlformats.org/officeDocument/2006/relationships/hyperlink" Id="rId118" Target="https://github.com/jernst98/STEM_DREM" TargetMode="External" /><Relationship Type="http://schemas.openxmlformats.org/officeDocument/2006/relationships/hyperlink" Id="rId132" Target="https://osdr.nasa.gov/bio/repo/" TargetMode="External" /><Relationship Type="http://schemas.openxmlformats.org/officeDocument/2006/relationships/hyperlink" Id="rId124" Target="https://www.ncbi.nlm.nih.gov/geo/query/acc.cgi?acc=GSE112529" TargetMode="External" /><Relationship Type="http://schemas.openxmlformats.org/officeDocument/2006/relationships/hyperlink" Id="rId126" Target="https://www.ncbi.nlm.nih.gov/geo/query/acc.cgi?acc=GSE226097" TargetMode="External" /><Relationship Type="http://schemas.openxmlformats.org/officeDocument/2006/relationships/hyperlink" Id="rId128" Target="https://www.ncbi.nlm.nih.gov/geo/query/acc.cgi?acc=GSE6014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cell-type-weighted regulatory prior resolves the transcription factors driving bifurcations in a cross-study Arabidopsis irradiation pseudo-time-series</dc:title>
  <dc:creator>Richard J. Barker TODO: co-author list</dc:creator>
  <cp:keywords/>
  <dcterms:created xsi:type="dcterms:W3CDTF">2026-10-28T18:49:10Z</dcterms:created>
  <dcterms:modified xsi:type="dcterms:W3CDTF">2026-10-28T18:49:10Z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The Dynamic Regulatory Events Miner (DREM) reconstructs when transcription factors (TFs) act by finding bifurcations in time-series expression and attributing each to a regulator, using a static TF–gene interaction prior (Ernst et al. 2007; Schulz et al. 2012). That prior is normally binary and tissue-blind: an edge either exists or it does not, regardless of whether the TF is expressed in the cells producing the signal. We show that a single-cell atlas can be made to act on the model itself rather than on its annotation, by writing cell-type context into the score column DREM already reads. Screening all 62 Arabidopsis thaliana studies in NASA’s Open Science Data Repository (OSDR), we assemble a 10-point \gamma-irradiation pseudo-time-series spanning 10 min to 72 h from 108 samples, and a second 3-point spaceflight series from 115 samples. We deconvolve each timepoint against a 183-cluster single-nucleus atlas, weight 976,588 DAP-seq and ChIP-seq TF–gene edges by the cell types actually present, and compare the resulting models against flat and binding-only priors under an otherwise identical search. The wild-type/sog1-1 design provides an internal positive control: the canonical DNA-damage response is induced across all 6 sentinel genes in wild type and collapses in the mutant. Turning the two-genotype contrast into a decoder and scoring it across every Arabidopsis study in the repository recovers 11 of 12 labelled irradiation contrasts, ordered by dose, and calls 2 non-radiation contrasts radiation-like: an in-flight 0.38 g centrifuge contrast (OSD-346) and an ARG1 knockout (OSD-147). No DREM transcription factor is altered in spaceflight and no flight contrast matches any phase of the radiation trajectory — but the assay’s diagnostic arm needs 40 cGy while ISS missions deliver 0.39–2.485 cGy, so that null bounds the effect rather than excluding damage. Of 6 bifurcations in the wild-type model, 3 change their top-ranked regulator with the prior — but not the canonical ones: SOG1 ranks first of 479 TFs in wild type under every prior and falls to rank 294 in sog1-1 under the cell-type-weighted prior. Attribution moves where the evidence was marginal and holds where it was strong.</vt:lpwstr>
  </property>
  <property fmtid="{D5CDD505-2E9C-101B-9397-08002B2CF9AE}" pid="3" name="bibliography">
    <vt:lpwstr/>
  </property>
  <property fmtid="{D5CDD505-2E9C-101B-9397-08002B2CF9AE}" pid="4" name="date">
    <vt:lpwstr>2026-10-28</vt:lpwstr>
  </property>
</Properties>
</file>