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cell-type-resolved atlas of deep-space stress susceptibility in the dry and germinating Arabidopsis seed</w:t>
      </w:r>
    </w:p>
    <w:p>
      <w:r>
        <w:rPr>
          <w:b/>
        </w:rPr>
        <w:t>Richard Barker</w:t>
      </w:r>
      <w:r>
        <w:t>¹ ²</w:t>
      </w:r>
    </w:p>
    <w:p>
      <w:r>
        <w:t>¹ Purdue University, West Lafayette, IN, USA</w:t>
      </w:r>
    </w:p>
    <w:p>
      <w:r>
        <w:t>² The Collaborative Science Environment, PBC (public benefit corporation)</w:t>
      </w:r>
    </w:p>
    <w:p>
      <w:r>
        <w:t>*Correspondence: Richard Barker — admin@cosecloud.com</w:t>
      </w:r>
    </w:p>
    <w:p>
      <w:r>
        <w:rPr>
          <w:b/>
        </w:rPr>
        <w:t>Target journal:</w:t>
      </w:r>
      <w:r>
        <w:t xml:space="preserve"> </w:t>
      </w:r>
      <w:r>
        <w:rPr>
          <w:i/>
        </w:rPr>
        <w:t>npj Microgravity</w:t>
      </w:r>
      <w:r>
        <w:t xml:space="preserve"> (Article). </w:t>
      </w:r>
      <w:r>
        <w:rPr>
          <w:b/>
        </w:rPr>
        <w:t>Status:</w:t>
      </w:r>
      <w:r>
        <w:t xml:space="preserve"> draft v1 (2026-06-27).</w:t>
      </w:r>
    </w:p>
    <w:p>
      <w:pPr>
        <w:pStyle w:val="Heading1"/>
      </w:pPr>
      <w:r>
        <w:t>Abstract</w:t>
      </w:r>
    </w:p>
    <w:p>
      <w:r>
        <w:t>Seeds are the most practical propagule for off-world agriculture, yet how the spectrum of deep-space</w:t>
      </w:r>
    </w:p>
    <w:p>
      <w:r>
        <w:t>stressors — microgravity, ionizing radiation, altered magnetic fields, and the gas and gravitropic</w:t>
      </w:r>
    </w:p>
    <w:p>
      <w:r>
        <w:t>environment of spaceflight hardware — impinges on the dormant and germinating seed remains largely</w:t>
      </w:r>
    </w:p>
    <w:p>
      <w:r>
        <w:t>uncharacterized, because spaceflight experiments measure later developmental stages rather than seeds.</w:t>
      </w:r>
    </w:p>
    <w:p>
      <w:r>
        <w:t>We address this gap with two reusable tools and a single-cell reference. The **DeepSpace</w:t>
      </w:r>
    </w:p>
    <w:p>
      <w:r>
        <w:t>Stress-Recognition System (DSRS)** recognizes which space stressor a transcriptomic signature resembles,</w:t>
      </w:r>
    </w:p>
    <w:p>
      <w:r>
        <w:t xml:space="preserve">and the </w:t>
      </w:r>
      <w:r>
        <w:rPr>
          <w:b/>
        </w:rPr>
        <w:t>Germinating-Seed AutoDecoder (GSAD)</w:t>
      </w:r>
      <w:r>
        <w:t xml:space="preserve"> projects bulk transcriptomes onto a 122-panel</w:t>
      </w:r>
    </w:p>
    <w:p>
      <w:r>
        <w:t>single-cell seed reference (developmental and germination atlases) to predict cell-type-level effects.</w:t>
      </w:r>
    </w:p>
    <w:p>
      <w:r>
        <w:t>Validating the framework, the decoder independently recovers textbook embryo→seedling lineages</w:t>
      </w:r>
    </w:p>
    <w:p>
      <w:r>
        <w:t>(protoderm→epidermis; hypophysis→radicle apical meristem; vascular primordium→provasculature). Applying</w:t>
      </w:r>
    </w:p>
    <w:p>
      <w:r>
        <w:t>it to a 27-contrast model spanning ten stressor families (gravity including hypergravity, tropism,</w:t>
      </w:r>
    </w:p>
    <w:p>
      <w:r>
        <w:t>low-oxygen, desiccation, osmotic, ethylene, temperature, UV, radiation, and magnetic/null field), we build</w:t>
      </w:r>
    </w:p>
    <w:p>
      <w:r>
        <w:t xml:space="preserve">a </w:t>
      </w:r>
      <w:r>
        <w:rPr>
          <w:b/>
        </w:rPr>
        <w:t>DeepSpace seed-susceptibility atlas</w:t>
      </w:r>
      <w:r>
        <w:t xml:space="preserve">. Its central result: the </w:t>
      </w:r>
      <w:r>
        <w:rPr>
          <w:b/>
        </w:rPr>
        <w:t>root tip is the convergence apex</w:t>
      </w:r>
      <w:r>
        <w:t xml:space="preserve"> —</w:t>
      </w:r>
    </w:p>
    <w:p>
      <w:r>
        <w:t xml:space="preserve">the columella/root cap is targeted by </w:t>
      </w:r>
      <w:r>
        <w:rPr>
          <w:b/>
        </w:rPr>
        <w:t>9 of 10</w:t>
      </w:r>
      <w:r>
        <w:t xml:space="preserve"> stressor families, more than any other germinating-seed</w:t>
      </w:r>
    </w:p>
    <w:p>
      <w:r>
        <w:t>cell type, and the radicle apical meristem (the specific null-magnetic-field target, localization z = +7.96)</w:t>
      </w:r>
    </w:p>
    <w:p>
      <w:r>
        <w:t>and radicle epidermis are likewise broadly susceptible; hypocotyl cortex and cotyledon mesophyll emerge as</w:t>
      </w:r>
    </w:p>
    <w:p>
      <w:r>
        <w:t>secondary hotspots. Early germination (12 h) is the most vulnerable developmental window. We frame</w:t>
      </w:r>
    </w:p>
    <w:p>
      <w:r>
        <w:t>all predictions as testable hypotheses with falsification experiments and release the tools, panels, and</w:t>
      </w:r>
    </w:p>
    <w:p>
      <w:r>
        <w:t>atlas as a FAIR resource. The root tip emerges as a priority target for protecting seed performance in</w:t>
      </w:r>
    </w:p>
    <w:p>
      <w:r>
        <w:t>deep space.</w:t>
      </w:r>
    </w:p>
    <w:p>
      <w:pPr>
        <w:pStyle w:val="Heading1"/>
      </w:pPr>
      <w:r>
        <w:t>Introduction</w:t>
      </w:r>
    </w:p>
    <w:p>
      <w:r>
        <w:t>Establishing plant-based bioregenerative life support beyond low-Earth orbit depends on seeds that can be</w:t>
      </w:r>
    </w:p>
    <w:p>
      <w:r>
        <w:t>stored dry, transported, and germinated reliably under conditions that differ profoundly from Earth.</w:t>
      </w:r>
    </w:p>
    <w:p>
      <w:r>
        <w:t xml:space="preserve">Deep-space environments combine </w:t>
      </w:r>
      <w:r>
        <w:rPr>
          <w:b/>
        </w:rPr>
        <w:t>microgravity</w:t>
      </w:r>
      <w:r>
        <w:t xml:space="preserve"> (or fractional gravity), chronic **ionizing/galactic</w:t>
      </w:r>
    </w:p>
    <w:p>
      <w:r>
        <w:t>cosmic radiation</w:t>
      </w:r>
      <w:r>
        <w:rPr>
          <w:b/>
        </w:rPr>
        <w:t xml:space="preserve">, a near-absent or altered </w:t>
      </w:r>
      <w:r>
        <w:t>magnetic field**, and the confined gas environment of</w:t>
      </w:r>
    </w:p>
    <w:p>
      <w:r>
        <w:t xml:space="preserve">flight hardware that can impose </w:t>
      </w:r>
      <w:r>
        <w:rPr>
          <w:b/>
        </w:rPr>
        <w:t>hypoxia/anoxia</w:t>
      </w:r>
      <w:r>
        <w:t>; the loss of a stable gravity vector also removes the</w:t>
      </w:r>
    </w:p>
    <w:p>
      <w:r>
        <w:rPr>
          <w:b/>
        </w:rPr>
        <w:t>gravitropic</w:t>
      </w:r>
      <w:r>
        <w:t xml:space="preserve"> set-point that organizes seedling establishment. Each of these has documented effects on</w:t>
      </w:r>
    </w:p>
    <w:p>
      <w:r>
        <w:t xml:space="preserve">adult plant transcriptomes, but the consequences for the </w:t>
      </w:r>
      <w:r>
        <w:rPr>
          <w:b/>
        </w:rPr>
        <w:t>dry/dormant and germinating seed</w:t>
      </w:r>
      <w:r>
        <w:t xml:space="preserve"> — the stage</w:t>
      </w:r>
    </w:p>
    <w:p>
      <w:r>
        <w:t>that determines whether a crop establishes at all — are poorly resolved.</w:t>
      </w:r>
    </w:p>
    <w:p>
      <w:r>
        <w:t>A core obstacle is that the relevant experiments rarely sample seeds at single-cell resolution: spaceflight</w:t>
      </w:r>
    </w:p>
    <w:p>
      <w:r>
        <w:t>datasets profile seedlings or organs, while the richest single-cell seed atlases are ground-based.</w:t>
      </w:r>
    </w:p>
    <w:p>
      <w:r>
        <w:t>Bridging adult-tissue or developmental signatures to seed cell types is therefore a cross-stage inference</w:t>
      </w:r>
    </w:p>
    <w:p>
      <w:r>
        <w:t>problem. Recent single-cell resources make it tractable: a developmental atlas of early Arabidopsis seed</w:t>
      </w:r>
    </w:p>
    <w:p>
      <w:r>
        <w:t>(embryo, endosperm, seed coat) and a germinating-embryo atlas spanning the imbibition time-course together</w:t>
      </w:r>
    </w:p>
    <w:p>
      <w:r>
        <w:t>define the cell types and states of the dry→germinating seed.</w:t>
      </w:r>
    </w:p>
    <w:p>
      <w:r>
        <w:t>Here we operationalize this bridge as two tools and use them to ask a concrete question of direct</w:t>
      </w:r>
    </w:p>
    <w:p>
      <w:r>
        <w:t>relevance to space agriculture: **which seed cell types and developmental stages are most susceptible to</w:t>
      </w:r>
    </w:p>
    <w:p>
      <w:r>
        <w:t>deep-space stressors, and do any stressors converge on the same cellular targets?** We integrate</w:t>
      </w:r>
    </w:p>
    <w:p>
      <w:r>
        <w:t>genome-wide signatures from microgravity, radiation, low-oxygen, and tropism experiments, add a</w:t>
      </w:r>
    </w:p>
    <w:p>
      <w:r>
        <w:t>null-magnetic-field signal, and project them onto a single-cell seed reference to produce a</w:t>
      </w:r>
    </w:p>
    <w:p>
      <w:r>
        <w:t>susceptibility atlas with an explicit, falsifiable headline.</w:t>
      </w:r>
    </w:p>
    <w:p>
      <w:pPr>
        <w:pStyle w:val="Heading1"/>
      </w:pPr>
      <w:r>
        <w:t>Results</w:t>
      </w:r>
    </w:p>
    <w:p>
      <w:pPr>
        <w:pStyle w:val="Heading2"/>
      </w:pPr>
      <w:r>
        <w:t>A two-tool framework for plant space-biology stress decoding (Fig. 1)</w:t>
      </w:r>
    </w:p>
    <w:p>
      <w:r>
        <w:t xml:space="preserve">We distilled the analysis into two reusable, FAIR tools (Fig. 1). </w:t>
      </w:r>
      <w:r>
        <w:rPr>
          <w:b/>
        </w:rPr>
        <w:t>DSRS</w:t>
      </w:r>
      <w:r>
        <w:t xml:space="preserve"> takes any plant transcriptomic</w:t>
      </w:r>
    </w:p>
    <w:p>
      <w:r>
        <w:t>perturbation signature (ranked log2 fold-changes, AGI/TAIR identifiers) and recognizes which space</w:t>
      </w:r>
    </w:p>
    <w:p>
      <w:r>
        <w:t xml:space="preserve">stressor it most resembles, by comparing its </w:t>
      </w:r>
      <w:r>
        <w:rPr>
          <w:i/>
        </w:rPr>
        <w:t>seed-program fingerprint</w:t>
      </w:r>
      <w:r>
        <w:t xml:space="preserve"> — its enrichment across the seed</w:t>
      </w:r>
    </w:p>
    <w:p>
      <w:r>
        <w:t xml:space="preserve">reference panels — to a curated reference library spanning five stressor families. </w:t>
      </w:r>
      <w:r>
        <w:rPr>
          <w:b/>
        </w:rPr>
        <w:t>GSAD</w:t>
      </w:r>
      <w:r>
        <w:t xml:space="preserve"> takes a bulk</w:t>
      </w:r>
    </w:p>
    <w:p>
      <w:r>
        <w:t>transcriptome and models its predicted effect on the dry/germinating seed, returning a per cell-type,</w:t>
      </w:r>
    </w:p>
    <w:p>
      <w:r>
        <w:t>tissue, and stage susceptibility profile. Both share one projection engine (rank-based gene-set</w:t>
      </w:r>
    </w:p>
    <w:p>
      <w:r>
        <w:t>enrichment onto the seed panels). As an internal check, DSRS correctly recognizes a held-in submergence</w:t>
      </w:r>
    </w:p>
    <w:p>
      <w:r>
        <w:t>signature as belonging to the low-oxygen family.</w:t>
      </w:r>
    </w:p>
    <w:p>
      <w:pPr>
        <w:pStyle w:val="Heading2"/>
      </w:pPr>
      <w:r>
        <w:t>A validated single-cell seed reference (Fig. 3)</w:t>
      </w:r>
    </w:p>
    <w:p>
      <w:r>
        <w:t>We built a 122-panel reference of seed cell-type and state marker sets from the developmental seed atlas</w:t>
      </w:r>
    </w:p>
    <w:p>
      <w:r>
        <w:t>(snRNA-seq, 3/5/7 days after pollination) and the germination atlas (scRNA-seq, 12/24/48 h post-imbibition),</w:t>
      </w:r>
    </w:p>
    <w:p>
      <w:r>
        <w:t>spanning embryo, endosperm, seed-coat, and germinating-embryo cell types as well as the dry→germinating</w:t>
      </w:r>
    </w:p>
    <w:p>
      <w:r>
        <w:t xml:space="preserve">state axis. Panels reproduced canonical markers (oleosins and cruciferin for embryo; </w:t>
      </w:r>
      <w:r>
        <w:rPr>
          <w:i/>
        </w:rPr>
        <w:t>BANYULS</w:t>
      </w:r>
      <w:r>
        <w:t xml:space="preserve"> for the</w:t>
      </w:r>
    </w:p>
    <w:p>
      <w:r>
        <w:t>inner-integument endothelium), confirming fidelity.</w:t>
      </w:r>
    </w:p>
    <w:p>
      <w:r>
        <w:t>As a stringent positive control, we restricted the decoder's input to embryo cells only and asked which</w:t>
      </w:r>
    </w:p>
    <w:p>
      <w:r>
        <w:t xml:space="preserve">germinating-seed cell type each </w:t>
      </w:r>
      <w:r>
        <w:rPr>
          <w:i/>
        </w:rPr>
        <w:t>developing</w:t>
      </w:r>
      <w:r>
        <w:t>-embryo state maps onto. The decoder independently recovers</w:t>
      </w:r>
    </w:p>
    <w:p>
      <w:r>
        <w:t xml:space="preserve">established developmental lineages from transcriptomes alone (Fig. 3): </w:t>
      </w:r>
      <w:r>
        <w:rPr>
          <w:b/>
        </w:rPr>
        <w:t>protoderm → epidermis</w:t>
      </w:r>
      <w:r>
        <w:t>,</w:t>
      </w:r>
    </w:p>
    <w:p>
      <w:r>
        <w:rPr>
          <w:b/>
        </w:rPr>
        <w:t>hypophysis → radicle apical meristem</w:t>
      </w:r>
      <w:r>
        <w:t xml:space="preserve">, </w:t>
      </w:r>
      <w:r>
        <w:rPr>
          <w:b/>
        </w:rPr>
        <w:t>vascular primordium → provasculature</w:t>
      </w:r>
      <w:r>
        <w:t>, **inner cotyledon →</w:t>
      </w:r>
    </w:p>
    <w:p>
      <w:r>
        <w:t>cotyledon mesophyll</w:t>
      </w:r>
      <w:r>
        <w:rPr>
          <w:b/>
        </w:rPr>
        <w:t xml:space="preserve">, and </w:t>
      </w:r>
      <w:r>
        <w:t>cortical initials → hypocotyl cortex**. Recovering ground-truth lineage</w:t>
      </w:r>
    </w:p>
    <w:p>
      <w:r>
        <w:t xml:space="preserve">relationships validates the projection machinery and, notably, places the embryonic </w:t>
      </w:r>
      <w:r>
        <w:rPr>
          <w:b/>
        </w:rPr>
        <w:t>hypophysis</w:t>
      </w:r>
      <w:r>
        <w:t xml:space="preserve"> as the</w:t>
      </w:r>
    </w:p>
    <w:p>
      <w:r>
        <w:t>developmental origin of the radicle apical meristem — a point we return to below.</w:t>
      </w:r>
    </w:p>
    <w:p>
      <w:pPr>
        <w:pStyle w:val="Heading2"/>
      </w:pPr>
      <w:r>
        <w:t>Recognizing deep-space stress signatures (Fig. 2)</w:t>
      </w:r>
    </w:p>
    <w:p>
      <w:r>
        <w:t xml:space="preserve">We assembled a 27-contrast stress reference library spanning ten families: </w:t>
      </w:r>
      <w:r>
        <w:rPr>
          <w:b/>
        </w:rPr>
        <w:t>gravity</w:t>
      </w:r>
      <w:r>
        <w:t xml:space="preserve"> (spaceflight</w:t>
      </w:r>
    </w:p>
    <w:p>
      <w:r>
        <w:t>microgravity root and leaf, plus 2 g hypergravity — completing the µg↔1 g↔hypergravity axis),</w:t>
      </w:r>
    </w:p>
    <w:p>
      <w:r>
        <w:rPr>
          <w:b/>
        </w:rPr>
        <w:t>radiation</w:t>
      </w:r>
      <w:r>
        <w:t xml:space="preserve"> (galactic-cosmic-radiation-relevant low-dose and acute γ), </w:t>
      </w:r>
      <w:r>
        <w:rPr>
          <w:b/>
        </w:rPr>
        <w:t>low-oxygen</w:t>
      </w:r>
      <w:r>
        <w:t xml:space="preserve"> (hypoxia, anoxia,</w:t>
      </w:r>
    </w:p>
    <w:p>
      <w:r>
        <w:t xml:space="preserve">submergence), </w:t>
      </w:r>
      <w:r>
        <w:rPr>
          <w:b/>
        </w:rPr>
        <w:t>desiccation</w:t>
      </w:r>
      <w:r>
        <w:t xml:space="preserve"> (seed maturation drying), </w:t>
      </w:r>
      <w:r>
        <w:rPr>
          <w:b/>
        </w:rPr>
        <w:t>osmotic</w:t>
      </w:r>
      <w:r>
        <w:t xml:space="preserve"> (mannitol), </w:t>
      </w:r>
      <w:r>
        <w:rPr>
          <w:b/>
        </w:rPr>
        <w:t>ethylene</w:t>
      </w:r>
      <w:r>
        <w:t xml:space="preserve"> (ACC),</w:t>
      </w:r>
    </w:p>
    <w:p>
      <w:r>
        <w:rPr>
          <w:b/>
        </w:rPr>
        <w:t>temperature</w:t>
      </w:r>
      <w:r>
        <w:t xml:space="preserve"> (warm/thermomorphogenesis), </w:t>
      </w:r>
      <w:r>
        <w:rPr>
          <w:b/>
        </w:rPr>
        <w:t>UV</w:t>
      </w:r>
      <w:r>
        <w:t xml:space="preserve"> (UV-B), </w:t>
      </w:r>
      <w:r>
        <w:rPr>
          <w:b/>
        </w:rPr>
        <w:t>tropism</w:t>
      </w:r>
      <w:r>
        <w:t xml:space="preserve"> (gravitropism, phototropism), and</w:t>
      </w:r>
    </w:p>
    <w:p>
      <w:r>
        <w:rPr>
          <w:b/>
        </w:rPr>
        <w:t>magnetic/null-magnetic-field</w:t>
      </w:r>
      <w:r>
        <w:t xml:space="preserve"> (Fig. 2). Genome-wide signatures were projected onto the seed panels;</w:t>
      </w:r>
    </w:p>
    <w:p>
      <w:r>
        <w:t>the null-magnetic-field (NMF) response, available only as a small curated gene panel, was handled by</w:t>
      </w:r>
    </w:p>
    <w:p>
      <w:r>
        <w:t>expression-localization rather than enrichment (see Methods). Across families, a recurrent theme emerged:</w:t>
      </w:r>
    </w:p>
    <w:p>
      <w:r>
        <w:t xml:space="preserve">stressed adult/vegetative tissue transcriptionally resembles the </w:t>
      </w:r>
      <w:r>
        <w:rPr>
          <w:b/>
        </w:rPr>
        <w:t>early-germination (12 h) state</w:t>
      </w:r>
      <w:r>
        <w:t>,</w:t>
      </w:r>
    </w:p>
    <w:p>
      <w:r>
        <w:t>suggesting a shared stress-engaged transcriptional program at the onset of germination.</w:t>
      </w:r>
    </w:p>
    <w:p>
      <w:pPr>
        <w:pStyle w:val="Heading2"/>
      </w:pPr>
      <w:r>
        <w:t>Decoding stress onto germinating-seed cell types (Fig. 4)</w:t>
      </w:r>
    </w:p>
    <w:p>
      <w:r>
        <w:t>GSAD projection resolved stressor effects to individual germinating-seed cell types (Fig. 4). Microgravity</w:t>
      </w:r>
    </w:p>
    <w:p>
      <w:r>
        <w:t xml:space="preserve">showed strong </w:t>
      </w:r>
      <w:r>
        <w:rPr>
          <w:b/>
        </w:rPr>
        <w:t>light-dependence</w:t>
      </w:r>
      <w:r>
        <w:t xml:space="preserve"> (sign inversions between dark and light in embryo/endosperm/seed-coat</w:t>
      </w:r>
    </w:p>
    <w:p>
      <w:r>
        <w:t xml:space="preserve">programs), acute radiation induced </w:t>
      </w:r>
      <w:r>
        <w:rPr>
          <w:b/>
        </w:rPr>
        <w:t>embryo provascular/founder</w:t>
      </w:r>
      <w:r>
        <w:t xml:space="preserve"> programs, and low-oxygen and gravitropism</w:t>
      </w:r>
    </w:p>
    <w:p>
      <w:r>
        <w:t>each engaged root-pole identities. Null-magnetic-field-responsive genes localized most sharply to the</w:t>
      </w:r>
    </w:p>
    <w:p>
      <w:r>
        <w:rPr>
          <w:b/>
        </w:rPr>
        <w:t>radicle apical meristem</w:t>
      </w:r>
      <w:r>
        <w:t xml:space="preserve"> (localization z = +7.96), far above any marker-panel overlap expected by</w:t>
      </w:r>
    </w:p>
    <w:p>
      <w:r>
        <w:t>chance.</w:t>
      </w:r>
    </w:p>
    <w:p>
      <w:pPr>
        <w:pStyle w:val="Heading2"/>
      </w:pPr>
      <w:r>
        <w:t>The DeepSpace seed-susceptibility atlas (Fig. 5)</w:t>
      </w:r>
    </w:p>
    <w:p>
      <w:r>
        <w:t>To integrate across stressors, we scored each germinating-seed cell type by how many of the **ten stressor</w:t>
      </w:r>
    </w:p>
    <w:p>
      <w:r>
        <w:rPr>
          <w:i/>
        </w:rPr>
        <w:t>families</w:t>
      </w:r>
      <w:r>
        <w:t>** significantly target it — a family-level convergence metric that prevents any single</w:t>
      </w:r>
    </w:p>
    <w:p>
      <w:r>
        <w:t>data-rich family from dominating (Fig. 5). The result is unambiguous: the **root tip is the multi-stressor</w:t>
      </w:r>
    </w:p>
    <w:p>
      <w:r>
        <w:t>convergence apex</w:t>
      </w:r>
      <w:r>
        <w:rPr>
          <w:b/>
        </w:rPr>
        <w:t xml:space="preserve">. The </w:t>
      </w:r>
      <w:r>
        <w:t>columella/root cap is targeted by 9 of 10 families** — more than any other</w:t>
      </w:r>
    </w:p>
    <w:p>
      <w:r>
        <w:t xml:space="preserve">germinating-seed cell type — and the </w:t>
      </w:r>
      <w:r>
        <w:rPr>
          <w:b/>
        </w:rPr>
        <w:t>radicle apical meristem</w:t>
      </w:r>
      <w:r>
        <w:t xml:space="preserve"> (6/10; the specific magnetic/NMF target,</w:t>
      </w:r>
    </w:p>
    <w:p>
      <w:r>
        <w:t xml:space="preserve">localization z = +7.96) and </w:t>
      </w:r>
      <w:r>
        <w:rPr>
          <w:b/>
        </w:rPr>
        <w:t>radicle epidermis</w:t>
      </w:r>
      <w:r>
        <w:t xml:space="preserve"> (5/10) complete a broadly susceptible root pole.</w:t>
      </w:r>
    </w:p>
    <w:p>
      <w:r>
        <w:t xml:space="preserve">Beyond the root, </w:t>
      </w:r>
      <w:r>
        <w:rPr>
          <w:b/>
        </w:rPr>
        <w:t>hypocotyl cortex</w:t>
      </w:r>
      <w:r>
        <w:t xml:space="preserve"> and </w:t>
      </w:r>
      <w:r>
        <w:rPr>
          <w:b/>
        </w:rPr>
        <w:t>cotyledon mesophyll</w:t>
      </w:r>
      <w:r>
        <w:t xml:space="preserve"> emerge as secondary hotspots (6–7/10),</w:t>
      </w:r>
    </w:p>
    <w:p>
      <w:r>
        <w:t>reflecting convergent effects on cortical and photosynthetic programs. ("Unassigned" germination clusters</w:t>
      </w:r>
    </w:p>
    <w:p>
      <w:r>
        <w:t>score highly but lack a defined identity; the columella/root cap is the top biologically-defined hotspot.)</w:t>
      </w:r>
    </w:p>
    <w:p>
      <w:pPr>
        <w:pStyle w:val="Heading2"/>
      </w:pPr>
      <w:r>
        <w:t>Stage and tissue resolution</w:t>
      </w:r>
    </w:p>
    <w:p>
      <w:r>
        <w:t>At the germination-</w:t>
      </w:r>
      <w:r>
        <w:rPr>
          <w:b/>
        </w:rPr>
        <w:t>stage</w:t>
      </w:r>
      <w:r>
        <w:t xml:space="preserve"> level, **early germination (12 h) is the most multi-stressor-susceptible</w:t>
      </w:r>
    </w:p>
    <w:p>
      <w:r>
        <w:t>window**, consistent with the cross-family "12 h" convergence; the truly dry/0 h pole is</w:t>
      </w:r>
    </w:p>
    <w:p>
      <w:r>
        <w:t>under-sampled by current single-cell data. At the broad developing-</w:t>
      </w:r>
      <w:r>
        <w:rPr>
          <w:b/>
        </w:rPr>
        <w:t>tissue</w:t>
      </w:r>
      <w:r>
        <w:t xml:space="preserve"> level the signal is diffuse</w:t>
      </w:r>
    </w:p>
    <w:p>
      <w:r>
        <w:t xml:space="preserve">and weighted by small maternal tissues, indicating that </w:t>
      </w:r>
      <w:r>
        <w:rPr>
          <w:b/>
        </w:rPr>
        <w:t>cell-type × stage</w:t>
      </w:r>
      <w:r>
        <w:t>, not gross tissue, is the</w:t>
      </w:r>
    </w:p>
    <w:p>
      <w:r>
        <w:t>informative resolution.</w:t>
      </w:r>
    </w:p>
    <w:p>
      <w:pPr>
        <w:pStyle w:val="Heading2"/>
      </w:pPr>
      <w:r>
        <w:t>A convergent model centred on the radicle growth-point (Fig. 6)</w:t>
      </w:r>
    </w:p>
    <w:p>
      <w:r>
        <w:t>Four independent lines converge on the radicle growth-point (Fig. 6): (i) NMF-responsive genes localize</w:t>
      </w:r>
    </w:p>
    <w:p>
      <w:r>
        <w:t>there (z = +7.96); (ii) microgravity modulates the radicle-meristem program in a light-gated manner;</w:t>
      </w:r>
    </w:p>
    <w:p>
      <w:r>
        <w:t>(iii) gravitropism — itself a root-tip phenomenon — engages the same program; and (iv) the structure is</w:t>
      </w:r>
    </w:p>
    <w:p>
      <w:r>
        <w:t>developmentally founded by the embryonic hypophysis, which our lineage analysis maps directly onto the</w:t>
      </w:r>
    </w:p>
    <w:p>
      <w:r>
        <w:t xml:space="preserve">radicle apical meristem. We therefore propose the </w:t>
      </w:r>
      <w:r>
        <w:rPr>
          <w:b/>
        </w:rPr>
        <w:t>radicle apical meristem as a priority cellular target</w:t>
      </w:r>
    </w:p>
    <w:p>
      <w:r>
        <w:t xml:space="preserve">for deep-space seed performance, and state two high-confidence, falsifiable predictions: </w:t>
      </w:r>
      <w:r>
        <w:rPr>
          <w:b/>
        </w:rPr>
        <w:t>H1</w:t>
      </w:r>
      <w:r>
        <w:t xml:space="preserve"> — growth</w:t>
      </w:r>
    </w:p>
    <w:p>
      <w:r>
        <w:t>under a near-null magnetic field induces radicle-apical-meristem markers and alters radicle emergence, with</w:t>
      </w:r>
    </w:p>
    <w:p>
      <w:r>
        <w:t xml:space="preserve">the effect abolished in </w:t>
      </w:r>
      <w:r>
        <w:rPr>
          <w:i/>
        </w:rPr>
        <w:t>cry1 cry2</w:t>
      </w:r>
      <w:r>
        <w:t xml:space="preserve">; </w:t>
      </w:r>
      <w:r>
        <w:rPr>
          <w:b/>
        </w:rPr>
        <w:t>H2</w:t>
      </w:r>
      <w:r>
        <w:t xml:space="preserve"> — microgravity suppresses radicle proliferative programs in a</w:t>
      </w:r>
    </w:p>
    <w:p>
      <w:r>
        <w:t>light-gated manner.</w:t>
      </w:r>
    </w:p>
    <w:p>
      <w:pPr>
        <w:pStyle w:val="Heading1"/>
      </w:pPr>
      <w:r>
        <w:t>Discussion</w:t>
      </w:r>
    </w:p>
    <w:p>
      <w:r>
        <w:t>Reading the deep-space stress spectrum through a single-cell seed lens reveals that these stressors do not</w:t>
      </w:r>
    </w:p>
    <w:p>
      <w:r>
        <w:t xml:space="preserve">act diffusely: they re-tune specific seed programs, and they </w:t>
      </w:r>
      <w:r>
        <w:rPr>
          <w:b/>
        </w:rPr>
        <w:t>converge on the radicle/root apical tip</w:t>
      </w:r>
      <w:r>
        <w:t>.</w:t>
      </w:r>
    </w:p>
    <w:p>
      <w:r>
        <w:t>That convergence is biologically coherent — the radicle is the first organ to resume growth at germination,</w:t>
      </w:r>
    </w:p>
    <w:p>
      <w:r>
        <w:t>a hub of auxin and gravity signalling, and the developmental product of the hypophysis — and it is</w:t>
      </w:r>
    </w:p>
    <w:p>
      <w:r>
        <w:t>recovered independently by chemically and physically distinct stressors, which argues against a single</w:t>
      </w:r>
    </w:p>
    <w:p>
      <w:r>
        <w:t>shared artefact. The cross-family "early-germination (12 h)" signal further suggests that the onset of</w:t>
      </w:r>
    </w:p>
    <w:p>
      <w:r>
        <w:t>germination is a window of heightened environmental sensitivity.</w:t>
      </w:r>
    </w:p>
    <w:p>
      <w:r>
        <w:t xml:space="preserve">Our predictions are explicitly </w:t>
      </w:r>
      <w:r>
        <w:rPr>
          <w:b/>
        </w:rPr>
        <w:t>concordance, not causation</w:t>
      </w:r>
      <w:r>
        <w:t>: GSAD performs signature transfer across</w:t>
      </w:r>
    </w:p>
    <w:p>
      <w:r>
        <w:t>tissue and developmental stage, so each claim carries an evidence tier (direct data / atlas projection /</w:t>
      </w:r>
    </w:p>
    <w:p>
      <w:r>
        <w:t>literature / hypothesis) and a falsification test. The framework's recovery of textbook embryo lineages</w:t>
      </w:r>
    </w:p>
    <w:p>
      <w:r>
        <w:t>(Fig. 3) provides confidence that the projections reflect real cell-type biology rather than artefact.</w:t>
      </w:r>
    </w:p>
    <w:p>
      <w:r>
        <w:t>Key limitations define the next experiments. Genome-wide null-magnetic-field transcriptomes are not yet</w:t>
      </w:r>
    </w:p>
    <w:p>
      <w:r>
        <w:t>publicly deposited, so the NMF arm relies on a curated panel via localization; the dry/0 h seed pole is</w:t>
      </w:r>
    </w:p>
    <w:p>
      <w:r>
        <w:t>under-sampled at single-cell resolution; tropism transcriptomes are sparse (gravitropism RNA-seq;</w:t>
      </w:r>
    </w:p>
    <w:p>
      <w:r>
        <w:t>phototropism microarray) and sustained hypergravity is represented only by a microarray-tier callus</w:t>
      </w:r>
    </w:p>
    <w:p>
      <w:r>
        <w:t>dataset (2 g, GSE29787); osmotic and UV-B use AtGenExpress ATH1 microarrays and desiccation uses seed-</w:t>
      </w:r>
    </w:p>
    <w:p>
      <w:r>
        <w:t>maturation drying as a proxy; and several contrasts are thus microarray- or translatome-tier. None of these undermines the central, multiply-supported result, and</w:t>
      </w:r>
    </w:p>
    <w:p>
      <w:r>
        <w:t>each is addressable as data accrue. The tools are organism-agnostic in design and can incorporate new</w:t>
      </w:r>
    </w:p>
    <w:p>
      <w:r>
        <w:t>stressors (e.g., desiccation, ethylene/CO₂, partial gravity) as reference panels.</w:t>
      </w:r>
    </w:p>
    <w:p>
      <w:pPr>
        <w:pStyle w:val="Heading1"/>
      </w:pPr>
      <w:r>
        <w:t>Methods</w:t>
      </w:r>
    </w:p>
    <w:p>
      <w:r>
        <w:rPr>
          <w:b/>
        </w:rPr>
        <w:t>Seed single-cell reference.</w:t>
      </w:r>
      <w:r>
        <w:t xml:space="preserve"> Developmental seed atlas (snRNA-seq, 3/5/7 DAP) and germination atlas</w:t>
      </w:r>
    </w:p>
    <w:p>
      <w:r>
        <w:t>(scRNA-seq, 12/24/48 h). Cell-type/state marker panels (top 50 genes/group, ≥20 cells, Wilcoxon) were</w:t>
      </w:r>
    </w:p>
    <w:p>
      <w:r>
        <w:t>compiled into a 122-panel library (exported as GMT). Germination clusters were annotated from the source</w:t>
      </w:r>
    </w:p>
    <w:p>
      <w:r>
        <w:t>publication and confirmed against canonical markers.</w:t>
      </w:r>
    </w:p>
    <w:p>
      <w:r>
        <w:rPr>
          <w:b/>
        </w:rPr>
        <w:t>Stressor signatures.</w:t>
      </w:r>
      <w:r>
        <w:t xml:space="preserve"> Genome-wide differential expression was obtained from NASA OSDR (microgravity:</w:t>
      </w:r>
    </w:p>
    <w:p>
      <w:r>
        <w:t>OSD-120, OSD-678; radiation: OSD-658, OSD-498, OSD-502, OSD-508, OSD-510, OSD-782) and GEO (low-oxygen:</w:t>
      </w:r>
    </w:p>
    <w:p>
      <w:r>
        <w:t>GSE315308, GSE182724; gravitropism: GSE199142; phototropism: GSE3847; hypergravity: GSE29787, 2 g vs 1 g</w:t>
      </w:r>
    </w:p>
    <w:p>
      <w:r>
        <w:t>callus, two-color Agilent GPL9020; desiccation: GSE76015, seed 21 vs 15 DAF; ethylene: GSE193833, ACC</w:t>
      </w:r>
    </w:p>
    <w:p>
      <w:r>
        <w:t>4 h vs 0 h; temperature: GSE303133, 27 vs 21 °C; osmotic: AtGenExpress GSE5622 and UV-B: GSE5626, each</w:t>
      </w:r>
    </w:p>
    <w:p>
      <w:r>
        <w:t>vs control GSE5620, ATH1/GPL198). Wild-type, treatment-vs-control contrasts were used. Gene identifiers</w:t>
      </w:r>
    </w:p>
    <w:p>
      <w:r>
        <w:t>were harmonized to AGI/TAIR (Entrez, Affymetrix ATH1/GPL198, and Agilent GPL9020 maps provided). The null-magnetic-field panel derives from Maffei-group time-course microarrays (curated</w:t>
      </w:r>
    </w:p>
    <w:p>
      <w:r>
        <w:t>oxidative/polyphenol gene set).</w:t>
      </w:r>
    </w:p>
    <w:p>
      <w:r>
        <w:rPr>
          <w:b/>
        </w:rPr>
        <w:t>Projection (DSRS/GSAD).</w:t>
      </w:r>
      <w:r>
        <w:t xml:space="preserve"> Each signature was ranked by log2FC and projected onto the panels by</w:t>
      </w:r>
    </w:p>
    <w:p>
      <w:r>
        <w:t>pre-ranked gene-set enrichment (gseapy; 200 permutations; seed 42), yielding a normalized enrichment score</w:t>
      </w:r>
    </w:p>
    <w:p>
      <w:r>
        <w:t>(NES) and FDR per panel. DSRS scores query-to-reference similarity of seed-program fingerprints (rank</w:t>
      </w:r>
    </w:p>
    <w:p>
      <w:r>
        <w:t>correlation). The NMF panel (≤7-gene overlap with marker panels) was instead localized onto cell-type</w:t>
      </w:r>
    </w:p>
    <w:p>
      <w:r>
        <w:t>expression specificity (mean specificity vs 1,000 random gene sets → z).</w:t>
      </w:r>
    </w:p>
    <w:p>
      <w:r>
        <w:rPr>
          <w:b/>
        </w:rPr>
        <w:t>Atlas/convergence.</w:t>
      </w:r>
      <w:r>
        <w:t xml:space="preserve"> A cell type was deemed susceptible to a family if any contrast in that family had</w:t>
      </w:r>
    </w:p>
    <w:p>
      <w:r>
        <w:t>|NES| ≥ 1.5 and FDR &lt; 0.25 (or NMF localization |z| ≥ 2). Convergence = number of the ten families meeting</w:t>
      </w:r>
    </w:p>
    <w:p>
      <w:r>
        <w:t>this threshold. Bridge/lineage analyses used pseudobulk and ssGSEA with within-source scaling.</w:t>
      </w:r>
    </w:p>
    <w:p>
      <w:r>
        <w:rPr>
          <w:b/>
        </w:rPr>
        <w:t>Software.</w:t>
      </w:r>
      <w:r>
        <w:t xml:space="preserve"> </w:t>
      </w:r>
      <w:r>
        <w:rPr>
          <w:rFonts w:ascii="Consolas" w:hAnsi="Consolas"/>
          <w:sz w:val="19"/>
        </w:rPr>
        <w:t>deepspace</w:t>
      </w:r>
      <w:r>
        <w:t xml:space="preserve"> Python package (DSRS, GSAD, CLI). Determinism via fixed seeds; full pipeline in</w:t>
      </w:r>
    </w:p>
    <w:p>
      <w:r>
        <w:t>numbered scripts (see Code availability).</w:t>
      </w:r>
    </w:p>
    <w:p>
      <w:pPr>
        <w:pStyle w:val="Heading1"/>
      </w:pPr>
      <w:r>
        <w:t>Data availability</w:t>
      </w:r>
    </w:p>
    <w:p>
      <w:r>
        <w:t xml:space="preserve">All inputs are public (provenance and accessions in the repository </w:t>
      </w:r>
      <w:r>
        <w:rPr>
          <w:rFonts w:ascii="Consolas" w:hAnsi="Consolas"/>
          <w:sz w:val="19"/>
        </w:rPr>
        <w:t>data/data_inventory.csv</w:t>
      </w:r>
      <w:r>
        <w:t>):</w:t>
      </w:r>
    </w:p>
    <w:p>
      <w:r>
        <w:t xml:space="preserve">developmental seed atlas </w:t>
      </w:r>
      <w:r>
        <w:rPr>
          <w:b/>
        </w:rPr>
        <w:t>GSE295007</w:t>
      </w:r>
      <w:r>
        <w:t xml:space="preserve">; germination atlas </w:t>
      </w:r>
      <w:r>
        <w:rPr>
          <w:b/>
        </w:rPr>
        <w:t>GSE182331</w:t>
      </w:r>
      <w:r>
        <w:t xml:space="preserve"> (mirror of ArrayExpress</w:t>
      </w:r>
    </w:p>
    <w:p>
      <w:r>
        <w:rPr>
          <w:b/>
        </w:rPr>
        <w:t>E-MTAB-12532</w:t>
      </w:r>
      <w:r>
        <w:t xml:space="preserve">); microgravity/radiation </w:t>
      </w:r>
      <w:r>
        <w:rPr>
          <w:b/>
        </w:rPr>
        <w:t>OSD-120/678/658/498/502/508/510/782</w:t>
      </w:r>
      <w:r>
        <w:t xml:space="preserve"> (NASA OSDR); low-oxygen</w:t>
      </w:r>
    </w:p>
    <w:p>
      <w:r>
        <w:rPr>
          <w:b/>
        </w:rPr>
        <w:t>GSE315308</w:t>
      </w:r>
      <w:r>
        <w:t xml:space="preserve">, </w:t>
      </w:r>
      <w:r>
        <w:rPr>
          <w:b/>
        </w:rPr>
        <w:t>GSE182724</w:t>
      </w:r>
      <w:r>
        <w:t xml:space="preserve">; gravitropism </w:t>
      </w:r>
      <w:r>
        <w:rPr>
          <w:b/>
        </w:rPr>
        <w:t>GSE199142</w:t>
      </w:r>
      <w:r>
        <w:t xml:space="preserve">; phototropism </w:t>
      </w:r>
      <w:r>
        <w:rPr>
          <w:b/>
        </w:rPr>
        <w:t>GSE3847</w:t>
      </w:r>
      <w:r>
        <w:t xml:space="preserve"> (GPL198); hypergravity</w:t>
      </w:r>
    </w:p>
    <w:p>
      <w:r>
        <w:rPr>
          <w:b/>
        </w:rPr>
        <w:t>GSE29787</w:t>
      </w:r>
      <w:r>
        <w:t xml:space="preserve"> (2 g, GPL9020); desiccation </w:t>
      </w:r>
      <w:r>
        <w:rPr>
          <w:b/>
        </w:rPr>
        <w:t>GSE76015</w:t>
      </w:r>
      <w:r>
        <w:t xml:space="preserve">; ethylene </w:t>
      </w:r>
      <w:r>
        <w:rPr>
          <w:b/>
        </w:rPr>
        <w:t>GSE193833</w:t>
      </w:r>
      <w:r>
        <w:t xml:space="preserve">; temperature </w:t>
      </w:r>
      <w:r>
        <w:rPr>
          <w:b/>
        </w:rPr>
        <w:t>GSE303133</w:t>
      </w:r>
      <w:r>
        <w:t>;</w:t>
      </w:r>
    </w:p>
    <w:p>
      <w:r>
        <w:t xml:space="preserve">osmotic </w:t>
      </w:r>
      <w:r>
        <w:rPr>
          <w:b/>
        </w:rPr>
        <w:t>GSE5622</w:t>
      </w:r>
      <w:r>
        <w:t xml:space="preserve"> and UV-B </w:t>
      </w:r>
      <w:r>
        <w:rPr>
          <w:b/>
        </w:rPr>
        <w:t>GSE5626</w:t>
      </w:r>
      <w:r>
        <w:t xml:space="preserve"> vs control </w:t>
      </w:r>
      <w:r>
        <w:rPr>
          <w:b/>
        </w:rPr>
        <w:t>GSE5620</w:t>
      </w:r>
      <w:r>
        <w:t xml:space="preserve"> (AtGenExpress, GPL198). Genome-wide</w:t>
      </w:r>
    </w:p>
    <w:p>
      <w:r>
        <w:t>null-magnetic-field arrays (Parmagnani/Maffei 2022; Agliassa/Maffei 2021) are not publicly deposited and</w:t>
      </w:r>
    </w:p>
    <w:p>
      <w:r>
        <w:t>were requested from the authors; the curated panel is included.</w:t>
      </w:r>
    </w:p>
    <w:p>
      <w:pPr>
        <w:pStyle w:val="Heading1"/>
      </w:pPr>
      <w:r>
        <w:t>Code availability</w:t>
      </w:r>
    </w:p>
    <w:p>
      <w:r>
        <w:t>Tools and pipeline are released under the MIT license with a Zenodo DOI [to be minted on deposit]: the</w:t>
      </w:r>
    </w:p>
    <w:p>
      <w:r>
        <w:rPr>
          <w:rFonts w:ascii="Consolas" w:hAnsi="Consolas"/>
          <w:sz w:val="19"/>
        </w:rPr>
        <w:t>deepspace</w:t>
      </w:r>
      <w:r>
        <w:t xml:space="preserve"> package (DSRS + GSAD + CLI), the panel library (GMT), numbered reproduction scripts, and a</w:t>
      </w:r>
    </w:p>
    <w:p>
      <w:r>
        <w:rPr>
          <w:rFonts w:ascii="Consolas" w:hAnsi="Consolas"/>
          <w:sz w:val="19"/>
        </w:rPr>
        <w:t>REPRODUCE.md</w:t>
      </w:r>
      <w:r>
        <w:t xml:space="preserve"> guide. Figures F1–F6 are regenerated by </w:t>
      </w:r>
      <w:r>
        <w:rPr>
          <w:rFonts w:ascii="Consolas" w:hAnsi="Consolas"/>
          <w:sz w:val="19"/>
        </w:rPr>
        <w:t>scripts/20_manuscript_figures.py</w:t>
      </w:r>
      <w:r>
        <w:t>.</w:t>
      </w:r>
    </w:p>
    <w:p>
      <w:pPr>
        <w:pStyle w:val="Heading1"/>
      </w:pPr>
      <w:r>
        <w:t>Selected references</w:t>
      </w:r>
    </w:p>
    <w:p>
      <w:pPr>
        <w:pStyle w:val="ListNumber"/>
      </w:pPr>
      <w:r>
        <w:t xml:space="preserve">Martin, Cogdill, Pusey, … Gehring. </w:t>
      </w:r>
      <w:r>
        <w:rPr>
          <w:i/>
        </w:rPr>
        <w:t>Transcriptional atlas of early Arabidopsis seed development.</w:t>
      </w:r>
      <w:r>
        <w:t xml:space="preserve"> npj? — </w:t>
      </w:r>
      <w:r>
        <w:rPr>
          <w:i/>
        </w:rPr>
        <w:t>Nat. Plants</w:t>
      </w:r>
      <w:r>
        <w:t xml:space="preserve"> (2026). doi:10.1038/s41477-026-02295-8 (GSE295007).</w:t>
      </w:r>
    </w:p>
    <w:p>
      <w:pPr>
        <w:pStyle w:val="ListNumber"/>
      </w:pPr>
      <w:r>
        <w:t xml:space="preserve">Liew, …, Lewsey. </w:t>
      </w:r>
      <w:r>
        <w:rPr>
          <w:i/>
        </w:rPr>
        <w:t>Establishment of single-cell transcriptional states during seed germination.</w:t>
      </w:r>
      <w:r>
        <w:t xml:space="preserve"> </w:t>
      </w:r>
      <w:r>
        <w:rPr>
          <w:i/>
        </w:rPr>
        <w:t>Nat. Plants</w:t>
      </w:r>
      <w:r>
        <w:t xml:space="preserve"> (2024). doi:10.1038/s41477-024-01771-3 (E-MTAB-12532 / GSE182331).</w:t>
      </w:r>
    </w:p>
    <w:p>
      <w:pPr>
        <w:pStyle w:val="ListNumber"/>
      </w:pPr>
      <w:r>
        <w:t xml:space="preserve">Parmagnani, Mannino, Maffei. </w:t>
      </w:r>
      <w:r>
        <w:rPr>
          <w:i/>
        </w:rPr>
        <w:t>Transcriptomics and metabolomics of ROS modulation in near-null magnetic field Arabidopsis.</w:t>
      </w:r>
      <w:r>
        <w:t xml:space="preserve"> </w:t>
      </w:r>
      <w:r>
        <w:rPr>
          <w:i/>
        </w:rPr>
        <w:t>Biomolecules</w:t>
      </w:r>
      <w:r>
        <w:t xml:space="preserve"> (2022). doi:10.3390/biom12121824.</w:t>
      </w:r>
    </w:p>
    <w:p>
      <w:pPr>
        <w:pStyle w:val="ListNumber"/>
      </w:pPr>
      <w:r>
        <w:t xml:space="preserve">Agliassa, Maffei. </w:t>
      </w:r>
      <w:r>
        <w:rPr>
          <w:i/>
        </w:rPr>
        <w:t>Differential root and shoot magnetoresponses in Arabidopsis.</w:t>
      </w:r>
      <w:r>
        <w:t xml:space="preserve"> </w:t>
      </w:r>
      <w:r>
        <w:rPr>
          <w:i/>
        </w:rPr>
        <w:t>Sci. Rep.</w:t>
      </w:r>
      <w:r>
        <w:t xml:space="preserve"> (2021). doi:10.1038/s41598-021-88695-6.</w:t>
      </w:r>
    </w:p>
    <w:p>
      <w:pPr>
        <w:pStyle w:val="ListNumber"/>
      </w:pPr>
      <w:r>
        <w:t xml:space="preserve">Jin et al. </w:t>
      </w:r>
      <w:r>
        <w:rPr>
          <w:i/>
        </w:rPr>
        <w:t>Static magnetic field regulates Arabidopsis root growth via auxin signaling.</w:t>
      </w:r>
      <w:r>
        <w:t xml:space="preserve"> </w:t>
      </w:r>
      <w:r>
        <w:rPr>
          <w:i/>
        </w:rPr>
        <w:t>Sci. Rep.</w:t>
      </w:r>
      <w:r>
        <w:t xml:space="preserve"> (2019). doi:10.1038/s41598-019-50970-y.</w:t>
      </w:r>
    </w:p>
    <w:p>
      <w:pPr>
        <w:pStyle w:val="ListNumber"/>
      </w:pPr>
      <w:r>
        <w:t xml:space="preserve">Esmon et al. </w:t>
      </w:r>
      <w:r>
        <w:rPr>
          <w:i/>
        </w:rPr>
        <w:t>A gradient of auxin and auxin-dependent transcription precedes tropic growth.</w:t>
      </w:r>
      <w:r>
        <w:t xml:space="preserve"> </w:t>
      </w:r>
      <w:r>
        <w:rPr>
          <w:i/>
        </w:rPr>
        <w:t>PNAS</w:t>
      </w:r>
      <w:r>
        <w:t xml:space="preserve"> (2006) (GSE3847).</w:t>
      </w:r>
    </w:p>
    <w:p>
      <w:pPr>
        <w:pStyle w:val="ListNumber"/>
      </w:pPr>
      <w:r>
        <w:t>NASA GeneLab/OSDR plant spaceflight datasets (OSD-120/678/658/498/502/508/510/782).</w:t>
      </w:r>
    </w:p>
    <w:p>
      <w:pPr>
        <w:pStyle w:val="ListNumber"/>
      </w:pPr>
      <w:r>
        <w:t xml:space="preserve">Subramanian et al. </w:t>
      </w:r>
      <w:r>
        <w:rPr>
          <w:i/>
        </w:rPr>
        <w:t>Gene set enrichment analysis.</w:t>
      </w:r>
      <w:r>
        <w:t xml:space="preserve"> </w:t>
      </w:r>
      <w:r>
        <w:rPr>
          <w:i/>
        </w:rPr>
        <w:t>PNAS</w:t>
      </w:r>
      <w:r>
        <w:t xml:space="preserve"> (2005).</w:t>
      </w:r>
    </w:p>
    <w:p>
      <w:pPr>
        <w:pStyle w:val="Heading1"/>
      </w:pPr>
      <w:r>
        <w:t>Author contributions / Competing interests / Acknowledgements</w:t>
      </w:r>
    </w:p>
    <w:p>
      <w:r>
        <w:t>[To complete.] The authors declare no competing interests. We thank the data-generating consortia (Gehring</w:t>
      </w:r>
    </w:p>
    <w:p>
      <w:r>
        <w:t>and Lewsey labs; NASA GeneLab/OSDR; the Maffei group) whose public/shared data enabled this work.</w:t>
      </w:r>
    </w:p>
    <w:p>
      <w:r>
        <w:t>*Figures: F1 concept workflow; F2 DSRS stress library; F3 seed reference + embryo-lineage validation;</w:t>
      </w:r>
    </w:p>
    <w:p>
      <w:r>
        <w:t xml:space="preserve">F4 GSAD susceptibility; F5 DeepSpace atlas (headline); F6 convergence model. Files in </w:t>
      </w:r>
      <w:r>
        <w:rPr>
          <w:rFonts w:ascii="Consolas" w:hAnsi="Consolas"/>
          <w:sz w:val="19"/>
        </w:rPr>
        <w:t>report/figures_npj/</w:t>
      </w:r>
      <w:r>
        <w:t>.*</w:t>
      </w:r>
    </w:p>
    <w:p>
      <w:r>
        <w:br w:type="page"/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5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concep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Two-tool framework: signature → DSRS / GSAD → DeepSpace atlas.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5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stress_libr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5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2. DSRS stress reference library — 27 contrasts (10 families) → seed programs.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2361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seed_reference_embryo_line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3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3. Seed reference validation — developing-embryo state → germinating cell type recovers textbook lineages.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17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gsad_suscepti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4. GSAD — stressor → germinating-seed cell-type susceptibility.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9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deepspace_atl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5. DeepSpace seed-susceptibility atlas — cell-type × stressor family + convergence (radicle-tip hotspot).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13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convergence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6. Radicle growth-point: deep-space multi-stressor convergence model + falsification tests.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