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26 June 2026</w:t>
      </w:r>
    </w:p>
    <w:p/>
    <w:p>
      <w:r>
        <w:t>Editor</w:t>
      </w:r>
    </w:p>
    <w:p>
      <w:r>
        <w:t>npj Microgravity</w:t>
      </w:r>
    </w:p>
    <w:p>
      <w:r>
        <w:t>Nature Portfolio</w:t>
      </w:r>
    </w:p>
    <w:p/>
    <w:p>
      <w:r>
        <w:t>Dear Editor,</w:t>
      </w:r>
    </w:p>
    <w:p/>
    <w:p>
      <w:r>
        <w:t xml:space="preserve">We are pleased to submit our manuscript entitled </w:t>
      </w:r>
      <w:r>
        <w:rPr>
          <w:b/>
        </w:rPr>
        <w:t>"Spaceflight drives tomato into a salicylic-acid–deficient, biotic-defense-primed transcriptional state: a cross-mission integration"</w:t>
      </w:r>
      <w:r>
        <w:t xml:space="preserve"> for consideration in npj Microgravity.</w:t>
      </w:r>
    </w:p>
    <w:p/>
    <w:p>
      <w:r>
        <w:t>This study is the integrative capstone of a three-paper set on tomato spaceflight transcriptomics. The two companion papers each analyse a single mission: one examines how light quality shapes the spaceflight response in the VEG-05 chamber (NASA OSD-767), and the other manipulates salicylic-acid (SA) signalling — using the SA-deficient *NahG* line and exogenous SA — aboard the Advanced Plant Habitat. The present manuscript asks what is *conserved* between them, and in doing so resolves a long-standing problem in the field. Our central advances are:</w:t>
      </w:r>
    </w:p>
    <w:p/>
    <w:p>
      <w:r>
        <w:t xml:space="preserve">1. </w:t>
      </w:r>
      <w:r>
        <w:rPr>
          <w:b/>
        </w:rPr>
        <w:t>A reproducibility paradox, resolved by changing the unit of analysis.</w:t>
      </w:r>
      <w:r>
        <w:t xml:space="preserve"> Across 16,516 shared genes, the two studies' leaf spaceflight responses are essentially uncorrelated (Spearman ρ = 0.05; only nine shared DEGs), echoing the well-known non-reproducibility of gene-level spaceflight signatures. Yet when both datasets are projected into a shared Plant PhysioSpace, a strongly conserved stress-pattern response emerges. We argue that </w:t>
      </w:r>
      <w:r>
        <w:rPr>
          <w:b/>
        </w:rPr>
        <w:t>stress-pattern decoding, not differentially expressed gene lists, is the appropriate currency for cross-mission plant spaceflight meta-analysis</w:t>
      </w:r>
      <w:r>
        <w:t xml:space="preserve"> — a methodological point with broad relevance as the community accumulates flight datasets.</w:t>
      </w:r>
    </w:p>
    <w:p/>
    <w:p>
      <w:r>
        <w:t xml:space="preserve">2. </w:t>
      </w:r>
      <w:r>
        <w:rPr>
          <w:b/>
        </w:rPr>
        <w:t>Spaceflight resembles a salicylic-acid–deficient state.</w:t>
      </w:r>
      <w:r>
        <w:t xml:space="preserve"> The OSD-767 spaceflight signature matches the *NahG* (SA-removed) state far more than wild-type (Pearson r = 0.78, p = 0.001 versus r = −0.15), and — most tellingly — similarity to the spaceflight signature rises monotonically as SA tone falls across five experimental groups. Because OSD-767 applied no SA manipulation while the APH study did, the two together support a causal reading: spaceflight itself drives tomato toward a functionally SA-deficient, defense-primed state, which endogenous SA normally buffers.</w:t>
      </w:r>
    </w:p>
    <w:p/>
    <w:p>
      <w:r>
        <w:t xml:space="preserve">3. </w:t>
      </w:r>
      <w:r>
        <w:rPr>
          <w:b/>
        </w:rPr>
        <w:t>A conserved, spatially localized defense program.</w:t>
      </w:r>
      <w:r>
        <w:t xml:space="preserve"> The conserved axes (biotic/hormone, nitrogen, cold) and their localization to outer/epidermal cell types are reproduced independently in both studies, tying the molecular signature to a surface-tissue defense response.</w:t>
      </w:r>
    </w:p>
    <w:p/>
    <w:p>
      <w:r>
        <w:t xml:space="preserve">4. </w:t>
      </w:r>
      <w:r>
        <w:rPr>
          <w:b/>
        </w:rPr>
        <w:t>A practical lever for space agriculture.</w:t>
      </w:r>
      <w:r>
        <w:t xml:space="preserve"> If endogenous SA buffers a defense-stress burden imposed by spaceflight, then managing SA tone — genetically, through priming, or by application — becomes a candidate strategy for improving crop performance in bioregenerative life-support systems. This hypothesis is directly testable in existing flight hardware.</w:t>
      </w:r>
    </w:p>
    <w:p/>
    <w:p>
      <w:r>
        <w:t>This work is well suited to npj Microgravity: it continues a mission-focused line of space-biology research, delivers a methodological framework the readership can reuse, and yields an actionable recommendation for crop production in space. We are transparent about the study's principal constraint — mission, cultivar, growth chamber and sequencing pipeline are mutually confounded — and our design deliberately integrates on relative, batch-resistant quantities, treating only what replicates across both studies as conserved.</w:t>
      </w:r>
    </w:p>
    <w:p/>
    <w:p>
      <w:r>
        <w:t>All inputs derive from publicly available data: OSD-767 is on the NASA Open Science Data Repository, and the Advanced Plant Habitat data are likewise deposited with NASA GeneLab. The complete, reproducible integration pipeline is archived on Zenodo (DOI to be added on acceptance) and on GitHub. This manuscript has not been published previously and is not under consideration elsewhere; we suggest it be considered alongside its two companion submissions.</w:t>
      </w:r>
    </w:p>
    <w:p/>
    <w:p>
      <w:r>
        <w:t>We thank you for your consideration and look forward to your response.</w:t>
      </w:r>
    </w:p>
    <w:p/>
    <w:p>
      <w:r>
        <w:t>Sincerely,</w:t>
      </w:r>
    </w:p>
    <w:p/>
    <w:p>
      <w:r>
        <w:t>Richard Barker</w:t>
      </w:r>
    </w:p>
    <w:p>
      <w:r>
        <w:t>Purdue University, West Lafayette, IN, USA</w:t>
      </w:r>
    </w:p>
    <w:p>
      <w:r>
        <w:t>[Email]</w:t>
      </w:r>
    </w:p>
    <w:p>
      <w: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