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[GitHub repository URL].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but the flight effect under blue light was nearly 9-fold larger (4,716 DEGs) than under red light (523 DEGs). The formal interaction term identified 3,189 DEGs, confirming that the transcriptional response to spaceflight is strongly modulated by light quality.</w:t>
      </w:r>
    </w:p>
    <w:p>
      <w:r>
        <w:t>In adventitious roots, the flight response was predominantly upregulation (896 DEGs: 783 up, 113 down, 87% upregulated),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this module revealed enrichment for oxidative stress response genes, including peroxidase activity and hydrogen peroxide catabolism.</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Factor 1 was significantly correlated with flight status (Spearman ρ=−0.76, padj=0.001),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The enrichment of oxidative stress genes in this module suggests that fungal community restructuring may trigger host defense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