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78 fungal ASVs from 142 and 141 samples respectively. Spaceflight accounted for 28% of the variation in leaf bacterial community composition (PERMANOVA, p=0.001), and flight samples had higher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padj=0.009) but not with flight status (r=−0.38, padj=0.32), representing a microbe-driven host transcriptional signature independent of the direct spaceflight stimulus. MOFA+ integration of 18 leaf samples across three omics layers found a dominant flight-associated factor (44% of transcriptome variance). The most abundant FAPROTAX-predicted bacterial functions were (aerobic) chemoheterotrophy, ureolysis, nitrogen fixation and methylotrophy.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 OSD-766 labels the adventitious-root samples of ground plants SN02, SN04 and SN05 blue-rich, whereas it labels those plants' leaf samples red-rich and OSD-767 names their root RNA-seq samples Red; these three samples were treated as red-rich.</w:t>
      </w:r>
    </w:p>
    <w:p>
      <w:pPr>
        <w:pStyle w:val="Heading2"/>
      </w:pPr>
      <w:r>
        <w:t>Microbiome amplicon processing</w:t>
      </w:r>
    </w:p>
    <w:p>
      <w:r>
        <w:t>16S rRNA (V4 region, 515F/806R primers) and ITS2 (ITS3F/ITS4 primers) reads were processed using DADA2 v1.40.0 [8] in R. For 16S, primers were already removed; reads were truncated at 240 bp (R1) and 160 bp (R2) with maxEE=2, length-filtered to 200–260 bp, and pooled for denoising. Taxonomy was assigned against SILVA 138.1 [9]. Chloroplast and mitochondrial ASVs were removed prior to community analysis. For ITS, primers were removed with cutadapt [10]; R2 reads were truncated at 180 bp due to quality degradation; taxonomy was assigned against the UNITE v7.2 QIIME release (1 December 2017, 99% clusters) [11]. Taxonomy was assigned with a fixed random seed and DADA2's default 50% bootstrap threshold.</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Each main effect is the effect of one factor averaged over both levels of the other. Log-fold changes were shrunk with ashr [14] for the main effects and the within-light contrasts, and with apeglm [13] for the interaction term.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terms added sequentially: flight, light, flight × light) using vegan [16]. A dysbiosis index was calculated for each flight sample as its mean Bray-Curtis distance to all ground samples of the same compartment (both light treatments), divided by the mean pairwise distance among those ground samples. Differential abundance testing used ALDEx2 [17] with 128 Monte Carlo instances, requiring both a Benjamini–Hochberg-adjusted Welch p &lt; 0.05 and |effect size| &gt; 1; positive effects are higher in flight.</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(Pearson) with flight status, light treatment, and the 16S/ITS dysbiosis indices of the same plant and tissue. A ground sample's index is its mean Bray-Curtis distance to the other ground samples of its compartment, over the same denominator, so ground indices average 1. Dysbiosis indices exist for 21 (16S) and 18 (ITS) of the 21 leaf samples and for 15 and 12 of the 15 adventitious-root samples; each correlation's p-value uses that number of samples. Hub genes were the 10 genes with the highest module membership (kME) in each module (all kME ≥ 0.86).</w:t>
      </w:r>
    </w:p>
    <w:p>
      <w:pPr>
        <w:pStyle w:val="Heading2"/>
      </w:pPr>
      <w:r>
        <w:t>MOFA+ multi-omics integration</w:t>
      </w:r>
    </w:p>
    <w:p>
      <w:r>
        <w:t>MOFA2 [6] was trained on the 18 leaf samples with RNA-seq, 16S and ITS data from the same leaf, in three views: transcriptome (2,000 most variable genes), 16S (the 101 bacterial ASVs detected in those samples), and ITS (40 fungal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for the 348 bacterial ASVs using FAPROTAX 1.2.12 [19] and its collapse_table.py (whole-word taxon matching, with hyphens treated as word separators so that each genus in SILVA's merged genus names is matched).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78 fungal ASVs (156,102 reads, 15.4% of primer-trimmed reads); 121 of the 141 samples retained reads.</w:t>
      </w:r>
    </w:p>
    <w:p>
      <w:r>
        <w:t>Spaceflight changed bacterial community composition in leaves (PERMANOVA flight term: R²=0.28, F=8.24, p=0.001, n=21) and adventitious roots (R²=0.29, F=5.90, p=0.001, n=15; Table S4). Light quality had no significant main effect in either tissue, but the flight × light interaction did (leaf R²=0.11, p=0.035; root R²=0.11, p=0.027).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3.69 ± 2.78 vs. 1.00 ± 0.22), and spaceflight changed leaf fungal composition (flight term R²=0.36, F=9.35, p=0.007, n=18). Adventitious root fungal community composition differed by flight (R²=0.40, F=13.1, p=0.001), light (R²=0.19, p=0.005) and their interaction (R²=0.16, p=0.006; n=12).</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(mean Bray-Curtis distance to ground samples, relative to ground-ground distance);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(BH-adjusted p &lt; 0.05 and |effect| &gt; 1), all of them more abundant in flight. In leaf 16S, an Erwiniaceae ASV (ASV024; assigned to </w:t>
      </w:r>
      <w:r>
        <w:rPr>
          <w:i/>
        </w:rPr>
        <w:t>Pantoea</w:t>
      </w:r>
      <w:r>
        <w:t xml:space="preserve"> with 49% bootstrap support, just below the 50% threshold) was enriched in flight (effect=+1.10). In ITS, </w:t>
      </w:r>
      <w:r>
        <w:rPr>
          <w:i/>
        </w:rPr>
        <w:t>Penicillium citrinum</w:t>
      </w:r>
      <w:r>
        <w:t xml:space="preserve"> (ASV003) was enriched in flight leaves (effect=+1.90). In adventitious roots, three bacterial taxa (16S ASV004, </w:t>
      </w:r>
      <w:r>
        <w:rPr>
          <w:i/>
        </w:rPr>
        <w:t>Burkholderia-Caballeronia-Paraburkholderia</w:t>
      </w:r>
      <w:r>
        <w:t xml:space="preserve">, +1.58; ASV021, Rhizobiaceae, +3.25; ASV022, </w:t>
      </w:r>
      <w:r>
        <w:rPr>
          <w:i/>
        </w:rPr>
        <w:t>Dyadobacter</w:t>
      </w:r>
      <w:r>
        <w:t xml:space="preserve">, +2.22) were enriched in flight. A </w:t>
      </w:r>
      <w:r>
        <w:rPr>
          <w:i/>
        </w:rPr>
        <w:t>Fusarium</w:t>
      </w:r>
      <w:r>
        <w:t xml:space="preserve"> ASV (ITS ASV006) had a similar effect in roots (+1.91) but did not pass the threshold (BH-adjusted p=0.053).</w:t>
      </w:r>
    </w:p>
    <w:p>
      <w:pPr>
        <w:pStyle w:val="Heading2"/>
      </w:pPr>
      <w:r>
        <w:t>Spaceflight transcriptional response is light-dependent</w:t>
      </w:r>
    </w:p>
    <w:p>
      <w:r>
        <w:t>DESeq2 analysis revealed a pronounced interaction between spaceflight and light quality (Table S2). In leaves, the flight main effect (the flight effect averaged over the two light treatments) gave 2,683 DEGs (1,368 up, 1,315 down; Fig. 3B). Separate models within each light treatment gave 4,716 DEGs under blue-rich light and 523 under red-rich light (Fig. 3). The formal interaction term identified 3,189 DEGs, confirming that the transcriptional response to spaceflight is strongly modulated by light quality.</w:t>
      </w:r>
    </w:p>
    <w:p>
      <w:r>
        <w:t>In adventitious roots, the flight main effect was predominantly upregulation (1,501 DEGs: 1,245 up, 256 down, 83%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 (flight main effect of the flight × light model: the flight effect averaged over the two light treatments).*</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(flight main effect, averaged over the two light treatments; predominantly upregulation).*</w:t>
      </w:r>
    </w:p>
    <w:p>
      <w:pPr>
        <w:pStyle w:val="Heading2"/>
      </w:pPr>
      <w:r>
        <w:t>WGCNA identifies a microbe-driven host transcriptional module</w:t>
      </w:r>
    </w:p>
    <w:p>
      <w:r>
        <w:t>WGCNA of the leaf transcriptome identified 12 modules plus unassigned genes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16 modules plus unassigned genes (power=18). The key finding was the black module (n=169 genes), which was strongly correlated with ITS dysbiosis (r=−0.85, padj=0.009, 12 plants) but not with flight status (r=−0.38, padj=0.32). The correlation holds within flight plants (r=−0.87, n=6) and within ground plants (r=−0.75, n=6), although the ITS dysbiosis index is itself higher in flight (r=0.70 with flight status). The green module (n=287; ITS r=−0.72, padj=0.044) was also classified as microbe-driven, and the turquoise module as co-regulated (flight r=+0.72; ITS r=+0.74, padj=0.044). The black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2378"/>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2378"/>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Pearson r with significance stars.*</w:t>
      </w:r>
    </w:p>
    <w:p>
      <w:pPr>
        <w:jc w:val="center"/>
      </w:pPr>
      <w:r>
        <w:drawing>
          <wp:inline xmlns:a="http://schemas.openxmlformats.org/drawingml/2006/main" xmlns:pic="http://schemas.openxmlformats.org/drawingml/2006/picture">
            <wp:extent cx="5016969"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6969"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the 18 leaf samples with RNA-seq, 16S and ITS data from the same leaf (transcriptome: 2,000 genes; 16S: 101 ASVs; ITS: 40 ASVs) identified 5 factors. Factor 1 was the dominant signal, explaining 44.4% of transcriptome variance, 9.0% of 16S variance, and 7.0% of ITS variance (Fig. 5A). Factor 1 was significantly correlated with flight status (Spearman ρ=−0.68, padj=0.037; Fig. 5B) and nearly as strongly with light treatment (ρ=+0.63, padj=0.053); flight and light are partly confounded in these samples, because only one flight blue-light leaf has ITS data.</w:t>
      </w:r>
    </w:p>
    <w:p>
      <w:r>
        <w:t>Factor 3 trended with 16S dysbiosis (ρ=−0.61, p=0.008, padj=0.053); no other factor–trait correlation had padj &lt; 0.1. The transcriptome contributed the highest-weighted features to Factors 1–4 and 16S ASVs to Factor 5 (Fig. S6).</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(ρ=−0.68).*</w:t>
      </w:r>
    </w:p>
    <w:p>
      <w:pPr>
        <w:pStyle w:val="Heading2"/>
      </w:pPr>
      <w:r>
        <w:t>Module-taxon correlations link host modules to specific bacteria</w:t>
      </w:r>
    </w:p>
    <w:p>
      <w:r>
        <w:t xml:space="preserve">Bipartite correlation networks identified 31 significant module-taxon relationships (BH padj &lt; 0.05), predominantly in leaf 16S (28 of 31; Fig. 6; Table S9). The other three link adventitious-root modules to fungal ASVs, two of them to a </w:t>
      </w:r>
      <w:r>
        <w:rPr>
          <w:i/>
        </w:rPr>
        <w:t>Fusarium</w:t>
      </w:r>
      <w:r>
        <w:t xml:space="preserve"> ASV (ITS ASV006; blue module ρ=−0.93, turquoise ρ=+0.91). The flight-associated turquoise module positively correlated with </w:t>
      </w:r>
      <w:r>
        <w:rPr>
          <w:i/>
        </w:rPr>
        <w:t>Methylobacterium-Methylorubrum</w:t>
      </w:r>
      <w:r>
        <w:t xml:space="preserve"> (ρ=+0.76, padj=0.003),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the flight-enriched Erwiniaceae ASV (ASV024;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28087"/>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28087"/>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Predicted bacterial functions</w:t>
      </w:r>
    </w:p>
    <w:p>
      <w:r>
        <w:t xml:space="preserve">FAPROTAX assigned 205 of the 348 bacterial ASVs to 44 functional groups (Table S6). By read count the largest were chemoheterotrophy (786,147 reads, 180 ASVs) and its subset aerobic chemoheterotrophy (688,214 reads, 150 ASVs), ureolysis (235,475 reads, 31 ASVs), nitrogen fixation (223,554 reads, 15 ASVs), methylotrophy (96,868 reads, 16 ASVs) and methanol oxidation (96,687 reads, 15 ASVs) (Fig. 7). The methylotrophy and methanol oxidation assignments were almost entirely </w:t>
      </w:r>
      <w:r>
        <w:rPr>
          <w:i/>
        </w:rPr>
        <w:t>Methylobacterium-Methylorubrum</w:t>
      </w:r>
      <w:r>
        <w:t xml:space="preserve"> (14 ASVs), the genus most strongly correlated with the flight-associated turquoise module. Methanotrophy was minor (181 reads, 1 ASV): </w:t>
      </w:r>
      <w:r>
        <w:rPr>
          <w:i/>
        </w:rPr>
        <w:t>Methylobacterium</w:t>
      </w:r>
      <w:r>
        <w:t xml:space="preserve"> oxidizes methanol, not methane.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(FAPROTAX 1.2.12; the 15 largest groups by read count: chemoheterotrophy, ureolysis, nitrogen fixation, methylotrophy and others).*</w:t>
      </w:r>
    </w:p>
    <w:p>
      <w:pPr>
        <w:pStyle w:val="Heading1"/>
      </w:pPr>
      <w:r>
        <w:t>Discussion</w:t>
      </w:r>
    </w:p>
    <w:p>
      <w:r>
        <w:t>This study presents the first integrated multi-omics analysis of plant-microbiome interactions in the ISS VEG-05 experiment. Our findings reveal three key insights: (1) spaceflight restructures both the bacterial and the fungal communities of leaves, with increased bacterial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padj=0.32)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n=1–6 per flight × light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and two flight adventitious-root samples retained a single ITS read each.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metatranscriptomic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(mean Bray-Curtis distance to ground samples, relative to ground-ground distance);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 (flight main effect of the flight × light model: the flight effect averaged over the two light treatments).</w:t>
      </w:r>
    </w:p>
    <w:p>
      <w:pPr>
        <w:pStyle w:val="ListBullet"/>
      </w:pPr>
      <w:r>
        <w:rPr>
          <w:b/>
        </w:rPr>
        <w:t>Figure 3C.</w:t>
      </w:r>
      <w:r>
        <w:t xml:space="preserve"> Adventitious-root Flight-vs-Ground volcano (flight main effect, averaged over the two light treatments; predominantly upregulation).</w:t>
      </w:r>
    </w:p>
    <w:p>
      <w:pPr>
        <w:pStyle w:val="ListBullet"/>
      </w:pPr>
      <w:r>
        <w:rPr>
          <w:b/>
        </w:rPr>
        <w:t>Figure 4 (Leaf).</w:t>
      </w:r>
      <w:r>
        <w:t xml:space="preserve"> WGCNA module–trait correlations (flight, light, 16S/ITS dysbiosis). Each module is labelled with its dominant GO biology (Table 1); cells show Pearson r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(ρ=−0.68).</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(FAPROTAX 1.2.12; the 15 largest groups by read count: chemoheterotrophy, ureolysis, nitrogen fixation, methylotrophy and others).</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